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54441BCE" w:rsidR="00BF6947" w:rsidRPr="00CF651D" w:rsidRDefault="005B3F8D" w:rsidP="00BF6947">
      <w:pPr>
        <w:jc w:val="right"/>
        <w:rPr>
          <w:rFonts w:ascii="Verdana" w:eastAsia="Malgun Gothic" w:hAnsi="Verdana" w:cs="Arial"/>
          <w:sz w:val="18"/>
          <w:szCs w:val="18"/>
          <w:lang w:val="el-GR"/>
        </w:rPr>
      </w:pPr>
      <w:r>
        <w:rPr>
          <w:rFonts w:ascii="Verdana" w:hAnsi="Verdana" w:cs="Arial"/>
          <w:sz w:val="18"/>
          <w:szCs w:val="18"/>
          <w:lang w:val="el-GR"/>
        </w:rPr>
        <w:t>12</w:t>
      </w:r>
      <w:r w:rsidR="001D6B30" w:rsidRPr="00A17085">
        <w:rPr>
          <w:rFonts w:ascii="Verdana" w:hAnsi="Verdana" w:cs="Arial"/>
          <w:sz w:val="18"/>
          <w:szCs w:val="18"/>
          <w:lang w:val="el-GR"/>
        </w:rPr>
        <w:t xml:space="preserve"> </w:t>
      </w:r>
      <w:r>
        <w:rPr>
          <w:rFonts w:ascii="Verdana" w:hAnsi="Verdana" w:cs="Arial"/>
          <w:sz w:val="18"/>
          <w:szCs w:val="18"/>
          <w:lang w:val="el-GR"/>
        </w:rPr>
        <w:t>Μαρτίου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77777777"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04256E09" w:rsidR="005F5075" w:rsidRPr="00A92B7F" w:rsidRDefault="005B3F8D" w:rsidP="006055F8">
      <w:pPr>
        <w:keepNext/>
        <w:spacing w:line="276" w:lineRule="auto"/>
        <w:jc w:val="center"/>
        <w:outlineLvl w:val="5"/>
        <w:rPr>
          <w:rFonts w:ascii="Verdana" w:eastAsia="Times New Roman" w:hAnsi="Verdana"/>
          <w:b/>
          <w:bCs/>
          <w:u w:val="single"/>
          <w:shd w:val="clear" w:color="auto" w:fill="FFFFFF"/>
          <w:lang w:val="el-GR"/>
        </w:rPr>
      </w:pPr>
      <w:r w:rsidRPr="00A92B7F">
        <w:rPr>
          <w:rFonts w:ascii="Verdana" w:eastAsia="Times New Roman" w:hAnsi="Verdana"/>
          <w:b/>
          <w:u w:val="single"/>
          <w:shd w:val="clear" w:color="auto" w:fill="FFFFFF"/>
          <w:lang w:val="el-GR"/>
        </w:rPr>
        <w:t>ΔΕΚΕΜΒΡΙΟΣ</w:t>
      </w:r>
      <w:r w:rsidR="0037357D" w:rsidRPr="00A92B7F">
        <w:rPr>
          <w:rFonts w:ascii="Verdana" w:eastAsia="Times New Roman" w:hAnsi="Verdana"/>
          <w:b/>
          <w:u w:val="single"/>
          <w:shd w:val="clear" w:color="auto" w:fill="FFFFFF"/>
          <w:lang w:val="el-GR"/>
        </w:rPr>
        <w:t xml:space="preserve"> </w:t>
      </w:r>
      <w:r w:rsidR="00BF6947" w:rsidRPr="00A92B7F">
        <w:rPr>
          <w:rFonts w:ascii="Verdana" w:eastAsia="Times New Roman" w:hAnsi="Verdana"/>
          <w:b/>
          <w:u w:val="single"/>
          <w:shd w:val="clear" w:color="auto" w:fill="FFFFFF"/>
          <w:lang w:val="el-GR"/>
        </w:rPr>
        <w:t>202</w:t>
      </w:r>
      <w:r w:rsidR="00775CFC" w:rsidRPr="00A92B7F">
        <w:rPr>
          <w:rFonts w:ascii="Verdana" w:eastAsia="Times New Roman" w:hAnsi="Verdana"/>
          <w:b/>
          <w:u w:val="single"/>
          <w:shd w:val="clear" w:color="auto" w:fill="FFFFFF"/>
          <w:lang w:val="el-GR"/>
        </w:rPr>
        <w:t>5</w:t>
      </w:r>
      <w:r w:rsidR="00BF6947" w:rsidRPr="00A92B7F">
        <w:rPr>
          <w:rFonts w:ascii="Verdana" w:eastAsia="Times New Roman" w:hAnsi="Verdana"/>
          <w:b/>
          <w:bCs/>
          <w:u w:val="single"/>
          <w:shd w:val="clear" w:color="auto" w:fill="FFFFFF"/>
          <w:lang w:val="el-GR"/>
        </w:rPr>
        <w:t xml:space="preserve"> (ΤΕΛΙΚΑ ΣΤΟΙΧΕΙΑ) ΚΑΙ </w:t>
      </w:r>
      <w:r w:rsidRPr="00A92B7F">
        <w:rPr>
          <w:rFonts w:ascii="Verdana" w:eastAsia="Times New Roman" w:hAnsi="Verdana"/>
          <w:b/>
          <w:bCs/>
          <w:u w:val="single"/>
          <w:shd w:val="clear" w:color="auto" w:fill="FFFFFF"/>
          <w:lang w:val="el-GR"/>
        </w:rPr>
        <w:t>ΙΑΝΟΥΑΡΙΟΣ</w:t>
      </w:r>
      <w:r w:rsidR="00BF6947" w:rsidRPr="00A92B7F">
        <w:rPr>
          <w:rFonts w:ascii="Verdana" w:eastAsia="Times New Roman" w:hAnsi="Verdana"/>
          <w:b/>
          <w:bCs/>
          <w:u w:val="single"/>
          <w:shd w:val="clear" w:color="auto" w:fill="FFFFFF"/>
          <w:lang w:val="el-GR"/>
        </w:rPr>
        <w:t xml:space="preserve"> 202</w:t>
      </w:r>
      <w:r w:rsidRPr="00A92B7F">
        <w:rPr>
          <w:rFonts w:ascii="Verdana" w:eastAsia="Times New Roman" w:hAnsi="Verdana"/>
          <w:b/>
          <w:bCs/>
          <w:u w:val="single"/>
          <w:shd w:val="clear" w:color="auto" w:fill="FFFFFF"/>
          <w:lang w:val="el-GR"/>
        </w:rPr>
        <w:t>6</w:t>
      </w:r>
      <w:r w:rsidR="00C74E72" w:rsidRPr="00A92B7F">
        <w:rPr>
          <w:rFonts w:ascii="Verdana" w:eastAsia="Times New Roman" w:hAnsi="Verdana"/>
          <w:b/>
          <w:bCs/>
          <w:u w:val="single"/>
          <w:shd w:val="clear" w:color="auto" w:fill="FFFFFF"/>
          <w:lang w:val="el-GR"/>
        </w:rPr>
        <w:t xml:space="preserve"> </w:t>
      </w:r>
    </w:p>
    <w:p w14:paraId="1467DE86" w14:textId="36948569" w:rsidR="00BF6947" w:rsidRPr="00A92B7F" w:rsidRDefault="00BF6947" w:rsidP="006055F8">
      <w:pPr>
        <w:keepNext/>
        <w:spacing w:line="276" w:lineRule="auto"/>
        <w:jc w:val="center"/>
        <w:outlineLvl w:val="5"/>
        <w:rPr>
          <w:rFonts w:ascii="Verdana" w:eastAsia="Times New Roman" w:hAnsi="Verdana"/>
          <w:b/>
          <w:u w:val="single"/>
          <w:shd w:val="clear" w:color="auto" w:fill="FFFFFF"/>
          <w:lang w:val="el-GR"/>
        </w:rPr>
      </w:pPr>
      <w:r w:rsidRPr="00A92B7F">
        <w:rPr>
          <w:rFonts w:ascii="Verdana" w:eastAsia="Times New Roman" w:hAnsi="Verdana"/>
          <w:b/>
          <w:bCs/>
          <w:u w:val="single"/>
          <w:shd w:val="clear" w:color="auto" w:fill="FFFFFF"/>
          <w:lang w:val="el-GR"/>
        </w:rPr>
        <w:t>(ΠΡΟΚΑΤΑΡΚΤΙΚΑ ΣΤΟΙΧΕΙΑ)</w:t>
      </w:r>
    </w:p>
    <w:p w14:paraId="269C32D2" w14:textId="77777777" w:rsidR="00BF6947" w:rsidRPr="00A92B7F" w:rsidRDefault="00BF6947" w:rsidP="00BF6947">
      <w:pPr>
        <w:tabs>
          <w:tab w:val="left" w:pos="709"/>
        </w:tabs>
        <w:jc w:val="both"/>
        <w:rPr>
          <w:rFonts w:ascii="Verdana" w:eastAsia="Times New Roman" w:hAnsi="Verdana"/>
          <w:bCs/>
          <w:w w:val="110"/>
          <w:sz w:val="18"/>
          <w:szCs w:val="18"/>
          <w:lang w:val="el-GR"/>
        </w:rPr>
      </w:pPr>
    </w:p>
    <w:p w14:paraId="1ECEBE71" w14:textId="76CE012E" w:rsidR="0045602C" w:rsidRPr="00A92B7F" w:rsidRDefault="005B3F8D" w:rsidP="002F0E81">
      <w:pPr>
        <w:jc w:val="both"/>
        <w:rPr>
          <w:rFonts w:ascii="Verdana" w:eastAsia="Malgun Gothic" w:hAnsi="Verdana" w:cs="Arial"/>
          <w:b/>
          <w:sz w:val="18"/>
          <w:szCs w:val="18"/>
          <w:u w:val="single"/>
          <w:lang w:val="el-GR"/>
        </w:rPr>
      </w:pPr>
      <w:r w:rsidRPr="00A92B7F">
        <w:rPr>
          <w:rFonts w:ascii="Verdana" w:eastAsia="Malgun Gothic" w:hAnsi="Verdana" w:cs="Arial"/>
          <w:b/>
          <w:sz w:val="18"/>
          <w:szCs w:val="18"/>
          <w:u w:val="single"/>
          <w:lang w:val="el-GR"/>
        </w:rPr>
        <w:t>Ιανουάριος</w:t>
      </w:r>
      <w:r w:rsidR="00A73FF6" w:rsidRPr="00A92B7F">
        <w:rPr>
          <w:rFonts w:ascii="Verdana" w:eastAsia="Malgun Gothic" w:hAnsi="Verdana" w:cs="Arial"/>
          <w:b/>
          <w:sz w:val="18"/>
          <w:szCs w:val="18"/>
          <w:u w:val="single"/>
          <w:lang w:val="el-GR"/>
        </w:rPr>
        <w:t xml:space="preserve"> </w:t>
      </w:r>
      <w:r w:rsidR="00BF6947" w:rsidRPr="00A92B7F">
        <w:rPr>
          <w:rFonts w:ascii="Verdana" w:eastAsia="Malgun Gothic" w:hAnsi="Verdana" w:cs="Arial"/>
          <w:b/>
          <w:sz w:val="18"/>
          <w:szCs w:val="18"/>
          <w:u w:val="single"/>
          <w:lang w:val="el-GR"/>
        </w:rPr>
        <w:t>202</w:t>
      </w:r>
      <w:r w:rsidR="005F496F" w:rsidRPr="00A92B7F">
        <w:rPr>
          <w:rFonts w:ascii="Verdana" w:eastAsia="Malgun Gothic" w:hAnsi="Verdana" w:cs="Arial"/>
          <w:b/>
          <w:sz w:val="18"/>
          <w:szCs w:val="18"/>
          <w:u w:val="single"/>
          <w:lang w:val="el-GR"/>
        </w:rPr>
        <w:t>6</w:t>
      </w:r>
      <w:r w:rsidR="00BF6947" w:rsidRPr="00A92B7F">
        <w:rPr>
          <w:rFonts w:ascii="Verdana" w:eastAsia="Malgun Gothic" w:hAnsi="Verdana" w:cs="Arial"/>
          <w:b/>
          <w:sz w:val="18"/>
          <w:szCs w:val="18"/>
          <w:u w:val="single"/>
          <w:lang w:val="el-GR"/>
        </w:rPr>
        <w:t>, Προκαταρκτικά Στοιχεία</w:t>
      </w:r>
    </w:p>
    <w:p w14:paraId="5B548692" w14:textId="77777777" w:rsidR="00522D4E" w:rsidRPr="00A92B7F" w:rsidRDefault="00522D4E" w:rsidP="002F0E81">
      <w:pPr>
        <w:jc w:val="both"/>
        <w:rPr>
          <w:rFonts w:ascii="Verdana" w:eastAsia="Malgun Gothic" w:hAnsi="Verdana" w:cs="Arial"/>
          <w:b/>
          <w:sz w:val="18"/>
          <w:szCs w:val="18"/>
          <w:u w:val="single"/>
          <w:lang w:val="el-GR"/>
        </w:rPr>
      </w:pPr>
    </w:p>
    <w:p w14:paraId="7AA61508" w14:textId="0C7E7566" w:rsidR="00BF6947" w:rsidRPr="00184FB5" w:rsidRDefault="00747561" w:rsidP="002F0E81">
      <w:pPr>
        <w:jc w:val="both"/>
        <w:rPr>
          <w:rFonts w:ascii="Verdana" w:hAnsi="Verdana"/>
          <w:sz w:val="18"/>
          <w:szCs w:val="18"/>
          <w:highlight w:val="yellow"/>
          <w:shd w:val="clear" w:color="auto" w:fill="FFFFFF"/>
          <w:lang w:val="el-GR"/>
        </w:rPr>
      </w:pPr>
      <w:r w:rsidRPr="00A92B7F">
        <w:rPr>
          <w:rFonts w:ascii="Verdana" w:hAnsi="Verdana"/>
          <w:b/>
          <w:bCs/>
          <w:sz w:val="18"/>
          <w:szCs w:val="18"/>
          <w:shd w:val="clear" w:color="auto" w:fill="FFFFFF"/>
          <w:lang w:val="el-GR"/>
        </w:rPr>
        <w:t>Οι</w:t>
      </w:r>
      <w:r w:rsidR="00BF6947" w:rsidRPr="00A92B7F">
        <w:rPr>
          <w:rFonts w:ascii="Verdana" w:hAnsi="Verdana"/>
          <w:b/>
          <w:bCs/>
          <w:sz w:val="18"/>
          <w:szCs w:val="18"/>
          <w:shd w:val="clear" w:color="auto" w:fill="FFFFFF"/>
          <w:lang w:val="el-GR"/>
        </w:rPr>
        <w:t xml:space="preserve"> συνολικές εισαγωγές αγαθών </w:t>
      </w:r>
      <w:r w:rsidR="00AF423B" w:rsidRPr="00A92B7F">
        <w:rPr>
          <w:rFonts w:ascii="Verdana" w:hAnsi="Verdana"/>
          <w:b/>
          <w:bCs/>
          <w:sz w:val="18"/>
          <w:szCs w:val="18"/>
          <w:shd w:val="clear" w:color="auto" w:fill="FFFFFF"/>
          <w:lang w:val="el-GR"/>
        </w:rPr>
        <w:t xml:space="preserve">τον </w:t>
      </w:r>
      <w:r w:rsidR="005B3F8D" w:rsidRPr="00A92B7F">
        <w:rPr>
          <w:rFonts w:ascii="Verdana" w:hAnsi="Verdana"/>
          <w:b/>
          <w:bCs/>
          <w:sz w:val="18"/>
          <w:szCs w:val="18"/>
          <w:shd w:val="clear" w:color="auto" w:fill="FFFFFF"/>
          <w:lang w:val="el-GR"/>
        </w:rPr>
        <w:t>Ιανουάριο</w:t>
      </w:r>
      <w:r w:rsidR="00AF423B" w:rsidRPr="00A92B7F">
        <w:rPr>
          <w:rFonts w:ascii="Verdana" w:hAnsi="Verdana"/>
          <w:b/>
          <w:bCs/>
          <w:sz w:val="18"/>
          <w:szCs w:val="18"/>
          <w:shd w:val="clear" w:color="auto" w:fill="FFFFFF"/>
          <w:lang w:val="el-GR"/>
        </w:rPr>
        <w:t xml:space="preserve"> 202</w:t>
      </w:r>
      <w:r w:rsidR="005F496F" w:rsidRPr="00A92B7F">
        <w:rPr>
          <w:rFonts w:ascii="Verdana" w:hAnsi="Verdana"/>
          <w:b/>
          <w:bCs/>
          <w:sz w:val="18"/>
          <w:szCs w:val="18"/>
          <w:shd w:val="clear" w:color="auto" w:fill="FFFFFF"/>
          <w:lang w:val="el-GR"/>
        </w:rPr>
        <w:t>6</w:t>
      </w:r>
      <w:r w:rsidR="00AF423B" w:rsidRPr="00A92B7F">
        <w:rPr>
          <w:rFonts w:ascii="Verdana" w:hAnsi="Verdana"/>
          <w:b/>
          <w:bCs/>
          <w:sz w:val="18"/>
          <w:szCs w:val="18"/>
          <w:shd w:val="clear" w:color="auto" w:fill="FFFFFF"/>
          <w:lang w:val="el-GR"/>
        </w:rPr>
        <w:t xml:space="preserve"> </w:t>
      </w:r>
      <w:r w:rsidR="00BF6947" w:rsidRPr="00A92B7F">
        <w:rPr>
          <w:rFonts w:ascii="Verdana" w:hAnsi="Verdana"/>
          <w:b/>
          <w:bCs/>
          <w:sz w:val="18"/>
          <w:szCs w:val="18"/>
          <w:shd w:val="clear" w:color="auto" w:fill="FFFFFF"/>
          <w:lang w:val="el-GR"/>
        </w:rPr>
        <w:t>ήταν €</w:t>
      </w:r>
      <w:r w:rsidR="003367F8" w:rsidRPr="00A92B7F">
        <w:rPr>
          <w:rFonts w:ascii="Verdana" w:hAnsi="Verdana"/>
          <w:b/>
          <w:bCs/>
          <w:sz w:val="18"/>
          <w:szCs w:val="18"/>
          <w:shd w:val="clear" w:color="auto" w:fill="FFFFFF"/>
          <w:lang w:val="el-GR"/>
        </w:rPr>
        <w:t>994,1</w:t>
      </w:r>
      <w:r w:rsidR="00D65D7E" w:rsidRPr="00A92B7F">
        <w:rPr>
          <w:rFonts w:ascii="Verdana" w:hAnsi="Verdana"/>
          <w:b/>
          <w:bCs/>
          <w:sz w:val="18"/>
          <w:szCs w:val="18"/>
          <w:shd w:val="clear" w:color="auto" w:fill="FFFFFF"/>
          <w:lang w:val="el-GR"/>
        </w:rPr>
        <w:t xml:space="preserve"> </w:t>
      </w:r>
      <w:r w:rsidR="00BF6947" w:rsidRPr="00A92B7F">
        <w:rPr>
          <w:rFonts w:ascii="Verdana" w:hAnsi="Verdana"/>
          <w:b/>
          <w:bCs/>
          <w:sz w:val="18"/>
          <w:szCs w:val="18"/>
          <w:shd w:val="clear" w:color="auto" w:fill="FFFFFF"/>
          <w:lang w:val="el-GR"/>
        </w:rPr>
        <w:t>εκ.</w:t>
      </w:r>
      <w:r w:rsidR="00BF6947" w:rsidRPr="00A92B7F">
        <w:rPr>
          <w:rFonts w:ascii="Verdana" w:hAnsi="Verdana"/>
          <w:sz w:val="18"/>
          <w:szCs w:val="18"/>
          <w:shd w:val="clear" w:color="auto" w:fill="FFFFFF"/>
          <w:lang w:val="el-GR"/>
        </w:rPr>
        <w:t xml:space="preserve"> σε σύγκριση με</w:t>
      </w:r>
      <w:r w:rsidR="001D6B30" w:rsidRPr="00A92B7F">
        <w:rPr>
          <w:rFonts w:ascii="Verdana" w:hAnsi="Verdana"/>
          <w:sz w:val="18"/>
          <w:szCs w:val="18"/>
          <w:shd w:val="clear" w:color="auto" w:fill="FFFFFF"/>
          <w:lang w:val="el-GR"/>
        </w:rPr>
        <w:t xml:space="preserve"> </w:t>
      </w:r>
      <w:r w:rsidR="00BF6947" w:rsidRPr="00A92B7F">
        <w:rPr>
          <w:rFonts w:ascii="Verdana" w:hAnsi="Verdana"/>
          <w:sz w:val="18"/>
          <w:szCs w:val="18"/>
          <w:shd w:val="clear" w:color="auto" w:fill="FFFFFF"/>
          <w:lang w:val="el-GR"/>
        </w:rPr>
        <w:t>€</w:t>
      </w:r>
      <w:r w:rsidR="003367F8" w:rsidRPr="00A92B7F">
        <w:rPr>
          <w:rFonts w:ascii="Verdana" w:hAnsi="Verdana"/>
          <w:sz w:val="18"/>
          <w:szCs w:val="18"/>
          <w:shd w:val="clear" w:color="auto" w:fill="FFFFFF"/>
          <w:lang w:val="el-GR"/>
        </w:rPr>
        <w:t>1.151,2</w:t>
      </w:r>
      <w:r w:rsidR="00BF6947" w:rsidRPr="00A92B7F">
        <w:rPr>
          <w:rFonts w:ascii="Verdana" w:hAnsi="Verdana"/>
          <w:sz w:val="18"/>
          <w:szCs w:val="18"/>
          <w:shd w:val="clear" w:color="auto" w:fill="FFFFFF"/>
          <w:lang w:val="el-GR"/>
        </w:rPr>
        <w:t xml:space="preserve"> εκ. τον</w:t>
      </w:r>
      <w:r w:rsidR="001D6B30" w:rsidRPr="00A92B7F">
        <w:rPr>
          <w:rFonts w:ascii="Verdana" w:hAnsi="Verdana"/>
          <w:sz w:val="18"/>
          <w:szCs w:val="18"/>
          <w:shd w:val="clear" w:color="auto" w:fill="FFFFFF"/>
          <w:lang w:val="el-GR"/>
        </w:rPr>
        <w:t xml:space="preserve"> </w:t>
      </w:r>
      <w:r w:rsidR="005B3F8D" w:rsidRPr="00A92B7F">
        <w:rPr>
          <w:rFonts w:ascii="Verdana" w:hAnsi="Verdana"/>
          <w:sz w:val="18"/>
          <w:szCs w:val="18"/>
          <w:shd w:val="clear" w:color="auto" w:fill="FFFFFF"/>
          <w:lang w:val="el-GR"/>
        </w:rPr>
        <w:t>Ιανουάριο</w:t>
      </w:r>
      <w:r w:rsidR="00BF6947" w:rsidRPr="00A92B7F">
        <w:rPr>
          <w:rFonts w:ascii="Verdana" w:hAnsi="Verdana"/>
          <w:sz w:val="18"/>
          <w:szCs w:val="18"/>
          <w:shd w:val="clear" w:color="auto" w:fill="FFFFFF"/>
          <w:lang w:val="el-GR"/>
        </w:rPr>
        <w:t xml:space="preserve"> 202</w:t>
      </w:r>
      <w:r w:rsidR="005F496F" w:rsidRPr="00A92B7F">
        <w:rPr>
          <w:rFonts w:ascii="Verdana" w:hAnsi="Verdana"/>
          <w:sz w:val="18"/>
          <w:szCs w:val="18"/>
          <w:shd w:val="clear" w:color="auto" w:fill="FFFFFF"/>
          <w:lang w:val="el-GR"/>
        </w:rPr>
        <w:t>5</w:t>
      </w:r>
      <w:r w:rsidR="00BF6947" w:rsidRPr="00A92B7F">
        <w:rPr>
          <w:rFonts w:ascii="Verdana" w:hAnsi="Verdana"/>
          <w:sz w:val="18"/>
          <w:szCs w:val="18"/>
          <w:shd w:val="clear" w:color="auto" w:fill="FFFFFF"/>
          <w:lang w:val="el-GR"/>
        </w:rPr>
        <w:t xml:space="preserve">, καταγράφοντας </w:t>
      </w:r>
      <w:r w:rsidR="00F5166D" w:rsidRPr="00A92B7F">
        <w:rPr>
          <w:rFonts w:ascii="Verdana" w:hAnsi="Verdana"/>
          <w:sz w:val="18"/>
          <w:szCs w:val="18"/>
          <w:shd w:val="clear" w:color="auto" w:fill="FFFFFF"/>
          <w:lang w:val="el-GR"/>
        </w:rPr>
        <w:t>μείωση</w:t>
      </w:r>
      <w:r w:rsidR="00BF6947" w:rsidRPr="00A92B7F">
        <w:rPr>
          <w:rFonts w:ascii="Verdana" w:hAnsi="Verdana"/>
          <w:sz w:val="18"/>
          <w:szCs w:val="18"/>
          <w:shd w:val="clear" w:color="auto" w:fill="FFFFFF"/>
          <w:lang w:val="el-GR"/>
        </w:rPr>
        <w:t xml:space="preserve"> </w:t>
      </w:r>
      <w:r w:rsidR="003367F8" w:rsidRPr="00A92B7F">
        <w:rPr>
          <w:rFonts w:ascii="Verdana" w:hAnsi="Verdana"/>
          <w:sz w:val="18"/>
          <w:szCs w:val="18"/>
          <w:shd w:val="clear" w:color="auto" w:fill="FFFFFF"/>
          <w:lang w:val="el-GR"/>
        </w:rPr>
        <w:t>13,6</w:t>
      </w:r>
      <w:r w:rsidR="00BF6947" w:rsidRPr="00A92B7F">
        <w:rPr>
          <w:rFonts w:ascii="Verdana" w:hAnsi="Verdana"/>
          <w:sz w:val="18"/>
          <w:szCs w:val="18"/>
          <w:shd w:val="clear" w:color="auto" w:fill="FFFFFF"/>
          <w:lang w:val="el-GR"/>
        </w:rPr>
        <w:t>%</w:t>
      </w:r>
      <w:r w:rsidR="00CF10F1" w:rsidRPr="00A92B7F">
        <w:rPr>
          <w:rFonts w:ascii="Verdana" w:hAnsi="Verdana"/>
          <w:sz w:val="18"/>
          <w:szCs w:val="18"/>
          <w:shd w:val="clear" w:color="auto" w:fill="FFFFFF"/>
          <w:lang w:val="el-GR"/>
        </w:rPr>
        <w:t xml:space="preserve"> (Πίνακας). </w:t>
      </w:r>
      <w:r w:rsidR="00BF6947" w:rsidRPr="00A92B7F">
        <w:rPr>
          <w:rFonts w:ascii="Verdana" w:hAnsi="Verdana"/>
          <w:sz w:val="18"/>
          <w:szCs w:val="18"/>
          <w:shd w:val="clear" w:color="auto" w:fill="FFFFFF"/>
          <w:lang w:val="el-GR"/>
        </w:rPr>
        <w:t>Οι εισαγωγές από άλλα Κράτη Μέλη της ΕΕ</w:t>
      </w:r>
      <w:r w:rsidR="00AF423B" w:rsidRPr="00A92B7F">
        <w:rPr>
          <w:rFonts w:ascii="Verdana" w:hAnsi="Verdana"/>
          <w:sz w:val="18"/>
          <w:szCs w:val="18"/>
          <w:shd w:val="clear" w:color="auto" w:fill="FFFFFF"/>
          <w:lang w:val="el-GR"/>
        </w:rPr>
        <w:t xml:space="preserve"> </w:t>
      </w:r>
      <w:r w:rsidR="00BF6947" w:rsidRPr="00A92B7F">
        <w:rPr>
          <w:rFonts w:ascii="Verdana" w:hAnsi="Verdana"/>
          <w:sz w:val="18"/>
          <w:szCs w:val="18"/>
          <w:shd w:val="clear" w:color="auto" w:fill="FFFFFF"/>
          <w:lang w:val="el-GR"/>
        </w:rPr>
        <w:t>ήταν €</w:t>
      </w:r>
      <w:r w:rsidR="003367F8" w:rsidRPr="00A92B7F">
        <w:rPr>
          <w:rFonts w:ascii="Verdana" w:hAnsi="Verdana"/>
          <w:sz w:val="18"/>
          <w:szCs w:val="18"/>
          <w:shd w:val="clear" w:color="auto" w:fill="FFFFFF"/>
          <w:lang w:val="el-GR"/>
        </w:rPr>
        <w:t>554,3</w:t>
      </w:r>
      <w:r w:rsidR="00BF6947" w:rsidRPr="00A92B7F">
        <w:rPr>
          <w:rFonts w:ascii="Verdana" w:hAnsi="Verdana"/>
          <w:sz w:val="18"/>
          <w:szCs w:val="18"/>
          <w:shd w:val="clear" w:color="auto" w:fill="FFFFFF"/>
          <w:lang w:val="el-GR"/>
        </w:rPr>
        <w:t xml:space="preserve"> εκ. και από τρίτες χώρες €</w:t>
      </w:r>
      <w:r w:rsidR="003367F8" w:rsidRPr="00A92B7F">
        <w:rPr>
          <w:rFonts w:ascii="Verdana" w:hAnsi="Verdana"/>
          <w:sz w:val="18"/>
          <w:szCs w:val="18"/>
          <w:shd w:val="clear" w:color="auto" w:fill="FFFFFF"/>
          <w:lang w:val="el-GR"/>
        </w:rPr>
        <w:t>439,8</w:t>
      </w:r>
      <w:r w:rsidR="00F5166D" w:rsidRPr="00A92B7F">
        <w:rPr>
          <w:rFonts w:ascii="Verdana" w:hAnsi="Verdana"/>
          <w:sz w:val="18"/>
          <w:szCs w:val="18"/>
          <w:shd w:val="clear" w:color="auto" w:fill="FFFFFF"/>
          <w:lang w:val="el-GR"/>
        </w:rPr>
        <w:t xml:space="preserve"> </w:t>
      </w:r>
      <w:r w:rsidR="00BF6947" w:rsidRPr="00A92B7F">
        <w:rPr>
          <w:rFonts w:ascii="Verdana" w:hAnsi="Verdana"/>
          <w:sz w:val="18"/>
          <w:szCs w:val="18"/>
          <w:shd w:val="clear" w:color="auto" w:fill="FFFFFF"/>
          <w:lang w:val="el-GR"/>
        </w:rPr>
        <w:t>εκ. σε σύγκριση με €</w:t>
      </w:r>
      <w:r w:rsidR="003367F8" w:rsidRPr="00A92B7F">
        <w:rPr>
          <w:rFonts w:ascii="Verdana" w:hAnsi="Verdana"/>
          <w:sz w:val="18"/>
          <w:szCs w:val="18"/>
          <w:shd w:val="clear" w:color="auto" w:fill="FFFFFF"/>
          <w:lang w:val="el-GR"/>
        </w:rPr>
        <w:t>583,0</w:t>
      </w:r>
      <w:r w:rsidR="003F50B5" w:rsidRPr="00A92B7F">
        <w:rPr>
          <w:rFonts w:ascii="Verdana" w:hAnsi="Verdana"/>
          <w:sz w:val="18"/>
          <w:szCs w:val="18"/>
          <w:shd w:val="clear" w:color="auto" w:fill="FFFFFF"/>
          <w:lang w:val="el-GR"/>
        </w:rPr>
        <w:t xml:space="preserve"> </w:t>
      </w:r>
      <w:r w:rsidR="00BF6947" w:rsidRPr="00A92B7F">
        <w:rPr>
          <w:rFonts w:ascii="Verdana" w:hAnsi="Verdana"/>
          <w:sz w:val="18"/>
          <w:szCs w:val="18"/>
          <w:shd w:val="clear" w:color="auto" w:fill="FFFFFF"/>
          <w:lang w:val="el-GR"/>
        </w:rPr>
        <w:t>εκ. και €</w:t>
      </w:r>
      <w:r w:rsidR="003367F8" w:rsidRPr="00A92B7F">
        <w:rPr>
          <w:rFonts w:ascii="Verdana" w:hAnsi="Verdana"/>
          <w:sz w:val="18"/>
          <w:szCs w:val="18"/>
          <w:shd w:val="clear" w:color="auto" w:fill="FFFFFF"/>
          <w:lang w:val="el-GR"/>
        </w:rPr>
        <w:t>568,2</w:t>
      </w:r>
      <w:r w:rsidR="00BF6947" w:rsidRPr="00A92B7F">
        <w:rPr>
          <w:rFonts w:ascii="Verdana" w:hAnsi="Verdana"/>
          <w:sz w:val="18"/>
          <w:szCs w:val="18"/>
          <w:shd w:val="clear" w:color="auto" w:fill="FFFFFF"/>
          <w:lang w:val="el-GR"/>
        </w:rPr>
        <w:t xml:space="preserve"> εκ. αντίστοιχα τον </w:t>
      </w:r>
      <w:r w:rsidR="005B3F8D" w:rsidRPr="00A92B7F">
        <w:rPr>
          <w:rFonts w:ascii="Verdana" w:hAnsi="Verdana"/>
          <w:sz w:val="18"/>
          <w:szCs w:val="18"/>
          <w:shd w:val="clear" w:color="auto" w:fill="FFFFFF"/>
          <w:lang w:val="el-GR"/>
        </w:rPr>
        <w:t>Ιανουάριο</w:t>
      </w:r>
      <w:r w:rsidR="00A73FF6" w:rsidRPr="00A92B7F">
        <w:rPr>
          <w:rFonts w:ascii="Verdana" w:hAnsi="Verdana"/>
          <w:sz w:val="18"/>
          <w:szCs w:val="18"/>
          <w:shd w:val="clear" w:color="auto" w:fill="FFFFFF"/>
          <w:lang w:val="el-GR"/>
        </w:rPr>
        <w:t xml:space="preserve"> </w:t>
      </w:r>
      <w:r w:rsidR="00BF6947" w:rsidRPr="00A92B7F">
        <w:rPr>
          <w:rFonts w:ascii="Verdana" w:hAnsi="Verdana"/>
          <w:sz w:val="18"/>
          <w:szCs w:val="18"/>
          <w:lang w:val="el-GR"/>
        </w:rPr>
        <w:t>202</w:t>
      </w:r>
      <w:r w:rsidR="005F496F" w:rsidRPr="00A92B7F">
        <w:rPr>
          <w:rFonts w:ascii="Verdana" w:hAnsi="Verdana"/>
          <w:sz w:val="18"/>
          <w:szCs w:val="18"/>
          <w:lang w:val="el-GR"/>
        </w:rPr>
        <w:t>5</w:t>
      </w:r>
      <w:r w:rsidR="00CF10F1" w:rsidRPr="00A92B7F">
        <w:rPr>
          <w:rFonts w:ascii="Verdana" w:hAnsi="Verdana"/>
          <w:sz w:val="18"/>
          <w:szCs w:val="18"/>
          <w:lang w:val="el-GR"/>
        </w:rPr>
        <w:t xml:space="preserve"> (Διάγραμμα 1</w:t>
      </w:r>
      <w:r w:rsidR="00CF10F1" w:rsidRPr="002E378E">
        <w:rPr>
          <w:rFonts w:ascii="Verdana" w:hAnsi="Verdana"/>
          <w:sz w:val="18"/>
          <w:szCs w:val="18"/>
          <w:lang w:val="el-GR"/>
        </w:rPr>
        <w:t xml:space="preserve">). </w:t>
      </w:r>
      <w:r w:rsidR="00BF6947" w:rsidRPr="002E378E">
        <w:rPr>
          <w:rFonts w:ascii="Verdana" w:hAnsi="Verdana"/>
          <w:sz w:val="18"/>
          <w:szCs w:val="18"/>
          <w:lang w:val="el-GR"/>
        </w:rPr>
        <w:t xml:space="preserve">Οι εισαγωγές τον </w:t>
      </w:r>
      <w:r w:rsidR="005B3F8D" w:rsidRPr="002E378E">
        <w:rPr>
          <w:rFonts w:ascii="Verdana" w:hAnsi="Verdana"/>
          <w:sz w:val="18"/>
          <w:szCs w:val="18"/>
          <w:shd w:val="clear" w:color="auto" w:fill="FFFFFF"/>
          <w:lang w:val="el-GR"/>
        </w:rPr>
        <w:t>Ιανουάριο</w:t>
      </w:r>
      <w:r w:rsidR="00451DE2" w:rsidRPr="002E378E">
        <w:rPr>
          <w:rFonts w:ascii="Verdana" w:hAnsi="Verdana"/>
          <w:sz w:val="18"/>
          <w:szCs w:val="18"/>
          <w:lang w:val="el-GR"/>
        </w:rPr>
        <w:t xml:space="preserve"> </w:t>
      </w:r>
      <w:r w:rsidR="00BF6947" w:rsidRPr="002E378E">
        <w:rPr>
          <w:rFonts w:ascii="Verdana" w:hAnsi="Verdana"/>
          <w:sz w:val="18"/>
          <w:szCs w:val="18"/>
          <w:lang w:val="el-GR"/>
        </w:rPr>
        <w:t>202</w:t>
      </w:r>
      <w:r w:rsidR="005F496F" w:rsidRPr="002E378E">
        <w:rPr>
          <w:rFonts w:ascii="Verdana" w:hAnsi="Verdana"/>
          <w:sz w:val="18"/>
          <w:szCs w:val="18"/>
          <w:lang w:val="el-GR"/>
        </w:rPr>
        <w:t>6</w:t>
      </w:r>
      <w:r w:rsidR="00BF6947" w:rsidRPr="002E378E">
        <w:rPr>
          <w:rFonts w:ascii="Verdana" w:hAnsi="Verdana"/>
          <w:sz w:val="18"/>
          <w:szCs w:val="18"/>
          <w:lang w:val="el-GR"/>
        </w:rPr>
        <w:t xml:space="preserve"> περιλαμβάνουν τη </w:t>
      </w:r>
      <w:r w:rsidR="00D20130" w:rsidRPr="002E378E">
        <w:rPr>
          <w:rFonts w:ascii="Verdana" w:hAnsi="Verdana"/>
          <w:sz w:val="18"/>
          <w:szCs w:val="18"/>
          <w:lang w:val="el-GR"/>
        </w:rPr>
        <w:t>μεταβίβαση</w:t>
      </w:r>
      <w:r w:rsidR="00152E5C" w:rsidRPr="002E378E">
        <w:rPr>
          <w:rFonts w:ascii="Verdana" w:hAnsi="Verdana"/>
          <w:sz w:val="18"/>
          <w:szCs w:val="18"/>
          <w:lang w:val="el-GR"/>
        </w:rPr>
        <w:t xml:space="preserve"> οικονομικής ιδιοκτησίας</w:t>
      </w:r>
      <w:r w:rsidR="00290464" w:rsidRPr="002E378E">
        <w:rPr>
          <w:rFonts w:ascii="Verdana" w:hAnsi="Verdana"/>
          <w:sz w:val="18"/>
          <w:szCs w:val="18"/>
          <w:lang w:val="el-GR"/>
        </w:rPr>
        <w:t xml:space="preserve"> πλοίων</w:t>
      </w:r>
      <w:r w:rsidR="00BF6947" w:rsidRPr="002E378E">
        <w:rPr>
          <w:rFonts w:ascii="Verdana" w:hAnsi="Verdana"/>
          <w:sz w:val="18"/>
          <w:szCs w:val="18"/>
          <w:lang w:val="el-GR"/>
        </w:rPr>
        <w:t>, συνολικής αξίας €</w:t>
      </w:r>
      <w:r w:rsidR="00524CE6" w:rsidRPr="002E378E">
        <w:rPr>
          <w:rFonts w:ascii="Verdana" w:hAnsi="Verdana"/>
          <w:sz w:val="18"/>
          <w:szCs w:val="18"/>
          <w:lang w:val="el-GR"/>
        </w:rPr>
        <w:t xml:space="preserve">79,0 </w:t>
      </w:r>
      <w:r w:rsidR="00BF6947" w:rsidRPr="002E378E">
        <w:rPr>
          <w:rFonts w:ascii="Verdana" w:hAnsi="Verdana"/>
          <w:sz w:val="18"/>
          <w:szCs w:val="18"/>
          <w:lang w:val="el-GR"/>
        </w:rPr>
        <w:t>εκ. έναντι €</w:t>
      </w:r>
      <w:r w:rsidR="003367F8" w:rsidRPr="002E378E">
        <w:rPr>
          <w:rFonts w:ascii="Verdana" w:hAnsi="Verdana"/>
          <w:sz w:val="18"/>
          <w:szCs w:val="18"/>
          <w:lang w:val="el-GR"/>
        </w:rPr>
        <w:t>79,9</w:t>
      </w:r>
      <w:r w:rsidR="00BF6947" w:rsidRPr="002E378E">
        <w:rPr>
          <w:rFonts w:ascii="Verdana" w:hAnsi="Verdana"/>
          <w:sz w:val="18"/>
          <w:szCs w:val="18"/>
          <w:lang w:val="el-GR"/>
        </w:rPr>
        <w:t xml:space="preserve"> εκ. τον </w:t>
      </w:r>
      <w:r w:rsidR="005B3F8D" w:rsidRPr="002E378E">
        <w:rPr>
          <w:rFonts w:ascii="Verdana" w:hAnsi="Verdana"/>
          <w:sz w:val="18"/>
          <w:szCs w:val="18"/>
          <w:shd w:val="clear" w:color="auto" w:fill="FFFFFF"/>
          <w:lang w:val="el-GR"/>
        </w:rPr>
        <w:t>Ιανουάριο</w:t>
      </w:r>
      <w:r w:rsidR="00BF6947" w:rsidRPr="002E378E">
        <w:rPr>
          <w:rFonts w:ascii="Verdana" w:hAnsi="Verdana"/>
          <w:sz w:val="18"/>
          <w:szCs w:val="18"/>
          <w:lang w:val="el-GR"/>
        </w:rPr>
        <w:t xml:space="preserve"> 202</w:t>
      </w:r>
      <w:r w:rsidR="005F496F" w:rsidRPr="002E378E">
        <w:rPr>
          <w:rFonts w:ascii="Verdana" w:hAnsi="Verdana"/>
          <w:sz w:val="18"/>
          <w:szCs w:val="18"/>
          <w:lang w:val="el-GR"/>
        </w:rPr>
        <w:t>5</w:t>
      </w:r>
      <w:r w:rsidR="00BF6947" w:rsidRPr="002E378E">
        <w:rPr>
          <w:rFonts w:ascii="Verdana" w:hAnsi="Verdana"/>
          <w:sz w:val="18"/>
          <w:szCs w:val="18"/>
          <w:lang w:val="el-GR"/>
        </w:rPr>
        <w:t>.</w:t>
      </w:r>
    </w:p>
    <w:p w14:paraId="5081D562" w14:textId="77777777" w:rsidR="00BF6947" w:rsidRPr="00184FB5" w:rsidRDefault="00BF6947" w:rsidP="002F0E81">
      <w:pPr>
        <w:ind w:hanging="539"/>
        <w:jc w:val="both"/>
        <w:rPr>
          <w:rFonts w:ascii="Verdana" w:hAnsi="Verdana"/>
          <w:sz w:val="18"/>
          <w:szCs w:val="18"/>
          <w:highlight w:val="yellow"/>
          <w:shd w:val="clear" w:color="auto" w:fill="FFFFFF"/>
          <w:lang w:val="el-GR"/>
        </w:rPr>
      </w:pPr>
    </w:p>
    <w:p w14:paraId="45414540" w14:textId="5198B9B6" w:rsidR="00FA317E" w:rsidRPr="00F90AF2" w:rsidRDefault="00BF6947" w:rsidP="002F0E81">
      <w:pPr>
        <w:jc w:val="both"/>
        <w:rPr>
          <w:rFonts w:ascii="Verdana" w:hAnsi="Verdana"/>
          <w:sz w:val="18"/>
          <w:szCs w:val="18"/>
          <w:shd w:val="clear" w:color="auto" w:fill="FFFFFF"/>
          <w:lang w:val="el-GR"/>
        </w:rPr>
      </w:pPr>
      <w:r w:rsidRPr="00A92B7F">
        <w:rPr>
          <w:rFonts w:ascii="Verdana" w:hAnsi="Verdana"/>
          <w:b/>
          <w:bCs/>
          <w:sz w:val="18"/>
          <w:szCs w:val="18"/>
          <w:lang w:val="el-GR"/>
        </w:rPr>
        <w:t>Οι συνολικές εξαγωγές αγαθών τον</w:t>
      </w:r>
      <w:r w:rsidR="00BF39CC" w:rsidRPr="00A92B7F">
        <w:rPr>
          <w:rFonts w:ascii="Verdana" w:hAnsi="Verdana"/>
          <w:b/>
          <w:bCs/>
          <w:sz w:val="18"/>
          <w:szCs w:val="18"/>
          <w:lang w:val="el-GR"/>
        </w:rPr>
        <w:t xml:space="preserve"> </w:t>
      </w:r>
      <w:r w:rsidR="005B3F8D" w:rsidRPr="00A92B7F">
        <w:rPr>
          <w:rFonts w:ascii="Verdana" w:hAnsi="Verdana"/>
          <w:b/>
          <w:bCs/>
          <w:sz w:val="18"/>
          <w:szCs w:val="18"/>
          <w:shd w:val="clear" w:color="auto" w:fill="FFFFFF"/>
          <w:lang w:val="el-GR"/>
        </w:rPr>
        <w:t>Ιανουάριο</w:t>
      </w:r>
      <w:r w:rsidRPr="00A92B7F">
        <w:rPr>
          <w:rFonts w:ascii="Verdana" w:hAnsi="Verdana"/>
          <w:b/>
          <w:bCs/>
          <w:sz w:val="18"/>
          <w:szCs w:val="18"/>
          <w:lang w:val="el-GR"/>
        </w:rPr>
        <w:t xml:space="preserve"> 202</w:t>
      </w:r>
      <w:r w:rsidR="005F496F" w:rsidRPr="00A92B7F">
        <w:rPr>
          <w:rFonts w:ascii="Verdana" w:hAnsi="Verdana"/>
          <w:b/>
          <w:bCs/>
          <w:sz w:val="18"/>
          <w:szCs w:val="18"/>
          <w:lang w:val="el-GR"/>
        </w:rPr>
        <w:t>6</w:t>
      </w:r>
      <w:r w:rsidRPr="00A92B7F">
        <w:rPr>
          <w:rFonts w:ascii="Verdana" w:hAnsi="Verdana"/>
          <w:b/>
          <w:bCs/>
          <w:sz w:val="18"/>
          <w:szCs w:val="18"/>
          <w:lang w:val="el-GR"/>
        </w:rPr>
        <w:t xml:space="preserve"> ήταν €</w:t>
      </w:r>
      <w:r w:rsidR="00184FB5" w:rsidRPr="00A92B7F">
        <w:rPr>
          <w:rFonts w:ascii="Verdana" w:hAnsi="Verdana"/>
          <w:b/>
          <w:bCs/>
          <w:sz w:val="18"/>
          <w:szCs w:val="18"/>
          <w:lang w:val="el-GR"/>
        </w:rPr>
        <w:t>517,5</w:t>
      </w:r>
      <w:r w:rsidR="00E859E7" w:rsidRPr="00A92B7F">
        <w:rPr>
          <w:rFonts w:ascii="Verdana" w:hAnsi="Verdana"/>
          <w:b/>
          <w:bCs/>
          <w:sz w:val="18"/>
          <w:szCs w:val="18"/>
          <w:lang w:val="el-GR"/>
        </w:rPr>
        <w:t xml:space="preserve"> </w:t>
      </w:r>
      <w:r w:rsidRPr="00A92B7F">
        <w:rPr>
          <w:rFonts w:ascii="Verdana" w:hAnsi="Verdana"/>
          <w:b/>
          <w:bCs/>
          <w:sz w:val="18"/>
          <w:szCs w:val="18"/>
          <w:lang w:val="el-GR"/>
        </w:rPr>
        <w:t>εκ.</w:t>
      </w:r>
      <w:r w:rsidRPr="00A92B7F">
        <w:rPr>
          <w:rFonts w:ascii="Verdana" w:hAnsi="Verdana"/>
          <w:sz w:val="18"/>
          <w:szCs w:val="18"/>
          <w:lang w:val="el-GR"/>
        </w:rPr>
        <w:t xml:space="preserve"> σε σύγκριση με €</w:t>
      </w:r>
      <w:r w:rsidR="00184FB5" w:rsidRPr="00A92B7F">
        <w:rPr>
          <w:rFonts w:ascii="Verdana" w:hAnsi="Verdana"/>
          <w:sz w:val="18"/>
          <w:szCs w:val="18"/>
          <w:lang w:val="el-GR"/>
        </w:rPr>
        <w:t>443,7</w:t>
      </w:r>
      <w:r w:rsidRPr="00A92B7F">
        <w:rPr>
          <w:rFonts w:ascii="Verdana" w:hAnsi="Verdana"/>
          <w:sz w:val="18"/>
          <w:szCs w:val="18"/>
          <w:lang w:val="el-GR"/>
        </w:rPr>
        <w:t xml:space="preserve"> εκ. τον </w:t>
      </w:r>
      <w:r w:rsidR="005B3F8D" w:rsidRPr="00A92B7F">
        <w:rPr>
          <w:rFonts w:ascii="Verdana" w:hAnsi="Verdana"/>
          <w:sz w:val="18"/>
          <w:szCs w:val="18"/>
          <w:shd w:val="clear" w:color="auto" w:fill="FFFFFF"/>
          <w:lang w:val="el-GR"/>
        </w:rPr>
        <w:t>Ιανουάριο</w:t>
      </w:r>
      <w:r w:rsidR="002D60AC" w:rsidRPr="00A92B7F">
        <w:rPr>
          <w:rFonts w:ascii="Verdana" w:hAnsi="Verdana"/>
          <w:sz w:val="18"/>
          <w:szCs w:val="18"/>
          <w:lang w:val="el-GR"/>
        </w:rPr>
        <w:t xml:space="preserve"> </w:t>
      </w:r>
      <w:r w:rsidRPr="00A92B7F">
        <w:rPr>
          <w:rFonts w:ascii="Verdana" w:hAnsi="Verdana"/>
          <w:sz w:val="18"/>
          <w:szCs w:val="18"/>
          <w:lang w:val="el-GR"/>
        </w:rPr>
        <w:t>202</w:t>
      </w:r>
      <w:r w:rsidR="005F496F" w:rsidRPr="00A92B7F">
        <w:rPr>
          <w:rFonts w:ascii="Verdana" w:hAnsi="Verdana"/>
          <w:sz w:val="18"/>
          <w:szCs w:val="18"/>
          <w:lang w:val="el-GR"/>
        </w:rPr>
        <w:t>5</w:t>
      </w:r>
      <w:r w:rsidRPr="00A92B7F">
        <w:rPr>
          <w:rFonts w:ascii="Verdana" w:hAnsi="Verdana"/>
          <w:sz w:val="18"/>
          <w:szCs w:val="18"/>
          <w:lang w:val="el-GR"/>
        </w:rPr>
        <w:t xml:space="preserve">, σημειώνοντας </w:t>
      </w:r>
      <w:r w:rsidR="009F30D1" w:rsidRPr="00A92B7F">
        <w:rPr>
          <w:rFonts w:ascii="Verdana" w:hAnsi="Verdana"/>
          <w:sz w:val="18"/>
          <w:szCs w:val="18"/>
          <w:lang w:val="el-GR"/>
        </w:rPr>
        <w:t>αύξηση</w:t>
      </w:r>
      <w:r w:rsidR="00130514" w:rsidRPr="00A92B7F">
        <w:rPr>
          <w:rFonts w:ascii="Verdana" w:hAnsi="Verdana"/>
          <w:sz w:val="18"/>
          <w:szCs w:val="18"/>
          <w:lang w:val="el-GR"/>
        </w:rPr>
        <w:t xml:space="preserve"> </w:t>
      </w:r>
      <w:r w:rsidR="00184FB5" w:rsidRPr="00A92B7F">
        <w:rPr>
          <w:rFonts w:ascii="Verdana" w:hAnsi="Verdana"/>
          <w:sz w:val="18"/>
          <w:szCs w:val="18"/>
          <w:lang w:val="el-GR"/>
        </w:rPr>
        <w:t>16,6</w:t>
      </w:r>
      <w:r w:rsidRPr="00A92B7F">
        <w:rPr>
          <w:rFonts w:ascii="Verdana" w:hAnsi="Verdana"/>
          <w:sz w:val="18"/>
          <w:szCs w:val="18"/>
          <w:lang w:val="el-GR"/>
        </w:rPr>
        <w:t>%</w:t>
      </w:r>
      <w:r w:rsidR="00B82958" w:rsidRPr="00A92B7F">
        <w:rPr>
          <w:rFonts w:ascii="Verdana" w:hAnsi="Verdana"/>
          <w:sz w:val="18"/>
          <w:szCs w:val="18"/>
          <w:lang w:val="el-GR"/>
        </w:rPr>
        <w:t xml:space="preserve"> </w:t>
      </w:r>
      <w:r w:rsidR="00B82958" w:rsidRPr="00A92B7F">
        <w:rPr>
          <w:rFonts w:ascii="Verdana" w:hAnsi="Verdana"/>
          <w:sz w:val="18"/>
          <w:szCs w:val="18"/>
          <w:shd w:val="clear" w:color="auto" w:fill="FFFFFF"/>
          <w:lang w:val="el-GR"/>
        </w:rPr>
        <w:t>(Πίνακας)</w:t>
      </w:r>
      <w:r w:rsidRPr="00A92B7F">
        <w:rPr>
          <w:rFonts w:ascii="Verdana" w:hAnsi="Verdana"/>
          <w:sz w:val="18"/>
          <w:szCs w:val="18"/>
          <w:lang w:val="el-GR"/>
        </w:rPr>
        <w:t>. Οι εξαγωγές προς άλλα Κράτη Μέλη της ΕΕ ήταν €</w:t>
      </w:r>
      <w:r w:rsidR="00184FB5" w:rsidRPr="00A92B7F">
        <w:rPr>
          <w:rFonts w:ascii="Verdana" w:hAnsi="Verdana"/>
          <w:sz w:val="18"/>
          <w:szCs w:val="18"/>
          <w:lang w:val="el-GR"/>
        </w:rPr>
        <w:t>97,2</w:t>
      </w:r>
      <w:r w:rsidRPr="00A92B7F">
        <w:rPr>
          <w:rFonts w:ascii="Verdana" w:hAnsi="Verdana"/>
          <w:sz w:val="18"/>
          <w:szCs w:val="18"/>
          <w:lang w:val="el-GR"/>
        </w:rPr>
        <w:t xml:space="preserve"> εκ. και προς τρίτες χώρες €</w:t>
      </w:r>
      <w:r w:rsidR="00184FB5" w:rsidRPr="00A92B7F">
        <w:rPr>
          <w:rFonts w:ascii="Verdana" w:hAnsi="Verdana"/>
          <w:sz w:val="18"/>
          <w:szCs w:val="18"/>
          <w:lang w:val="el-GR"/>
        </w:rPr>
        <w:t>420,3</w:t>
      </w:r>
      <w:r w:rsidR="00E859E7" w:rsidRPr="00A92B7F">
        <w:rPr>
          <w:rFonts w:ascii="Verdana" w:hAnsi="Verdana"/>
          <w:sz w:val="18"/>
          <w:szCs w:val="18"/>
          <w:lang w:val="el-GR"/>
        </w:rPr>
        <w:t xml:space="preserve"> </w:t>
      </w:r>
      <w:r w:rsidRPr="00A92B7F">
        <w:rPr>
          <w:rFonts w:ascii="Verdana" w:hAnsi="Verdana"/>
          <w:sz w:val="18"/>
          <w:szCs w:val="18"/>
          <w:lang w:val="el-GR"/>
        </w:rPr>
        <w:t>εκ., σε σύγκριση με €</w:t>
      </w:r>
      <w:r w:rsidR="00184FB5" w:rsidRPr="00A92B7F">
        <w:rPr>
          <w:rFonts w:ascii="Verdana" w:hAnsi="Verdana"/>
          <w:sz w:val="18"/>
          <w:szCs w:val="18"/>
          <w:lang w:val="el-GR"/>
        </w:rPr>
        <w:t>84,4</w:t>
      </w:r>
      <w:r w:rsidR="00E859E7" w:rsidRPr="00A92B7F">
        <w:rPr>
          <w:rFonts w:ascii="Verdana" w:hAnsi="Verdana"/>
          <w:sz w:val="18"/>
          <w:szCs w:val="18"/>
          <w:lang w:val="el-GR"/>
        </w:rPr>
        <w:t xml:space="preserve"> </w:t>
      </w:r>
      <w:r w:rsidRPr="00A92B7F">
        <w:rPr>
          <w:rFonts w:ascii="Verdana" w:hAnsi="Verdana"/>
          <w:sz w:val="18"/>
          <w:szCs w:val="18"/>
          <w:lang w:val="el-GR"/>
        </w:rPr>
        <w:t>εκ. και €</w:t>
      </w:r>
      <w:r w:rsidR="00184FB5" w:rsidRPr="00A92B7F">
        <w:rPr>
          <w:rFonts w:ascii="Verdana" w:hAnsi="Verdana"/>
          <w:sz w:val="18"/>
          <w:szCs w:val="18"/>
          <w:lang w:val="el-GR"/>
        </w:rPr>
        <w:t>359,3</w:t>
      </w:r>
      <w:r w:rsidR="002D3E92" w:rsidRPr="00A92B7F">
        <w:rPr>
          <w:rFonts w:ascii="Verdana" w:hAnsi="Verdana"/>
          <w:sz w:val="18"/>
          <w:szCs w:val="18"/>
          <w:lang w:val="el-GR"/>
        </w:rPr>
        <w:t xml:space="preserve"> </w:t>
      </w:r>
      <w:r w:rsidRPr="00A92B7F">
        <w:rPr>
          <w:rFonts w:ascii="Verdana" w:hAnsi="Verdana"/>
          <w:sz w:val="18"/>
          <w:szCs w:val="18"/>
          <w:lang w:val="el-GR"/>
        </w:rPr>
        <w:t xml:space="preserve">εκ. αντίστοιχα τον </w:t>
      </w:r>
      <w:r w:rsidR="005B3F8D" w:rsidRPr="00A92B7F">
        <w:rPr>
          <w:rFonts w:ascii="Verdana" w:hAnsi="Verdana"/>
          <w:sz w:val="18"/>
          <w:szCs w:val="18"/>
          <w:shd w:val="clear" w:color="auto" w:fill="FFFFFF"/>
          <w:lang w:val="el-GR"/>
        </w:rPr>
        <w:t>Ιανουάριο</w:t>
      </w:r>
      <w:r w:rsidRPr="00A92B7F">
        <w:rPr>
          <w:rFonts w:ascii="Verdana" w:hAnsi="Verdana"/>
          <w:sz w:val="18"/>
          <w:szCs w:val="18"/>
          <w:lang w:val="el-GR"/>
        </w:rPr>
        <w:t xml:space="preserve"> 202</w:t>
      </w:r>
      <w:r w:rsidR="005F496F" w:rsidRPr="00A92B7F">
        <w:rPr>
          <w:rFonts w:ascii="Verdana" w:hAnsi="Verdana"/>
          <w:sz w:val="18"/>
          <w:szCs w:val="18"/>
          <w:lang w:val="el-GR"/>
        </w:rPr>
        <w:t>5</w:t>
      </w:r>
      <w:r w:rsidR="00B82958" w:rsidRPr="00A92B7F">
        <w:rPr>
          <w:rFonts w:ascii="Verdana" w:hAnsi="Verdana"/>
          <w:sz w:val="18"/>
          <w:szCs w:val="18"/>
          <w:lang w:val="el-GR"/>
        </w:rPr>
        <w:t xml:space="preserve"> (</w:t>
      </w:r>
      <w:r w:rsidR="00B82958" w:rsidRPr="002E378E">
        <w:rPr>
          <w:rFonts w:ascii="Verdana" w:hAnsi="Verdana"/>
          <w:sz w:val="18"/>
          <w:szCs w:val="18"/>
          <w:lang w:val="el-GR"/>
        </w:rPr>
        <w:t>Διάγραμμα 1).</w:t>
      </w:r>
      <w:r w:rsidR="00D65D7E" w:rsidRPr="002E378E">
        <w:rPr>
          <w:rFonts w:ascii="Verdana" w:hAnsi="Verdana"/>
          <w:sz w:val="18"/>
          <w:szCs w:val="18"/>
          <w:lang w:val="el-GR"/>
        </w:rPr>
        <w:t xml:space="preserve"> </w:t>
      </w:r>
      <w:r w:rsidR="00EE5194" w:rsidRPr="002E378E">
        <w:rPr>
          <w:rFonts w:ascii="Verdana" w:hAnsi="Verdana"/>
          <w:sz w:val="18"/>
          <w:szCs w:val="18"/>
          <w:shd w:val="clear" w:color="auto" w:fill="FFFFFF"/>
          <w:lang w:val="el-GR"/>
        </w:rPr>
        <w:t xml:space="preserve">Οι εξαγωγές τον </w:t>
      </w:r>
      <w:r w:rsidR="005B3F8D" w:rsidRPr="002E378E">
        <w:rPr>
          <w:rFonts w:ascii="Verdana" w:hAnsi="Verdana"/>
          <w:sz w:val="18"/>
          <w:szCs w:val="18"/>
          <w:shd w:val="clear" w:color="auto" w:fill="FFFFFF"/>
          <w:lang w:val="el-GR"/>
        </w:rPr>
        <w:t>Ιανουάριο</w:t>
      </w:r>
      <w:r w:rsidR="00EE5194" w:rsidRPr="002E378E">
        <w:rPr>
          <w:rFonts w:ascii="Verdana" w:hAnsi="Verdana"/>
          <w:sz w:val="18"/>
          <w:szCs w:val="18"/>
          <w:shd w:val="clear" w:color="auto" w:fill="FFFFFF"/>
          <w:lang w:val="el-GR"/>
        </w:rPr>
        <w:t xml:space="preserve"> 202</w:t>
      </w:r>
      <w:r w:rsidR="005F496F" w:rsidRPr="002E378E">
        <w:rPr>
          <w:rFonts w:ascii="Verdana" w:hAnsi="Verdana"/>
          <w:sz w:val="18"/>
          <w:szCs w:val="18"/>
          <w:shd w:val="clear" w:color="auto" w:fill="FFFFFF"/>
          <w:lang w:val="el-GR"/>
        </w:rPr>
        <w:t>6</w:t>
      </w:r>
      <w:r w:rsidR="00EE5194" w:rsidRPr="002E378E">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524CE6" w:rsidRPr="002E378E">
        <w:rPr>
          <w:rFonts w:ascii="Verdana" w:hAnsi="Verdana"/>
          <w:sz w:val="18"/>
          <w:szCs w:val="18"/>
          <w:shd w:val="clear" w:color="auto" w:fill="FFFFFF"/>
          <w:lang w:val="el-GR"/>
        </w:rPr>
        <w:t>193,5</w:t>
      </w:r>
      <w:r w:rsidR="00D82FBF" w:rsidRPr="002E378E">
        <w:rPr>
          <w:rFonts w:ascii="Verdana" w:hAnsi="Verdana"/>
          <w:sz w:val="18"/>
          <w:szCs w:val="18"/>
          <w:shd w:val="clear" w:color="auto" w:fill="FFFFFF"/>
          <w:lang w:val="el-GR"/>
        </w:rPr>
        <w:t xml:space="preserve"> </w:t>
      </w:r>
      <w:r w:rsidR="00EE5194" w:rsidRPr="002E378E">
        <w:rPr>
          <w:rFonts w:ascii="Verdana" w:hAnsi="Verdana"/>
          <w:sz w:val="18"/>
          <w:szCs w:val="18"/>
          <w:shd w:val="clear" w:color="auto" w:fill="FFFFFF"/>
          <w:lang w:val="el-GR"/>
        </w:rPr>
        <w:t>εκ. έναντι €</w:t>
      </w:r>
      <w:r w:rsidR="00184FB5" w:rsidRPr="002E378E">
        <w:rPr>
          <w:rFonts w:ascii="Verdana" w:hAnsi="Verdana"/>
          <w:sz w:val="18"/>
          <w:szCs w:val="18"/>
          <w:shd w:val="clear" w:color="auto" w:fill="FFFFFF"/>
          <w:lang w:val="el-GR"/>
        </w:rPr>
        <w:t>11,3</w:t>
      </w:r>
      <w:r w:rsidR="00EE5194" w:rsidRPr="002E378E">
        <w:rPr>
          <w:rFonts w:ascii="Verdana" w:hAnsi="Verdana"/>
          <w:sz w:val="18"/>
          <w:szCs w:val="18"/>
          <w:shd w:val="clear" w:color="auto" w:fill="FFFFFF"/>
          <w:lang w:val="el-GR"/>
        </w:rPr>
        <w:t xml:space="preserve"> εκ. τον </w:t>
      </w:r>
      <w:r w:rsidR="005B3F8D" w:rsidRPr="002E378E">
        <w:rPr>
          <w:rFonts w:ascii="Verdana" w:hAnsi="Verdana"/>
          <w:sz w:val="18"/>
          <w:szCs w:val="18"/>
          <w:shd w:val="clear" w:color="auto" w:fill="FFFFFF"/>
          <w:lang w:val="el-GR"/>
        </w:rPr>
        <w:t>Ιανουάριο</w:t>
      </w:r>
      <w:r w:rsidR="00EE5194" w:rsidRPr="002E378E">
        <w:rPr>
          <w:rFonts w:ascii="Verdana" w:hAnsi="Verdana"/>
          <w:sz w:val="18"/>
          <w:szCs w:val="18"/>
          <w:shd w:val="clear" w:color="auto" w:fill="FFFFFF"/>
          <w:lang w:val="el-GR"/>
        </w:rPr>
        <w:t xml:space="preserve"> 202</w:t>
      </w:r>
      <w:r w:rsidR="005F496F" w:rsidRPr="002E378E">
        <w:rPr>
          <w:rFonts w:ascii="Verdana" w:hAnsi="Verdana"/>
          <w:sz w:val="18"/>
          <w:szCs w:val="18"/>
          <w:shd w:val="clear" w:color="auto" w:fill="FFFFFF"/>
          <w:lang w:val="el-GR"/>
        </w:rPr>
        <w:t>5</w:t>
      </w:r>
      <w:r w:rsidR="00EE5194" w:rsidRPr="002E378E">
        <w:rPr>
          <w:rFonts w:ascii="Verdana" w:hAnsi="Verdana"/>
          <w:sz w:val="18"/>
          <w:szCs w:val="18"/>
          <w:shd w:val="clear" w:color="auto" w:fill="FFFFFF"/>
          <w:lang w:val="el-GR"/>
        </w:rPr>
        <w:t>.</w:t>
      </w:r>
    </w:p>
    <w:p w14:paraId="04EDCB01" w14:textId="77777777" w:rsidR="00BF6947" w:rsidRPr="00F90AF2" w:rsidRDefault="00BF6947" w:rsidP="002F0E81">
      <w:pPr>
        <w:jc w:val="both"/>
        <w:rPr>
          <w:rFonts w:ascii="Verdana" w:hAnsi="Verdana"/>
          <w:sz w:val="18"/>
          <w:szCs w:val="18"/>
          <w:shd w:val="clear" w:color="auto" w:fill="FFFFFF"/>
          <w:lang w:val="el-GR"/>
        </w:rPr>
      </w:pPr>
    </w:p>
    <w:p w14:paraId="02EA3411" w14:textId="4711EE97" w:rsidR="00775CFC" w:rsidRPr="008936A8" w:rsidRDefault="00775CFC" w:rsidP="002F0E81">
      <w:pPr>
        <w:jc w:val="both"/>
        <w:rPr>
          <w:rFonts w:ascii="Verdana" w:hAnsi="Verdana"/>
          <w:sz w:val="18"/>
          <w:szCs w:val="18"/>
          <w:shd w:val="clear" w:color="auto" w:fill="FFFFFF"/>
          <w:lang w:val="el-GR"/>
        </w:rPr>
      </w:pPr>
      <w:r w:rsidRPr="00A92B7F">
        <w:rPr>
          <w:rFonts w:ascii="Verdana" w:hAnsi="Verdana"/>
          <w:b/>
          <w:bCs/>
          <w:sz w:val="18"/>
          <w:szCs w:val="18"/>
          <w:shd w:val="clear" w:color="auto" w:fill="FFFFFF"/>
          <w:lang w:val="el-GR"/>
        </w:rPr>
        <w:t>Το έλλειμμα του εμπορικού ισοζυγίου ήταν €</w:t>
      </w:r>
      <w:r w:rsidR="00CA7A64" w:rsidRPr="00A92B7F">
        <w:rPr>
          <w:rFonts w:ascii="Verdana" w:hAnsi="Verdana"/>
          <w:b/>
          <w:bCs/>
          <w:sz w:val="18"/>
          <w:szCs w:val="18"/>
          <w:shd w:val="clear" w:color="auto" w:fill="FFFFFF"/>
          <w:lang w:val="el-GR"/>
        </w:rPr>
        <w:t>476,6</w:t>
      </w:r>
      <w:r w:rsidRPr="00A92B7F">
        <w:rPr>
          <w:rFonts w:ascii="Verdana" w:hAnsi="Verdana"/>
          <w:b/>
          <w:bCs/>
          <w:sz w:val="18"/>
          <w:szCs w:val="18"/>
          <w:shd w:val="clear" w:color="auto" w:fill="FFFFFF"/>
          <w:lang w:val="el-GR"/>
        </w:rPr>
        <w:t xml:space="preserve"> εκ. για τ</w:t>
      </w:r>
      <w:r w:rsidR="005B3F8D" w:rsidRPr="00A92B7F">
        <w:rPr>
          <w:rFonts w:ascii="Verdana" w:hAnsi="Verdana"/>
          <w:b/>
          <w:bCs/>
          <w:sz w:val="18"/>
          <w:szCs w:val="18"/>
          <w:shd w:val="clear" w:color="auto" w:fill="FFFFFF"/>
          <w:lang w:val="el-GR"/>
        </w:rPr>
        <w:t>ον</w:t>
      </w:r>
      <w:r w:rsidRPr="00A92B7F">
        <w:rPr>
          <w:rFonts w:ascii="Verdana" w:hAnsi="Verdana"/>
          <w:b/>
          <w:bCs/>
          <w:sz w:val="18"/>
          <w:szCs w:val="18"/>
          <w:shd w:val="clear" w:color="auto" w:fill="FFFFFF"/>
          <w:lang w:val="el-GR"/>
        </w:rPr>
        <w:t xml:space="preserve"> Ιανου</w:t>
      </w:r>
      <w:r w:rsidR="005B3F8D" w:rsidRPr="00A92B7F">
        <w:rPr>
          <w:rFonts w:ascii="Verdana" w:hAnsi="Verdana"/>
          <w:b/>
          <w:bCs/>
          <w:sz w:val="18"/>
          <w:szCs w:val="18"/>
          <w:shd w:val="clear" w:color="auto" w:fill="FFFFFF"/>
          <w:lang w:val="el-GR"/>
        </w:rPr>
        <w:t>άριο</w:t>
      </w:r>
      <w:r w:rsidRPr="00A92B7F">
        <w:rPr>
          <w:rFonts w:ascii="Verdana" w:hAnsi="Verdana"/>
          <w:b/>
          <w:bCs/>
          <w:sz w:val="18"/>
          <w:szCs w:val="18"/>
          <w:shd w:val="clear" w:color="auto" w:fill="FFFFFF"/>
          <w:lang w:val="el-GR"/>
        </w:rPr>
        <w:t xml:space="preserve"> 202</w:t>
      </w:r>
      <w:r w:rsidR="005F496F" w:rsidRPr="00A92B7F">
        <w:rPr>
          <w:rFonts w:ascii="Verdana" w:hAnsi="Verdana"/>
          <w:b/>
          <w:bCs/>
          <w:sz w:val="18"/>
          <w:szCs w:val="18"/>
          <w:shd w:val="clear" w:color="auto" w:fill="FFFFFF"/>
          <w:lang w:val="el-GR"/>
        </w:rPr>
        <w:t>6</w:t>
      </w:r>
      <w:r w:rsidRPr="00A92B7F">
        <w:rPr>
          <w:rFonts w:ascii="Verdana" w:hAnsi="Verdana"/>
          <w:sz w:val="18"/>
          <w:szCs w:val="18"/>
          <w:shd w:val="clear" w:color="auto" w:fill="FFFFFF"/>
          <w:lang w:val="el-GR"/>
        </w:rPr>
        <w:t xml:space="preserve"> σε σύγκριση με €</w:t>
      </w:r>
      <w:r w:rsidR="00CA7A64" w:rsidRPr="00A92B7F">
        <w:rPr>
          <w:rFonts w:ascii="Verdana" w:hAnsi="Verdana"/>
          <w:sz w:val="18"/>
          <w:szCs w:val="18"/>
          <w:shd w:val="clear" w:color="auto" w:fill="FFFFFF"/>
          <w:lang w:val="el-GR"/>
        </w:rPr>
        <w:t>707,5</w:t>
      </w:r>
      <w:r w:rsidRPr="00A92B7F">
        <w:rPr>
          <w:rFonts w:ascii="Verdana" w:hAnsi="Verdana"/>
          <w:sz w:val="18"/>
          <w:szCs w:val="18"/>
          <w:shd w:val="clear" w:color="auto" w:fill="FFFFFF"/>
          <w:lang w:val="el-GR"/>
        </w:rPr>
        <w:t xml:space="preserve"> εκ. </w:t>
      </w:r>
      <w:r w:rsidR="00540AB3" w:rsidRPr="00A92B7F">
        <w:rPr>
          <w:rFonts w:ascii="Verdana" w:hAnsi="Verdana"/>
          <w:sz w:val="18"/>
          <w:szCs w:val="18"/>
          <w:shd w:val="clear" w:color="auto" w:fill="FFFFFF"/>
          <w:lang w:val="el-GR"/>
        </w:rPr>
        <w:t>τον Ιανουάριο</w:t>
      </w:r>
      <w:r w:rsidRPr="00A92B7F">
        <w:rPr>
          <w:rFonts w:ascii="Verdana" w:hAnsi="Verdana"/>
          <w:sz w:val="18"/>
          <w:szCs w:val="18"/>
          <w:shd w:val="clear" w:color="auto" w:fill="FFFFFF"/>
          <w:lang w:val="el-GR"/>
        </w:rPr>
        <w:t xml:space="preserve"> 202</w:t>
      </w:r>
      <w:r w:rsidR="005F496F" w:rsidRPr="00A92B7F">
        <w:rPr>
          <w:rFonts w:ascii="Verdana" w:hAnsi="Verdana"/>
          <w:sz w:val="18"/>
          <w:szCs w:val="18"/>
          <w:shd w:val="clear" w:color="auto" w:fill="FFFFFF"/>
          <w:lang w:val="el-GR"/>
        </w:rPr>
        <w:t>5</w:t>
      </w:r>
      <w:r w:rsidRPr="00A92B7F">
        <w:rPr>
          <w:rFonts w:ascii="Verdana" w:hAnsi="Verdana"/>
          <w:sz w:val="18"/>
          <w:szCs w:val="18"/>
          <w:shd w:val="clear" w:color="auto" w:fill="FFFFFF"/>
          <w:lang w:val="el-GR"/>
        </w:rPr>
        <w:t>.</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3B348EDA" w:rsidR="00EC2E65" w:rsidRPr="00A73FF6" w:rsidRDefault="005F496F"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0E104456" wp14:editId="6595B458">
            <wp:extent cx="6071870" cy="3621405"/>
            <wp:effectExtent l="0" t="0" r="5080" b="0"/>
            <wp:docPr id="20816556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596A4EAE" w14:textId="7DF55750" w:rsidR="001712CF" w:rsidRDefault="001712CF" w:rsidP="000E4CB0">
      <w:pPr>
        <w:jc w:val="both"/>
        <w:rPr>
          <w:rFonts w:ascii="Verdana" w:hAnsi="Verdana" w:cs="Arial"/>
          <w:sz w:val="18"/>
          <w:szCs w:val="18"/>
          <w:lang w:val="el-GR"/>
        </w:rPr>
      </w:pPr>
    </w:p>
    <w:p w14:paraId="08667BE9" w14:textId="77777777" w:rsidR="009169C0" w:rsidRDefault="009169C0" w:rsidP="00EC2E65">
      <w:pPr>
        <w:rPr>
          <w:rFonts w:ascii="Verdana" w:eastAsia="Malgun Gothic" w:hAnsi="Verdana" w:cs="Arial"/>
          <w:b/>
          <w:sz w:val="18"/>
          <w:szCs w:val="18"/>
          <w:u w:val="single"/>
          <w:lang w:val="el-GR"/>
        </w:rPr>
      </w:pPr>
    </w:p>
    <w:p w14:paraId="13C3E82D" w14:textId="77777777" w:rsidR="009169C0" w:rsidRDefault="009169C0" w:rsidP="00EC2E65">
      <w:pPr>
        <w:rPr>
          <w:rFonts w:ascii="Verdana" w:eastAsia="Malgun Gothic" w:hAnsi="Verdana" w:cs="Arial"/>
          <w:b/>
          <w:sz w:val="18"/>
          <w:szCs w:val="18"/>
          <w:u w:val="single"/>
          <w:lang w:val="el-GR"/>
        </w:rPr>
      </w:pPr>
    </w:p>
    <w:p w14:paraId="163AC160" w14:textId="77777777" w:rsidR="009169C0" w:rsidRDefault="009169C0" w:rsidP="00EC2E65">
      <w:pPr>
        <w:rPr>
          <w:rFonts w:ascii="Verdana" w:eastAsia="Malgun Gothic" w:hAnsi="Verdana" w:cs="Arial"/>
          <w:b/>
          <w:sz w:val="18"/>
          <w:szCs w:val="18"/>
          <w:u w:val="single"/>
          <w:lang w:val="el-GR"/>
        </w:rPr>
      </w:pPr>
    </w:p>
    <w:p w14:paraId="4D8BCD17" w14:textId="77777777" w:rsidR="009169C0" w:rsidRDefault="009169C0" w:rsidP="00EC2E65">
      <w:pPr>
        <w:rPr>
          <w:rFonts w:ascii="Verdana" w:eastAsia="Malgun Gothic" w:hAnsi="Verdana" w:cs="Arial"/>
          <w:b/>
          <w:sz w:val="18"/>
          <w:szCs w:val="18"/>
          <w:u w:val="single"/>
          <w:lang w:val="el-GR"/>
        </w:rPr>
      </w:pPr>
    </w:p>
    <w:p w14:paraId="7557FF82" w14:textId="77FE7649" w:rsidR="0045602C" w:rsidRPr="00A92B7F" w:rsidRDefault="009169C0" w:rsidP="00EC2E65">
      <w:pPr>
        <w:rPr>
          <w:rFonts w:ascii="Verdana" w:eastAsia="Malgun Gothic" w:hAnsi="Verdana" w:cs="Arial"/>
          <w:b/>
          <w:sz w:val="18"/>
          <w:szCs w:val="18"/>
          <w:u w:val="single"/>
          <w:lang w:val="el-GR"/>
        </w:rPr>
      </w:pPr>
      <w:r w:rsidRPr="00A92B7F">
        <w:rPr>
          <w:rFonts w:ascii="Verdana" w:eastAsia="Malgun Gothic" w:hAnsi="Verdana" w:cs="Arial"/>
          <w:b/>
          <w:sz w:val="18"/>
          <w:szCs w:val="18"/>
          <w:u w:val="single"/>
          <w:lang w:val="el-GR"/>
        </w:rPr>
        <w:lastRenderedPageBreak/>
        <w:t>Δεκέμβριος</w:t>
      </w:r>
      <w:r w:rsidR="00EC2E65" w:rsidRPr="00A92B7F">
        <w:rPr>
          <w:rFonts w:ascii="Verdana" w:eastAsia="Malgun Gothic" w:hAnsi="Verdana" w:cs="Arial"/>
          <w:b/>
          <w:sz w:val="18"/>
          <w:szCs w:val="18"/>
          <w:u w:val="single"/>
          <w:lang w:val="el-GR"/>
        </w:rPr>
        <w:t xml:space="preserve"> 202</w:t>
      </w:r>
      <w:r w:rsidR="001B0A1B" w:rsidRPr="00A92B7F">
        <w:rPr>
          <w:rFonts w:ascii="Verdana" w:eastAsia="Malgun Gothic" w:hAnsi="Verdana" w:cs="Arial"/>
          <w:b/>
          <w:sz w:val="18"/>
          <w:szCs w:val="18"/>
          <w:u w:val="single"/>
          <w:lang w:val="el-GR"/>
        </w:rPr>
        <w:t>5</w:t>
      </w:r>
      <w:r w:rsidR="00EC2E65" w:rsidRPr="00A92B7F">
        <w:rPr>
          <w:rFonts w:ascii="Verdana" w:eastAsia="Malgun Gothic" w:hAnsi="Verdana" w:cs="Arial"/>
          <w:b/>
          <w:sz w:val="18"/>
          <w:szCs w:val="18"/>
          <w:u w:val="single"/>
          <w:lang w:val="el-GR"/>
        </w:rPr>
        <w:t>, Τελικά Στοιχεία</w:t>
      </w:r>
    </w:p>
    <w:p w14:paraId="49A58465" w14:textId="77777777" w:rsidR="00AF423B" w:rsidRPr="00A92B7F" w:rsidRDefault="00AF423B" w:rsidP="00EC2E65">
      <w:pPr>
        <w:rPr>
          <w:rFonts w:ascii="Verdana" w:eastAsia="Malgun Gothic" w:hAnsi="Verdana" w:cs="Arial"/>
          <w:b/>
          <w:sz w:val="18"/>
          <w:szCs w:val="18"/>
          <w:u w:val="single"/>
          <w:lang w:val="el-GR"/>
        </w:rPr>
      </w:pPr>
    </w:p>
    <w:p w14:paraId="284B43D6" w14:textId="4839EABC" w:rsidR="00EC2E65" w:rsidRPr="00A92B7F" w:rsidRDefault="00EC2E65" w:rsidP="000302B0">
      <w:pPr>
        <w:jc w:val="both"/>
        <w:rPr>
          <w:rFonts w:ascii="Verdana" w:hAnsi="Verdana"/>
          <w:sz w:val="18"/>
          <w:szCs w:val="18"/>
          <w:lang w:val="el-GR"/>
        </w:rPr>
      </w:pPr>
      <w:r w:rsidRPr="00A92B7F">
        <w:rPr>
          <w:rFonts w:ascii="Verdana" w:hAnsi="Verdana"/>
          <w:b/>
          <w:bCs/>
          <w:sz w:val="18"/>
          <w:szCs w:val="18"/>
          <w:lang w:val="el-GR"/>
        </w:rPr>
        <w:t>Οι συνολικές εισαγωγές αγαθών ήταν €</w:t>
      </w:r>
      <w:r w:rsidR="00596261" w:rsidRPr="00A92B7F">
        <w:rPr>
          <w:rFonts w:ascii="Verdana" w:hAnsi="Verdana"/>
          <w:b/>
          <w:bCs/>
          <w:sz w:val="18"/>
          <w:szCs w:val="18"/>
          <w:lang w:val="el-GR"/>
        </w:rPr>
        <w:t xml:space="preserve">1.249,3 </w:t>
      </w:r>
      <w:r w:rsidRPr="00A92B7F">
        <w:rPr>
          <w:rFonts w:ascii="Verdana" w:hAnsi="Verdana"/>
          <w:b/>
          <w:bCs/>
          <w:sz w:val="18"/>
          <w:szCs w:val="18"/>
          <w:lang w:val="el-GR"/>
        </w:rPr>
        <w:t xml:space="preserve">εκ. τον </w:t>
      </w:r>
      <w:r w:rsidR="009169C0" w:rsidRPr="00A92B7F">
        <w:rPr>
          <w:rFonts w:ascii="Verdana" w:hAnsi="Verdana"/>
          <w:b/>
          <w:bCs/>
          <w:sz w:val="18"/>
          <w:szCs w:val="18"/>
          <w:lang w:val="el-GR"/>
        </w:rPr>
        <w:t>Δεκέμβριο</w:t>
      </w:r>
      <w:r w:rsidRPr="00A92B7F">
        <w:rPr>
          <w:rFonts w:ascii="Verdana" w:hAnsi="Verdana"/>
          <w:b/>
          <w:bCs/>
          <w:sz w:val="18"/>
          <w:szCs w:val="18"/>
          <w:lang w:val="el-GR"/>
        </w:rPr>
        <w:t xml:space="preserve"> 202</w:t>
      </w:r>
      <w:r w:rsidR="001B0A1B" w:rsidRPr="00A92B7F">
        <w:rPr>
          <w:rFonts w:ascii="Verdana" w:hAnsi="Verdana"/>
          <w:b/>
          <w:bCs/>
          <w:sz w:val="18"/>
          <w:szCs w:val="18"/>
          <w:lang w:val="el-GR"/>
        </w:rPr>
        <w:t>5</w:t>
      </w:r>
      <w:r w:rsidRPr="00A92B7F">
        <w:rPr>
          <w:rFonts w:ascii="Verdana" w:hAnsi="Verdana"/>
          <w:sz w:val="18"/>
          <w:szCs w:val="18"/>
          <w:lang w:val="el-GR"/>
        </w:rPr>
        <w:t xml:space="preserve"> σε σύγκριση με €</w:t>
      </w:r>
      <w:r w:rsidR="00596261" w:rsidRPr="00A92B7F">
        <w:rPr>
          <w:rFonts w:ascii="Verdana" w:hAnsi="Verdana"/>
          <w:sz w:val="18"/>
          <w:szCs w:val="18"/>
          <w:lang w:val="el-GR"/>
        </w:rPr>
        <w:t>1.386,1</w:t>
      </w:r>
      <w:r w:rsidR="00806EE1" w:rsidRPr="00A92B7F">
        <w:rPr>
          <w:rFonts w:ascii="Verdana" w:hAnsi="Verdana"/>
          <w:sz w:val="18"/>
          <w:szCs w:val="18"/>
          <w:lang w:val="el-GR"/>
        </w:rPr>
        <w:t xml:space="preserve"> </w:t>
      </w:r>
      <w:r w:rsidRPr="00A92B7F">
        <w:rPr>
          <w:rFonts w:ascii="Verdana" w:hAnsi="Verdana"/>
          <w:sz w:val="18"/>
          <w:szCs w:val="18"/>
          <w:lang w:val="el-GR"/>
        </w:rPr>
        <w:t xml:space="preserve">εκ.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4</w:t>
      </w:r>
      <w:r w:rsidRPr="00A92B7F">
        <w:rPr>
          <w:rFonts w:ascii="Verdana" w:hAnsi="Verdana"/>
          <w:sz w:val="18"/>
          <w:szCs w:val="18"/>
          <w:lang w:val="el-GR"/>
        </w:rPr>
        <w:t xml:space="preserve">, σημειώνοντας </w:t>
      </w:r>
      <w:r w:rsidR="00475676" w:rsidRPr="00A92B7F">
        <w:rPr>
          <w:rFonts w:ascii="Verdana" w:hAnsi="Verdana"/>
          <w:sz w:val="18"/>
          <w:szCs w:val="18"/>
          <w:lang w:val="el-GR"/>
        </w:rPr>
        <w:t>μείωση</w:t>
      </w:r>
      <w:r w:rsidRPr="00A92B7F">
        <w:rPr>
          <w:rFonts w:ascii="Verdana" w:hAnsi="Verdana"/>
          <w:sz w:val="18"/>
          <w:szCs w:val="18"/>
          <w:lang w:val="el-GR"/>
        </w:rPr>
        <w:t xml:space="preserve"> </w:t>
      </w:r>
      <w:r w:rsidR="00596261" w:rsidRPr="00A92B7F">
        <w:rPr>
          <w:rFonts w:ascii="Verdana" w:hAnsi="Verdana"/>
          <w:sz w:val="18"/>
          <w:szCs w:val="18"/>
          <w:lang w:val="el-GR"/>
        </w:rPr>
        <w:t>9,9</w:t>
      </w:r>
      <w:r w:rsidR="00FC798F" w:rsidRPr="00A92B7F">
        <w:rPr>
          <w:rFonts w:ascii="Verdana" w:hAnsi="Verdana"/>
          <w:sz w:val="18"/>
          <w:szCs w:val="18"/>
          <w:lang w:val="el-GR"/>
        </w:rPr>
        <w:t>%</w:t>
      </w:r>
      <w:r w:rsidRPr="00A92B7F">
        <w:rPr>
          <w:rFonts w:ascii="Verdana" w:hAnsi="Verdana"/>
          <w:sz w:val="18"/>
          <w:szCs w:val="18"/>
          <w:lang w:val="el-GR"/>
        </w:rPr>
        <w:t>.</w:t>
      </w:r>
      <w:r w:rsidR="00120334" w:rsidRPr="00A92B7F">
        <w:rPr>
          <w:rFonts w:ascii="Verdana" w:hAnsi="Verdana"/>
          <w:sz w:val="18"/>
          <w:szCs w:val="18"/>
          <w:lang w:val="el-GR"/>
        </w:rPr>
        <w:t xml:space="preserve"> (Πίνακας)</w:t>
      </w:r>
    </w:p>
    <w:p w14:paraId="6A763338" w14:textId="77777777" w:rsidR="00EC2E65" w:rsidRPr="00A92B7F" w:rsidRDefault="00EC2E65" w:rsidP="000302B0">
      <w:pPr>
        <w:jc w:val="both"/>
        <w:rPr>
          <w:rFonts w:ascii="Verdana" w:hAnsi="Verdana"/>
          <w:sz w:val="18"/>
          <w:szCs w:val="18"/>
          <w:lang w:val="el-GR"/>
        </w:rPr>
      </w:pPr>
      <w:r w:rsidRPr="00A92B7F">
        <w:rPr>
          <w:rFonts w:ascii="Verdana" w:hAnsi="Verdana"/>
          <w:sz w:val="18"/>
          <w:szCs w:val="18"/>
          <w:lang w:val="el-GR"/>
        </w:rPr>
        <w:t xml:space="preserve"> </w:t>
      </w:r>
    </w:p>
    <w:p w14:paraId="3678A2BC" w14:textId="31DEEDEF" w:rsidR="00883C56" w:rsidRPr="00A92B7F" w:rsidRDefault="00EC2E65" w:rsidP="000302B0">
      <w:pPr>
        <w:jc w:val="both"/>
        <w:rPr>
          <w:rFonts w:ascii="Verdana" w:hAnsi="Verdana"/>
          <w:sz w:val="18"/>
          <w:szCs w:val="18"/>
          <w:lang w:val="el-GR"/>
        </w:rPr>
      </w:pPr>
      <w:r w:rsidRPr="00A92B7F">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9169C0" w:rsidRPr="00A92B7F">
        <w:rPr>
          <w:rFonts w:ascii="Verdana" w:hAnsi="Verdana"/>
          <w:b/>
          <w:bCs/>
          <w:sz w:val="18"/>
          <w:szCs w:val="18"/>
          <w:lang w:val="el-GR"/>
        </w:rPr>
        <w:t>Δεκέμβριο</w:t>
      </w:r>
      <w:r w:rsidR="00770A29" w:rsidRPr="00A92B7F">
        <w:rPr>
          <w:rFonts w:ascii="Verdana" w:hAnsi="Verdana"/>
          <w:b/>
          <w:bCs/>
          <w:sz w:val="18"/>
          <w:szCs w:val="18"/>
          <w:lang w:val="el-GR"/>
        </w:rPr>
        <w:t xml:space="preserve"> </w:t>
      </w:r>
      <w:r w:rsidRPr="00A92B7F">
        <w:rPr>
          <w:rFonts w:ascii="Verdana" w:hAnsi="Verdana"/>
          <w:b/>
          <w:bCs/>
          <w:sz w:val="18"/>
          <w:szCs w:val="18"/>
          <w:lang w:val="el-GR"/>
        </w:rPr>
        <w:t>202</w:t>
      </w:r>
      <w:r w:rsidR="001B0A1B" w:rsidRPr="00A92B7F">
        <w:rPr>
          <w:rFonts w:ascii="Verdana" w:hAnsi="Verdana"/>
          <w:b/>
          <w:bCs/>
          <w:sz w:val="18"/>
          <w:szCs w:val="18"/>
          <w:lang w:val="el-GR"/>
        </w:rPr>
        <w:t>5</w:t>
      </w:r>
      <w:r w:rsidRPr="00A92B7F">
        <w:rPr>
          <w:rFonts w:ascii="Verdana" w:hAnsi="Verdana"/>
          <w:b/>
          <w:bCs/>
          <w:sz w:val="18"/>
          <w:szCs w:val="18"/>
          <w:lang w:val="el-GR"/>
        </w:rPr>
        <w:t xml:space="preserve"> ήταν €</w:t>
      </w:r>
      <w:r w:rsidR="00596261" w:rsidRPr="00A92B7F">
        <w:rPr>
          <w:rFonts w:ascii="Verdana" w:hAnsi="Verdana"/>
          <w:b/>
          <w:bCs/>
          <w:sz w:val="18"/>
          <w:szCs w:val="18"/>
          <w:lang w:val="el-GR"/>
        </w:rPr>
        <w:t>274,2</w:t>
      </w:r>
      <w:r w:rsidR="00C14566" w:rsidRPr="00A92B7F">
        <w:rPr>
          <w:rFonts w:ascii="Verdana" w:hAnsi="Verdana"/>
          <w:b/>
          <w:bCs/>
          <w:sz w:val="18"/>
          <w:szCs w:val="18"/>
          <w:lang w:val="el-GR"/>
        </w:rPr>
        <w:t xml:space="preserve"> </w:t>
      </w:r>
      <w:r w:rsidRPr="00A92B7F">
        <w:rPr>
          <w:rFonts w:ascii="Verdana" w:hAnsi="Verdana"/>
          <w:b/>
          <w:bCs/>
          <w:sz w:val="18"/>
          <w:szCs w:val="18"/>
          <w:lang w:val="el-GR"/>
        </w:rPr>
        <w:t>εκ.</w:t>
      </w:r>
      <w:r w:rsidRPr="00A92B7F">
        <w:rPr>
          <w:rFonts w:ascii="Verdana" w:hAnsi="Verdana"/>
          <w:sz w:val="18"/>
          <w:szCs w:val="18"/>
          <w:lang w:val="el-GR"/>
        </w:rPr>
        <w:t xml:space="preserve"> σε σύγκριση με €</w:t>
      </w:r>
      <w:r w:rsidR="00596261" w:rsidRPr="00A92B7F">
        <w:rPr>
          <w:rFonts w:ascii="Verdana" w:hAnsi="Verdana"/>
          <w:sz w:val="18"/>
          <w:szCs w:val="18"/>
          <w:lang w:val="el-GR"/>
        </w:rPr>
        <w:t>249,7</w:t>
      </w:r>
      <w:r w:rsidRPr="00A92B7F">
        <w:rPr>
          <w:rFonts w:ascii="Verdana" w:hAnsi="Verdana"/>
          <w:sz w:val="18"/>
          <w:szCs w:val="18"/>
          <w:lang w:val="el-GR"/>
        </w:rPr>
        <w:t xml:space="preserve"> εκ.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4</w:t>
      </w:r>
      <w:r w:rsidRPr="00A92B7F">
        <w:rPr>
          <w:rFonts w:ascii="Verdana" w:hAnsi="Verdana"/>
          <w:sz w:val="18"/>
          <w:szCs w:val="18"/>
          <w:lang w:val="el-GR"/>
        </w:rPr>
        <w:t xml:space="preserve">, καταγράφοντας </w:t>
      </w:r>
      <w:r w:rsidR="0057238E" w:rsidRPr="00A92B7F">
        <w:rPr>
          <w:rFonts w:ascii="Verdana" w:hAnsi="Verdana"/>
          <w:sz w:val="18"/>
          <w:szCs w:val="18"/>
          <w:lang w:val="el-GR"/>
        </w:rPr>
        <w:t xml:space="preserve">αύξηση </w:t>
      </w:r>
      <w:r w:rsidR="00596261" w:rsidRPr="00A92B7F">
        <w:rPr>
          <w:rFonts w:ascii="Verdana" w:hAnsi="Verdana"/>
          <w:sz w:val="18"/>
          <w:szCs w:val="18"/>
          <w:lang w:val="el-GR"/>
        </w:rPr>
        <w:t>9,8</w:t>
      </w:r>
      <w:r w:rsidRPr="00A92B7F">
        <w:rPr>
          <w:rFonts w:ascii="Verdana" w:hAnsi="Verdana"/>
          <w:sz w:val="18"/>
          <w:szCs w:val="18"/>
          <w:lang w:val="el-GR"/>
        </w:rPr>
        <w:t xml:space="preserve">%. </w:t>
      </w:r>
    </w:p>
    <w:p w14:paraId="4114BD10" w14:textId="77777777" w:rsidR="00883C56" w:rsidRPr="00A92B7F" w:rsidRDefault="00883C56" w:rsidP="000302B0">
      <w:pPr>
        <w:jc w:val="both"/>
        <w:rPr>
          <w:rFonts w:ascii="Verdana" w:hAnsi="Verdana"/>
          <w:sz w:val="18"/>
          <w:szCs w:val="18"/>
          <w:lang w:val="el-GR"/>
        </w:rPr>
      </w:pPr>
    </w:p>
    <w:p w14:paraId="5397DA50" w14:textId="12E05E69" w:rsidR="00EC2E65" w:rsidRPr="00A92B7F" w:rsidRDefault="00EC2E65" w:rsidP="000302B0">
      <w:pPr>
        <w:jc w:val="both"/>
        <w:rPr>
          <w:rFonts w:ascii="Verdana" w:hAnsi="Verdana"/>
          <w:sz w:val="18"/>
          <w:szCs w:val="18"/>
          <w:lang w:val="el-GR"/>
        </w:rPr>
      </w:pPr>
      <w:r w:rsidRPr="00A92B7F">
        <w:rPr>
          <w:rFonts w:ascii="Verdana" w:hAnsi="Verdana"/>
          <w:b/>
          <w:bCs/>
          <w:sz w:val="18"/>
          <w:szCs w:val="18"/>
          <w:lang w:val="el-GR"/>
        </w:rPr>
        <w:t xml:space="preserve">Η αξία των </w:t>
      </w:r>
      <w:r w:rsidR="00576E34" w:rsidRPr="00A92B7F">
        <w:rPr>
          <w:rFonts w:ascii="Verdana" w:hAnsi="Verdana"/>
          <w:b/>
          <w:bCs/>
          <w:sz w:val="18"/>
          <w:szCs w:val="18"/>
          <w:lang w:val="el-GR"/>
        </w:rPr>
        <w:t xml:space="preserve">εγχώριων </w:t>
      </w:r>
      <w:r w:rsidRPr="00A92B7F">
        <w:rPr>
          <w:rFonts w:ascii="Verdana" w:hAnsi="Verdana"/>
          <w:b/>
          <w:bCs/>
          <w:sz w:val="18"/>
          <w:szCs w:val="18"/>
          <w:lang w:val="el-GR"/>
        </w:rPr>
        <w:t>εξαγωγών βιομηχανικών προϊόντων</w:t>
      </w:r>
      <w:r w:rsidR="00883C56" w:rsidRPr="00A92B7F">
        <w:rPr>
          <w:rFonts w:ascii="Verdana" w:hAnsi="Verdana"/>
          <w:b/>
          <w:bCs/>
          <w:sz w:val="18"/>
          <w:szCs w:val="18"/>
          <w:lang w:val="el-GR"/>
        </w:rPr>
        <w:t>, εξαιρουμένων των προμηθειών πλοίων και αεροπλάνων,</w:t>
      </w:r>
      <w:r w:rsidR="003E6531" w:rsidRPr="00A92B7F">
        <w:rPr>
          <w:rFonts w:ascii="Verdana" w:hAnsi="Verdana"/>
          <w:sz w:val="18"/>
          <w:szCs w:val="18"/>
          <w:lang w:val="el-GR"/>
        </w:rPr>
        <w:t xml:space="preserve"> </w:t>
      </w:r>
      <w:r w:rsidRPr="00A92B7F">
        <w:rPr>
          <w:rFonts w:ascii="Verdana" w:hAnsi="Verdana"/>
          <w:sz w:val="18"/>
          <w:szCs w:val="18"/>
          <w:lang w:val="el-GR"/>
        </w:rPr>
        <w:t xml:space="preserve">για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5</w:t>
      </w:r>
      <w:r w:rsidRPr="00A92B7F">
        <w:rPr>
          <w:rFonts w:ascii="Verdana" w:hAnsi="Verdana"/>
          <w:sz w:val="18"/>
          <w:szCs w:val="18"/>
          <w:lang w:val="el-GR"/>
        </w:rPr>
        <w:t xml:space="preserve"> ανήλθε σε €</w:t>
      </w:r>
      <w:r w:rsidR="00DE7787" w:rsidRPr="00A92B7F">
        <w:rPr>
          <w:rFonts w:ascii="Verdana" w:hAnsi="Verdana"/>
          <w:sz w:val="18"/>
          <w:szCs w:val="18"/>
          <w:lang w:val="el-GR"/>
        </w:rPr>
        <w:t>262,5</w:t>
      </w:r>
      <w:r w:rsidR="00397947" w:rsidRPr="00A92B7F">
        <w:rPr>
          <w:rFonts w:ascii="Verdana" w:hAnsi="Verdana"/>
          <w:sz w:val="18"/>
          <w:szCs w:val="18"/>
          <w:lang w:val="el-GR"/>
        </w:rPr>
        <w:t xml:space="preserve"> </w:t>
      </w:r>
      <w:r w:rsidRPr="00A92B7F">
        <w:rPr>
          <w:rFonts w:ascii="Verdana" w:hAnsi="Verdana"/>
          <w:sz w:val="18"/>
          <w:szCs w:val="18"/>
          <w:lang w:val="el-GR"/>
        </w:rPr>
        <w:t>εκ. σε σύγκριση με €</w:t>
      </w:r>
      <w:r w:rsidR="00DE7787" w:rsidRPr="00A92B7F">
        <w:rPr>
          <w:rFonts w:ascii="Verdana" w:hAnsi="Verdana"/>
          <w:sz w:val="18"/>
          <w:szCs w:val="18"/>
          <w:lang w:val="el-GR"/>
        </w:rPr>
        <w:t>239,0</w:t>
      </w:r>
      <w:r w:rsidRPr="00A92B7F">
        <w:rPr>
          <w:rFonts w:ascii="Verdana" w:hAnsi="Verdana"/>
          <w:sz w:val="18"/>
          <w:szCs w:val="18"/>
          <w:lang w:val="el-GR"/>
        </w:rPr>
        <w:t xml:space="preserve"> εκ.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4</w:t>
      </w:r>
      <w:r w:rsidR="00883C56" w:rsidRPr="00A92B7F">
        <w:rPr>
          <w:rFonts w:ascii="Verdana" w:hAnsi="Verdana"/>
          <w:b/>
          <w:bCs/>
          <w:sz w:val="18"/>
          <w:szCs w:val="18"/>
          <w:lang w:val="el-GR"/>
        </w:rPr>
        <w:t xml:space="preserve">. Η </w:t>
      </w:r>
      <w:r w:rsidRPr="00A92B7F">
        <w:rPr>
          <w:rFonts w:ascii="Verdana" w:hAnsi="Verdana"/>
          <w:b/>
          <w:bCs/>
          <w:sz w:val="18"/>
          <w:szCs w:val="18"/>
          <w:lang w:val="el-GR"/>
        </w:rPr>
        <w:t>αξία των</w:t>
      </w:r>
      <w:r w:rsidR="00FA18AE" w:rsidRPr="00A92B7F">
        <w:rPr>
          <w:rFonts w:ascii="Verdana" w:hAnsi="Verdana"/>
          <w:b/>
          <w:bCs/>
          <w:sz w:val="18"/>
          <w:szCs w:val="18"/>
          <w:lang w:val="el-GR"/>
        </w:rPr>
        <w:t xml:space="preserve"> εγχώριων</w:t>
      </w:r>
      <w:r w:rsidRPr="00A92B7F">
        <w:rPr>
          <w:rFonts w:ascii="Verdana" w:hAnsi="Verdana"/>
          <w:b/>
          <w:bCs/>
          <w:sz w:val="18"/>
          <w:szCs w:val="18"/>
          <w:lang w:val="el-GR"/>
        </w:rPr>
        <w:t xml:space="preserve"> εξαγωγών γεωργικών προϊόντων</w:t>
      </w:r>
      <w:r w:rsidR="00883C56" w:rsidRPr="00A92B7F">
        <w:rPr>
          <w:rFonts w:ascii="Verdana" w:hAnsi="Verdana"/>
          <w:b/>
          <w:bCs/>
          <w:sz w:val="18"/>
          <w:szCs w:val="18"/>
          <w:lang w:val="el-GR"/>
        </w:rPr>
        <w:t>, εξαιρουμένων των προμηθειών πλοίων και αεροπλάνων,</w:t>
      </w:r>
      <w:r w:rsidRPr="00A92B7F">
        <w:rPr>
          <w:rFonts w:ascii="Verdana" w:hAnsi="Verdana"/>
          <w:sz w:val="18"/>
          <w:szCs w:val="18"/>
          <w:lang w:val="el-GR"/>
        </w:rPr>
        <w:t xml:space="preserve"> για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5</w:t>
      </w:r>
      <w:r w:rsidRPr="00A92B7F">
        <w:rPr>
          <w:rFonts w:ascii="Verdana" w:hAnsi="Verdana"/>
          <w:sz w:val="18"/>
          <w:szCs w:val="18"/>
          <w:lang w:val="el-GR"/>
        </w:rPr>
        <w:t xml:space="preserve"> ανήλθε στα €</w:t>
      </w:r>
      <w:r w:rsidR="00DE7787" w:rsidRPr="00A92B7F">
        <w:rPr>
          <w:rFonts w:ascii="Verdana" w:hAnsi="Verdana"/>
          <w:sz w:val="18"/>
          <w:szCs w:val="18"/>
          <w:lang w:val="el-GR"/>
        </w:rPr>
        <w:t>10,9</w:t>
      </w:r>
      <w:r w:rsidR="00A63D75" w:rsidRPr="00A92B7F">
        <w:rPr>
          <w:rFonts w:ascii="Verdana" w:hAnsi="Verdana"/>
          <w:sz w:val="18"/>
          <w:szCs w:val="18"/>
          <w:lang w:val="el-GR"/>
        </w:rPr>
        <w:t xml:space="preserve"> </w:t>
      </w:r>
      <w:r w:rsidRPr="00A92B7F">
        <w:rPr>
          <w:rFonts w:ascii="Verdana" w:hAnsi="Verdana"/>
          <w:sz w:val="18"/>
          <w:szCs w:val="18"/>
          <w:lang w:val="el-GR"/>
        </w:rPr>
        <w:t>εκ. έναντι €</w:t>
      </w:r>
      <w:r w:rsidR="00DE7787" w:rsidRPr="00A92B7F">
        <w:rPr>
          <w:rFonts w:ascii="Verdana" w:hAnsi="Verdana"/>
          <w:sz w:val="18"/>
          <w:szCs w:val="18"/>
          <w:lang w:val="el-GR"/>
        </w:rPr>
        <w:t>9,2</w:t>
      </w:r>
      <w:r w:rsidR="008C7AAB" w:rsidRPr="00A92B7F">
        <w:rPr>
          <w:rFonts w:ascii="Verdana" w:hAnsi="Verdana"/>
          <w:sz w:val="18"/>
          <w:szCs w:val="18"/>
          <w:lang w:val="el-GR"/>
        </w:rPr>
        <w:t xml:space="preserve"> </w:t>
      </w:r>
      <w:r w:rsidRPr="00A92B7F">
        <w:rPr>
          <w:rFonts w:ascii="Verdana" w:hAnsi="Verdana"/>
          <w:sz w:val="18"/>
          <w:szCs w:val="18"/>
          <w:lang w:val="el-GR"/>
        </w:rPr>
        <w:t xml:space="preserve">εκ.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4</w:t>
      </w:r>
      <w:r w:rsidRPr="00A92B7F">
        <w:rPr>
          <w:rFonts w:ascii="Verdana" w:hAnsi="Verdana"/>
          <w:sz w:val="18"/>
          <w:szCs w:val="18"/>
          <w:lang w:val="el-GR"/>
        </w:rPr>
        <w:t xml:space="preserve">. </w:t>
      </w:r>
    </w:p>
    <w:p w14:paraId="20335C0A" w14:textId="2FC5ADEB" w:rsidR="00EC2E65" w:rsidRPr="00A92B7F" w:rsidRDefault="00EC2E65" w:rsidP="000302B0">
      <w:pPr>
        <w:jc w:val="both"/>
        <w:rPr>
          <w:rFonts w:ascii="Verdana" w:hAnsi="Verdana"/>
          <w:sz w:val="18"/>
          <w:szCs w:val="18"/>
          <w:lang w:val="el-GR"/>
        </w:rPr>
      </w:pPr>
    </w:p>
    <w:p w14:paraId="4DADD2E8" w14:textId="5914270C" w:rsidR="00AF423B" w:rsidRPr="00F90AF2" w:rsidRDefault="00AF423B" w:rsidP="000302B0">
      <w:pPr>
        <w:jc w:val="both"/>
        <w:rPr>
          <w:rFonts w:ascii="Verdana" w:hAnsi="Verdana"/>
          <w:sz w:val="18"/>
          <w:szCs w:val="18"/>
          <w:lang w:val="el-GR"/>
        </w:rPr>
      </w:pPr>
      <w:r w:rsidRPr="00A92B7F">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9169C0" w:rsidRPr="00A92B7F">
        <w:rPr>
          <w:rFonts w:ascii="Verdana" w:hAnsi="Verdana"/>
          <w:b/>
          <w:bCs/>
          <w:sz w:val="18"/>
          <w:szCs w:val="18"/>
          <w:lang w:val="el-GR"/>
        </w:rPr>
        <w:t>Δεκέμβριο</w:t>
      </w:r>
      <w:r w:rsidR="00451DE2" w:rsidRPr="00A92B7F">
        <w:rPr>
          <w:rFonts w:ascii="Verdana" w:hAnsi="Verdana"/>
          <w:b/>
          <w:bCs/>
          <w:sz w:val="18"/>
          <w:szCs w:val="18"/>
          <w:lang w:val="el-GR"/>
        </w:rPr>
        <w:t xml:space="preserve"> </w:t>
      </w:r>
      <w:r w:rsidRPr="00A92B7F">
        <w:rPr>
          <w:rFonts w:ascii="Verdana" w:hAnsi="Verdana"/>
          <w:b/>
          <w:bCs/>
          <w:sz w:val="18"/>
          <w:szCs w:val="18"/>
          <w:lang w:val="el-GR"/>
        </w:rPr>
        <w:t>202</w:t>
      </w:r>
      <w:r w:rsidR="001B0A1B" w:rsidRPr="00A92B7F">
        <w:rPr>
          <w:rFonts w:ascii="Verdana" w:hAnsi="Verdana"/>
          <w:b/>
          <w:bCs/>
          <w:sz w:val="18"/>
          <w:szCs w:val="18"/>
          <w:lang w:val="el-GR"/>
        </w:rPr>
        <w:t>5</w:t>
      </w:r>
      <w:r w:rsidRPr="00A92B7F">
        <w:rPr>
          <w:rFonts w:ascii="Verdana" w:hAnsi="Verdana"/>
          <w:b/>
          <w:bCs/>
          <w:sz w:val="18"/>
          <w:szCs w:val="18"/>
          <w:lang w:val="el-GR"/>
        </w:rPr>
        <w:t xml:space="preserve"> ήταν €</w:t>
      </w:r>
      <w:r w:rsidR="00DE7787" w:rsidRPr="00A92B7F">
        <w:rPr>
          <w:rFonts w:ascii="Verdana" w:hAnsi="Verdana"/>
          <w:b/>
          <w:bCs/>
          <w:sz w:val="18"/>
          <w:szCs w:val="18"/>
          <w:lang w:val="el-GR"/>
        </w:rPr>
        <w:t>224,2</w:t>
      </w:r>
      <w:r w:rsidRPr="00A92B7F">
        <w:rPr>
          <w:rFonts w:ascii="Verdana" w:hAnsi="Verdana"/>
          <w:b/>
          <w:bCs/>
          <w:sz w:val="18"/>
          <w:szCs w:val="18"/>
          <w:lang w:val="el-GR"/>
        </w:rPr>
        <w:t xml:space="preserve"> εκ.</w:t>
      </w:r>
      <w:r w:rsidRPr="00A92B7F">
        <w:rPr>
          <w:rFonts w:ascii="Verdana" w:hAnsi="Verdana"/>
          <w:sz w:val="18"/>
          <w:szCs w:val="18"/>
          <w:lang w:val="el-GR"/>
        </w:rPr>
        <w:t xml:space="preserve"> σε σύγκριση με €</w:t>
      </w:r>
      <w:r w:rsidR="00DE7787" w:rsidRPr="00A92B7F">
        <w:rPr>
          <w:rFonts w:ascii="Verdana" w:hAnsi="Verdana"/>
          <w:sz w:val="18"/>
          <w:szCs w:val="18"/>
          <w:lang w:val="el-GR"/>
        </w:rPr>
        <w:t>126,2</w:t>
      </w:r>
      <w:r w:rsidRPr="00A92B7F">
        <w:rPr>
          <w:rFonts w:ascii="Verdana" w:hAnsi="Verdana"/>
          <w:sz w:val="18"/>
          <w:szCs w:val="18"/>
          <w:lang w:val="el-GR"/>
        </w:rPr>
        <w:t xml:space="preserve"> εκ. τον </w:t>
      </w:r>
      <w:r w:rsidR="009169C0" w:rsidRPr="00A92B7F">
        <w:rPr>
          <w:rFonts w:ascii="Verdana" w:hAnsi="Verdana"/>
          <w:sz w:val="18"/>
          <w:szCs w:val="18"/>
          <w:lang w:val="el-GR"/>
        </w:rPr>
        <w:t>Δεκέμβριο</w:t>
      </w:r>
      <w:r w:rsidRPr="00A92B7F">
        <w:rPr>
          <w:rFonts w:ascii="Verdana" w:hAnsi="Verdana"/>
          <w:sz w:val="18"/>
          <w:szCs w:val="18"/>
          <w:lang w:val="el-GR"/>
        </w:rPr>
        <w:t xml:space="preserve"> 202</w:t>
      </w:r>
      <w:r w:rsidR="001B0A1B" w:rsidRPr="00A92B7F">
        <w:rPr>
          <w:rFonts w:ascii="Verdana" w:hAnsi="Verdana"/>
          <w:sz w:val="18"/>
          <w:szCs w:val="18"/>
          <w:lang w:val="el-GR"/>
        </w:rPr>
        <w:t>4</w:t>
      </w:r>
      <w:r w:rsidRPr="00A92B7F">
        <w:rPr>
          <w:rFonts w:ascii="Verdana" w:hAnsi="Verdana"/>
          <w:sz w:val="18"/>
          <w:szCs w:val="18"/>
          <w:lang w:val="el-GR"/>
        </w:rPr>
        <w:t xml:space="preserve">, σημειώνοντας </w:t>
      </w:r>
      <w:r w:rsidR="0057238E" w:rsidRPr="00A92B7F">
        <w:rPr>
          <w:rFonts w:ascii="Verdana" w:hAnsi="Verdana"/>
          <w:sz w:val="18"/>
          <w:szCs w:val="18"/>
          <w:lang w:val="el-GR"/>
        </w:rPr>
        <w:t xml:space="preserve">αύξηση </w:t>
      </w:r>
      <w:r w:rsidR="00DE7787" w:rsidRPr="00A92B7F">
        <w:rPr>
          <w:rFonts w:ascii="Verdana" w:hAnsi="Verdana"/>
          <w:sz w:val="18"/>
          <w:szCs w:val="18"/>
          <w:lang w:val="el-GR"/>
        </w:rPr>
        <w:t>77,7</w:t>
      </w:r>
      <w:r w:rsidRPr="00A92B7F">
        <w:rPr>
          <w:rFonts w:ascii="Verdana" w:hAnsi="Verdana"/>
          <w:sz w:val="18"/>
          <w:szCs w:val="18"/>
          <w:lang w:val="el-GR"/>
        </w:rPr>
        <w:t>%.</w:t>
      </w:r>
    </w:p>
    <w:p w14:paraId="1AA167D8" w14:textId="7EBD70CA" w:rsidR="00176F99" w:rsidRPr="00F90AF2" w:rsidRDefault="00176F99" w:rsidP="000E4CB0">
      <w:pPr>
        <w:jc w:val="both"/>
        <w:rPr>
          <w:rFonts w:ascii="Verdana" w:hAnsi="Verdana" w:cs="Arial"/>
          <w:sz w:val="18"/>
          <w:szCs w:val="18"/>
          <w:lang w:val="el-GR"/>
        </w:rPr>
      </w:pPr>
    </w:p>
    <w:p w14:paraId="6ACB44DA" w14:textId="302067D0" w:rsidR="004740BE" w:rsidRPr="00301A5C" w:rsidRDefault="003E0690" w:rsidP="000E4CB0">
      <w:pPr>
        <w:jc w:val="both"/>
        <w:rPr>
          <w:rFonts w:ascii="Verdana" w:hAnsi="Verdana" w:cs="Arial"/>
          <w:sz w:val="18"/>
          <w:szCs w:val="18"/>
          <w:lang w:val="el-GR"/>
        </w:rPr>
      </w:pPr>
      <w:r w:rsidRPr="00A92B7F">
        <w:rPr>
          <w:rFonts w:ascii="Verdana" w:hAnsi="Verdana" w:cs="Arial"/>
          <w:b/>
          <w:bCs/>
          <w:sz w:val="18"/>
          <w:szCs w:val="18"/>
          <w:lang w:val="el-GR"/>
        </w:rPr>
        <w:t>Οι</w:t>
      </w:r>
      <w:r w:rsidR="004740BE" w:rsidRPr="00A92B7F">
        <w:rPr>
          <w:rFonts w:ascii="Verdana" w:hAnsi="Verdana" w:cs="Arial"/>
          <w:b/>
          <w:bCs/>
          <w:sz w:val="18"/>
          <w:szCs w:val="18"/>
          <w:lang w:val="el-GR"/>
        </w:rPr>
        <w:t xml:space="preserve"> </w:t>
      </w:r>
      <w:r w:rsidRPr="00A92B7F">
        <w:rPr>
          <w:rFonts w:ascii="Verdana" w:hAnsi="Verdana" w:cs="Arial"/>
          <w:b/>
          <w:bCs/>
          <w:sz w:val="18"/>
          <w:szCs w:val="18"/>
          <w:lang w:val="el-GR"/>
        </w:rPr>
        <w:t>κυριότερες</w:t>
      </w:r>
      <w:r w:rsidR="004740BE" w:rsidRPr="00A92B7F">
        <w:rPr>
          <w:rFonts w:ascii="Verdana" w:hAnsi="Verdana" w:cs="Arial"/>
          <w:b/>
          <w:bCs/>
          <w:sz w:val="18"/>
          <w:szCs w:val="18"/>
          <w:lang w:val="el-GR"/>
        </w:rPr>
        <w:t xml:space="preserve"> </w:t>
      </w:r>
      <w:r w:rsidRPr="00A92B7F">
        <w:rPr>
          <w:rFonts w:ascii="Verdana" w:hAnsi="Verdana" w:cs="Arial"/>
          <w:b/>
          <w:bCs/>
          <w:sz w:val="18"/>
          <w:szCs w:val="18"/>
          <w:lang w:val="el-GR"/>
        </w:rPr>
        <w:t>κατηγορίες εξαγωγών</w:t>
      </w:r>
      <w:r w:rsidR="004740BE" w:rsidRPr="00A92B7F">
        <w:rPr>
          <w:rFonts w:ascii="Verdana" w:hAnsi="Verdana" w:cs="Arial"/>
          <w:b/>
          <w:bCs/>
          <w:sz w:val="18"/>
          <w:szCs w:val="18"/>
          <w:lang w:val="el-GR"/>
        </w:rPr>
        <w:t xml:space="preserve"> εγχώρια </w:t>
      </w:r>
      <w:r w:rsidRPr="00A92B7F">
        <w:rPr>
          <w:rFonts w:ascii="Verdana" w:hAnsi="Verdana" w:cs="Arial"/>
          <w:b/>
          <w:bCs/>
          <w:sz w:val="18"/>
          <w:szCs w:val="18"/>
          <w:lang w:val="el-GR"/>
        </w:rPr>
        <w:t>παραγόμενων προϊόντων</w:t>
      </w:r>
      <w:r w:rsidRPr="00A92B7F">
        <w:rPr>
          <w:rFonts w:ascii="Verdana" w:hAnsi="Verdana" w:cs="Arial"/>
          <w:sz w:val="18"/>
          <w:szCs w:val="18"/>
          <w:lang w:val="el-GR"/>
        </w:rPr>
        <w:t xml:space="preserve"> κ</w:t>
      </w:r>
      <w:r w:rsidR="00301A5C" w:rsidRPr="00A92B7F">
        <w:rPr>
          <w:rFonts w:ascii="Verdana" w:hAnsi="Verdana" w:cs="Arial"/>
          <w:sz w:val="18"/>
          <w:szCs w:val="18"/>
          <w:lang w:val="el-GR"/>
        </w:rPr>
        <w:t>ατά την περίοδο Ιανουαρίου-</w:t>
      </w:r>
      <w:r w:rsidR="009169C0" w:rsidRPr="00A92B7F">
        <w:rPr>
          <w:rFonts w:ascii="Verdana" w:hAnsi="Verdana" w:cs="Arial"/>
          <w:sz w:val="18"/>
          <w:szCs w:val="18"/>
          <w:lang w:val="el-GR"/>
        </w:rPr>
        <w:t>Δεκεμβρίου</w:t>
      </w:r>
      <w:r w:rsidR="00301A5C" w:rsidRPr="00A92B7F">
        <w:rPr>
          <w:rFonts w:ascii="Verdana" w:hAnsi="Verdana" w:cs="Arial"/>
          <w:sz w:val="18"/>
          <w:szCs w:val="18"/>
          <w:lang w:val="el-GR"/>
        </w:rPr>
        <w:t xml:space="preserve"> 2025 </w:t>
      </w:r>
      <w:r w:rsidR="004740BE" w:rsidRPr="00A92B7F">
        <w:rPr>
          <w:rFonts w:ascii="Verdana" w:hAnsi="Verdana" w:cs="Arial"/>
          <w:sz w:val="18"/>
          <w:szCs w:val="18"/>
          <w:lang w:val="el-GR"/>
        </w:rPr>
        <w:t>(εξ. των προμηθειών σε πλοία και αεροσκάφη)</w:t>
      </w:r>
      <w:r w:rsidR="002B6BDE" w:rsidRPr="00A92B7F">
        <w:rPr>
          <w:rFonts w:ascii="Verdana" w:hAnsi="Verdana" w:cs="Arial"/>
          <w:sz w:val="18"/>
          <w:szCs w:val="18"/>
          <w:lang w:val="el-GR"/>
        </w:rPr>
        <w:t>,</w:t>
      </w:r>
      <w:r w:rsidR="004740BE" w:rsidRPr="00A92B7F">
        <w:rPr>
          <w:rFonts w:ascii="Verdana" w:hAnsi="Verdana" w:cs="Arial"/>
          <w:sz w:val="18"/>
          <w:szCs w:val="18"/>
          <w:lang w:val="el-GR"/>
        </w:rPr>
        <w:t xml:space="preserve"> </w:t>
      </w:r>
      <w:r w:rsidRPr="00A92B7F">
        <w:rPr>
          <w:rFonts w:ascii="Verdana" w:hAnsi="Verdana" w:cs="Arial"/>
          <w:sz w:val="18"/>
          <w:szCs w:val="18"/>
          <w:lang w:val="el-GR"/>
        </w:rPr>
        <w:t>ήταν</w:t>
      </w:r>
      <w:r w:rsidR="004740BE" w:rsidRPr="00A92B7F">
        <w:rPr>
          <w:rFonts w:ascii="Verdana" w:hAnsi="Verdana" w:cs="Arial"/>
          <w:sz w:val="18"/>
          <w:szCs w:val="18"/>
          <w:lang w:val="el-GR"/>
        </w:rPr>
        <w:t xml:space="preserve"> τα ορυκτά καύσιμα και λάδια</w:t>
      </w:r>
      <w:r w:rsidR="00301A5C" w:rsidRPr="00A92B7F">
        <w:rPr>
          <w:rFonts w:ascii="Verdana" w:hAnsi="Verdana" w:cs="Arial"/>
          <w:sz w:val="18"/>
          <w:szCs w:val="18"/>
          <w:lang w:val="el-GR"/>
        </w:rPr>
        <w:t xml:space="preserve"> </w:t>
      </w:r>
      <w:r w:rsidRPr="00A92B7F">
        <w:rPr>
          <w:rFonts w:ascii="Verdana" w:hAnsi="Verdana" w:cs="Arial"/>
          <w:sz w:val="18"/>
          <w:szCs w:val="18"/>
          <w:lang w:val="el-GR"/>
        </w:rPr>
        <w:t>με αξία</w:t>
      </w:r>
      <w:r w:rsidR="00301A5C" w:rsidRPr="00A92B7F">
        <w:rPr>
          <w:rFonts w:ascii="Verdana" w:hAnsi="Verdana" w:cs="Arial"/>
          <w:sz w:val="18"/>
          <w:szCs w:val="18"/>
          <w:lang w:val="el-GR"/>
        </w:rPr>
        <w:t xml:space="preserve"> €</w:t>
      </w:r>
      <w:r w:rsidR="00DE7787" w:rsidRPr="00A92B7F">
        <w:rPr>
          <w:rFonts w:ascii="Verdana" w:hAnsi="Verdana" w:cs="Arial"/>
          <w:sz w:val="18"/>
          <w:szCs w:val="18"/>
          <w:lang w:val="el-GR"/>
        </w:rPr>
        <w:t>2.331,4</w:t>
      </w:r>
      <w:r w:rsidR="00301A5C" w:rsidRPr="00A92B7F">
        <w:rPr>
          <w:rFonts w:ascii="Verdana" w:hAnsi="Verdana" w:cs="Arial"/>
          <w:sz w:val="18"/>
          <w:szCs w:val="18"/>
          <w:lang w:val="el-GR"/>
        </w:rPr>
        <w:t xml:space="preserve"> εκ.</w:t>
      </w:r>
      <w:r w:rsidRPr="00A92B7F">
        <w:rPr>
          <w:rFonts w:ascii="Verdana" w:hAnsi="Verdana" w:cs="Arial"/>
          <w:sz w:val="18"/>
          <w:szCs w:val="18"/>
          <w:lang w:val="el-GR"/>
        </w:rPr>
        <w:t>,</w:t>
      </w:r>
      <w:r w:rsidR="00301A5C" w:rsidRPr="00A92B7F">
        <w:rPr>
          <w:rFonts w:ascii="Verdana" w:hAnsi="Verdana" w:cs="Arial"/>
          <w:sz w:val="18"/>
          <w:szCs w:val="18"/>
          <w:lang w:val="el-GR"/>
        </w:rPr>
        <w:t xml:space="preserve"> το </w:t>
      </w:r>
      <w:proofErr w:type="spellStart"/>
      <w:r w:rsidR="00301A5C" w:rsidRPr="00A92B7F">
        <w:rPr>
          <w:rFonts w:ascii="Verdana" w:hAnsi="Verdana" w:cs="Arial"/>
          <w:sz w:val="18"/>
          <w:szCs w:val="18"/>
          <w:lang w:val="el-GR"/>
        </w:rPr>
        <w:t>χαλλούμι</w:t>
      </w:r>
      <w:proofErr w:type="spellEnd"/>
      <w:r w:rsidR="00301A5C" w:rsidRPr="00A92B7F">
        <w:rPr>
          <w:rFonts w:ascii="Verdana" w:hAnsi="Verdana" w:cs="Arial"/>
          <w:sz w:val="18"/>
          <w:szCs w:val="18"/>
          <w:lang w:val="el-GR"/>
        </w:rPr>
        <w:t xml:space="preserve"> </w:t>
      </w:r>
      <w:r w:rsidRPr="00A92B7F">
        <w:rPr>
          <w:rFonts w:ascii="Verdana" w:hAnsi="Verdana" w:cs="Arial"/>
          <w:sz w:val="18"/>
          <w:szCs w:val="18"/>
          <w:lang w:val="el-GR"/>
        </w:rPr>
        <w:t xml:space="preserve">με αξία </w:t>
      </w:r>
      <w:r w:rsidR="00301A5C" w:rsidRPr="00A92B7F">
        <w:rPr>
          <w:rFonts w:ascii="Verdana" w:hAnsi="Verdana" w:cs="Arial"/>
          <w:sz w:val="18"/>
          <w:szCs w:val="18"/>
          <w:lang w:val="el-GR"/>
        </w:rPr>
        <w:t>€</w:t>
      </w:r>
      <w:r w:rsidR="00DE7787" w:rsidRPr="00A92B7F">
        <w:rPr>
          <w:rFonts w:ascii="Verdana" w:hAnsi="Verdana" w:cs="Arial"/>
          <w:sz w:val="18"/>
          <w:szCs w:val="18"/>
          <w:lang w:val="el-GR"/>
        </w:rPr>
        <w:t>356,9</w:t>
      </w:r>
      <w:r w:rsidR="00A765E2" w:rsidRPr="00A92B7F">
        <w:rPr>
          <w:rFonts w:ascii="Verdana" w:hAnsi="Verdana" w:cs="Arial"/>
          <w:sz w:val="18"/>
          <w:szCs w:val="18"/>
          <w:lang w:val="el-GR"/>
        </w:rPr>
        <w:t xml:space="preserve"> </w:t>
      </w:r>
      <w:r w:rsidR="00301A5C" w:rsidRPr="00A92B7F">
        <w:rPr>
          <w:rFonts w:ascii="Verdana" w:hAnsi="Verdana" w:cs="Arial"/>
          <w:sz w:val="18"/>
          <w:szCs w:val="18"/>
          <w:lang w:val="el-GR"/>
        </w:rPr>
        <w:t>εκ.</w:t>
      </w:r>
      <w:r w:rsidRPr="00A92B7F">
        <w:rPr>
          <w:rFonts w:ascii="Verdana" w:hAnsi="Verdana" w:cs="Arial"/>
          <w:sz w:val="18"/>
          <w:szCs w:val="18"/>
          <w:lang w:val="el-GR"/>
        </w:rPr>
        <w:t xml:space="preserve"> και </w:t>
      </w:r>
      <w:r w:rsidR="00301A5C" w:rsidRPr="00A92B7F">
        <w:rPr>
          <w:rFonts w:ascii="Verdana" w:hAnsi="Verdana" w:cs="Arial"/>
          <w:sz w:val="18"/>
          <w:szCs w:val="18"/>
          <w:lang w:val="el-GR"/>
        </w:rPr>
        <w:t xml:space="preserve">τα φαρμακευτικά προϊόντα </w:t>
      </w:r>
      <w:r w:rsidRPr="00A92B7F">
        <w:rPr>
          <w:rFonts w:ascii="Verdana" w:hAnsi="Verdana" w:cs="Arial"/>
          <w:sz w:val="18"/>
          <w:szCs w:val="18"/>
          <w:lang w:val="el-GR"/>
        </w:rPr>
        <w:t>με αξία</w:t>
      </w:r>
      <w:r w:rsidR="00301A5C" w:rsidRPr="00A92B7F">
        <w:rPr>
          <w:rFonts w:ascii="Verdana" w:hAnsi="Verdana" w:cs="Arial"/>
          <w:sz w:val="18"/>
          <w:szCs w:val="18"/>
          <w:lang w:val="el-GR"/>
        </w:rPr>
        <w:t xml:space="preserve"> €</w:t>
      </w:r>
      <w:r w:rsidR="00DE7787" w:rsidRPr="00A92B7F">
        <w:rPr>
          <w:rFonts w:ascii="Verdana" w:hAnsi="Verdana" w:cs="Arial"/>
          <w:sz w:val="18"/>
          <w:szCs w:val="18"/>
          <w:lang w:val="el-GR"/>
        </w:rPr>
        <w:t>356,2</w:t>
      </w:r>
      <w:r w:rsidR="00301A5C" w:rsidRPr="00A92B7F">
        <w:rPr>
          <w:rFonts w:ascii="Verdana" w:hAnsi="Verdana" w:cs="Arial"/>
          <w:sz w:val="18"/>
          <w:szCs w:val="18"/>
          <w:lang w:val="el-GR"/>
        </w:rPr>
        <w:t xml:space="preserve"> εκ.</w:t>
      </w:r>
      <w:r w:rsidRPr="00A92B7F">
        <w:rPr>
          <w:rFonts w:ascii="Verdana" w:hAnsi="Verdana" w:cs="Arial"/>
          <w:sz w:val="18"/>
          <w:szCs w:val="18"/>
          <w:lang w:val="el-GR"/>
        </w:rPr>
        <w:t xml:space="preserve"> </w:t>
      </w:r>
      <w:r w:rsidR="00301A5C" w:rsidRPr="00A92B7F">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lang w:val="el-GR"/>
        </w:rPr>
      </w:pPr>
    </w:p>
    <w:p w14:paraId="34E217CB" w14:textId="13661CF0" w:rsidR="00EC2E65" w:rsidRPr="00962572" w:rsidRDefault="00DE7787"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9FBDD8A" wp14:editId="2B13E64F">
            <wp:extent cx="6067425" cy="4438015"/>
            <wp:effectExtent l="0" t="0" r="9525" b="635"/>
            <wp:docPr id="1900485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4438015"/>
                    </a:xfrm>
                    <a:prstGeom prst="rect">
                      <a:avLst/>
                    </a:prstGeom>
                    <a:noFill/>
                  </pic:spPr>
                </pic:pic>
              </a:graphicData>
            </a:graphic>
          </wp:inline>
        </w:drawing>
      </w:r>
    </w:p>
    <w:p w14:paraId="33010AEC" w14:textId="2106E373" w:rsidR="00616251" w:rsidRPr="00791BDE" w:rsidRDefault="00616251" w:rsidP="00616251">
      <w:pPr>
        <w:jc w:val="both"/>
        <w:rPr>
          <w:rFonts w:ascii="Verdana" w:eastAsia="Malgun Gothic" w:hAnsi="Verdana" w:cs="Arial"/>
          <w:sz w:val="16"/>
          <w:szCs w:val="16"/>
          <w:lang w:val="el-GR"/>
        </w:rPr>
      </w:pPr>
      <w:r w:rsidRPr="003F5FC5">
        <w:rPr>
          <w:rFonts w:ascii="Verdana" w:eastAsia="Malgun Gothic" w:hAnsi="Verdana" w:cs="Arial"/>
          <w:sz w:val="16"/>
          <w:szCs w:val="16"/>
          <w:lang w:val="el-GR"/>
        </w:rPr>
        <w:t>Σημείωση:</w:t>
      </w:r>
      <w:r w:rsidRPr="003F5FC5">
        <w:rPr>
          <w:rFonts w:eastAsiaTheme="minorHAnsi" w:cs="Calibri"/>
          <w:sz w:val="16"/>
          <w:szCs w:val="16"/>
          <w:lang w:val="el-GR"/>
          <w14:ligatures w14:val="standardContextual"/>
        </w:rPr>
        <w:t xml:space="preserve"> </w:t>
      </w:r>
      <w:r w:rsidRPr="003F5FC5">
        <w:rPr>
          <w:rFonts w:ascii="Verdana" w:eastAsia="Malgun Gothic" w:hAnsi="Verdana" w:cs="Arial"/>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Default="00EC2E65" w:rsidP="000E4CB0">
      <w:pPr>
        <w:jc w:val="both"/>
        <w:rPr>
          <w:rFonts w:ascii="Verdana" w:hAnsi="Verdana" w:cs="Arial"/>
          <w:sz w:val="18"/>
          <w:szCs w:val="18"/>
        </w:rPr>
      </w:pPr>
    </w:p>
    <w:p w14:paraId="0C10EB29" w14:textId="77777777" w:rsidR="002F0E81" w:rsidRPr="002F0E81" w:rsidRDefault="002F0E81" w:rsidP="000E4CB0">
      <w:pPr>
        <w:jc w:val="both"/>
        <w:rPr>
          <w:rFonts w:ascii="Verdana" w:hAnsi="Verdana" w:cs="Arial"/>
          <w:sz w:val="18"/>
          <w:szCs w:val="18"/>
        </w:rPr>
      </w:pPr>
    </w:p>
    <w:p w14:paraId="3012B9F4" w14:textId="27CEC253" w:rsidR="008F4741" w:rsidRPr="008F4741" w:rsidRDefault="007B08E7" w:rsidP="008F4741">
      <w:pPr>
        <w:jc w:val="both"/>
        <w:rPr>
          <w:rFonts w:ascii="Verdana" w:hAnsi="Verdana" w:cs="Arial"/>
          <w:sz w:val="18"/>
          <w:szCs w:val="18"/>
          <w:lang w:val="el-GR"/>
        </w:rPr>
      </w:pPr>
      <w:r w:rsidRPr="00530768">
        <w:rPr>
          <w:rFonts w:ascii="Verdana" w:hAnsi="Verdana" w:cs="Arial"/>
          <w:sz w:val="18"/>
          <w:szCs w:val="18"/>
          <w:lang w:val="el-GR"/>
        </w:rPr>
        <w:t>Περισσότερα στοιχεία δημοσιεύονται στο μηνιαίο δημοσίευμα ‘Σ</w:t>
      </w:r>
      <w:r w:rsidR="009853AF" w:rsidRPr="00530768">
        <w:rPr>
          <w:rFonts w:ascii="Verdana" w:hAnsi="Verdana" w:cs="Arial"/>
          <w:sz w:val="18"/>
          <w:szCs w:val="18"/>
          <w:lang w:val="el-GR"/>
        </w:rPr>
        <w:t>τατιστικές</w:t>
      </w:r>
      <w:r w:rsidRPr="00530768">
        <w:rPr>
          <w:rFonts w:ascii="Verdana" w:hAnsi="Verdana" w:cs="Arial"/>
          <w:sz w:val="18"/>
          <w:szCs w:val="18"/>
          <w:lang w:val="el-GR"/>
        </w:rPr>
        <w:t xml:space="preserve"> </w:t>
      </w:r>
      <w:proofErr w:type="spellStart"/>
      <w:r w:rsidRPr="00530768">
        <w:rPr>
          <w:rFonts w:ascii="Verdana" w:hAnsi="Verdana" w:cs="Arial"/>
          <w:sz w:val="18"/>
          <w:szCs w:val="18"/>
          <w:lang w:val="el-GR"/>
        </w:rPr>
        <w:t>Ε</w:t>
      </w:r>
      <w:r w:rsidR="009853AF" w:rsidRPr="00530768">
        <w:rPr>
          <w:rFonts w:ascii="Verdana" w:hAnsi="Verdana" w:cs="Arial"/>
          <w:sz w:val="18"/>
          <w:szCs w:val="18"/>
          <w:lang w:val="el-GR"/>
        </w:rPr>
        <w:t>νδοενωσιακού</w:t>
      </w:r>
      <w:proofErr w:type="spellEnd"/>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και</w:t>
      </w:r>
      <w:r w:rsidRPr="00530768">
        <w:rPr>
          <w:rFonts w:ascii="Verdana" w:hAnsi="Verdana" w:cs="Arial"/>
          <w:sz w:val="18"/>
          <w:szCs w:val="18"/>
          <w:lang w:val="el-GR"/>
        </w:rPr>
        <w:t xml:space="preserve"> Ε</w:t>
      </w:r>
      <w:r w:rsidR="009853AF" w:rsidRPr="00530768">
        <w:rPr>
          <w:rFonts w:ascii="Verdana" w:hAnsi="Verdana" w:cs="Arial"/>
          <w:sz w:val="18"/>
          <w:szCs w:val="18"/>
          <w:lang w:val="el-GR"/>
        </w:rPr>
        <w:t>μπορίου</w:t>
      </w:r>
      <w:r w:rsidRPr="00530768">
        <w:rPr>
          <w:rFonts w:ascii="Verdana" w:hAnsi="Verdana" w:cs="Arial"/>
          <w:sz w:val="18"/>
          <w:szCs w:val="18"/>
          <w:lang w:val="el-GR"/>
        </w:rPr>
        <w:t xml:space="preserve"> </w:t>
      </w:r>
      <w:r w:rsidR="009853AF" w:rsidRPr="00530768">
        <w:rPr>
          <w:rFonts w:ascii="Verdana" w:hAnsi="Verdana" w:cs="Arial"/>
          <w:sz w:val="18"/>
          <w:szCs w:val="18"/>
          <w:lang w:val="el-GR"/>
        </w:rPr>
        <w:t>με</w:t>
      </w:r>
      <w:r w:rsidRPr="00530768">
        <w:rPr>
          <w:rFonts w:ascii="Verdana" w:hAnsi="Verdana" w:cs="Arial"/>
          <w:sz w:val="18"/>
          <w:szCs w:val="18"/>
          <w:lang w:val="el-GR"/>
        </w:rPr>
        <w:t xml:space="preserve"> Τ</w:t>
      </w:r>
      <w:r w:rsidR="009853AF" w:rsidRPr="00530768">
        <w:rPr>
          <w:rFonts w:ascii="Verdana" w:hAnsi="Verdana" w:cs="Arial"/>
          <w:sz w:val="18"/>
          <w:szCs w:val="18"/>
          <w:lang w:val="el-GR"/>
        </w:rPr>
        <w:t>ρίτες</w:t>
      </w:r>
      <w:r w:rsidRPr="00530768">
        <w:rPr>
          <w:rFonts w:ascii="Verdana" w:hAnsi="Verdana" w:cs="Arial"/>
          <w:sz w:val="18"/>
          <w:szCs w:val="18"/>
          <w:lang w:val="el-GR"/>
        </w:rPr>
        <w:t xml:space="preserve"> Χ</w:t>
      </w:r>
      <w:r w:rsidR="009853AF" w:rsidRPr="00530768">
        <w:rPr>
          <w:rFonts w:ascii="Verdana" w:hAnsi="Verdana" w:cs="Arial"/>
          <w:sz w:val="18"/>
          <w:szCs w:val="18"/>
          <w:lang w:val="el-GR"/>
        </w:rPr>
        <w:t>ώρες</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υνοπτικά</w:t>
      </w:r>
      <w:r w:rsidRPr="00530768">
        <w:rPr>
          <w:rFonts w:ascii="Verdana" w:hAnsi="Verdana" w:cs="Arial"/>
          <w:sz w:val="18"/>
          <w:szCs w:val="18"/>
          <w:lang w:val="el-GR"/>
        </w:rPr>
        <w:t xml:space="preserve"> Σ</w:t>
      </w:r>
      <w:r w:rsidR="009853AF" w:rsidRPr="00530768">
        <w:rPr>
          <w:rFonts w:ascii="Verdana" w:hAnsi="Verdana" w:cs="Arial"/>
          <w:sz w:val="18"/>
          <w:szCs w:val="18"/>
          <w:lang w:val="el-GR"/>
        </w:rPr>
        <w:t>τοιχεία</w:t>
      </w:r>
      <w:r w:rsidRPr="00530768">
        <w:rPr>
          <w:rFonts w:ascii="Verdana" w:hAnsi="Verdana" w:cs="Arial"/>
          <w:sz w:val="18"/>
          <w:szCs w:val="18"/>
          <w:lang w:val="el-GR"/>
        </w:rPr>
        <w:t xml:space="preserve">) </w:t>
      </w:r>
      <w:r w:rsidR="00CB5B7E" w:rsidRPr="00530768">
        <w:rPr>
          <w:rFonts w:ascii="Verdana" w:hAnsi="Verdana" w:cs="Arial"/>
          <w:sz w:val="18"/>
          <w:szCs w:val="18"/>
          <w:lang w:val="el-GR"/>
        </w:rPr>
        <w:t>–</w:t>
      </w:r>
      <w:r w:rsidRPr="00530768">
        <w:rPr>
          <w:rFonts w:ascii="Verdana" w:hAnsi="Verdana" w:cs="Arial"/>
          <w:sz w:val="18"/>
          <w:szCs w:val="18"/>
          <w:lang w:val="el-GR"/>
        </w:rPr>
        <w:t xml:space="preserve"> </w:t>
      </w:r>
      <w:r w:rsidR="009169C0">
        <w:rPr>
          <w:rFonts w:ascii="Verdana" w:hAnsi="Verdana" w:cs="Arial"/>
          <w:sz w:val="18"/>
          <w:szCs w:val="18"/>
          <w:lang w:val="el-GR"/>
        </w:rPr>
        <w:t>Δεκέμβριος</w:t>
      </w:r>
      <w:r w:rsidRPr="00530768">
        <w:rPr>
          <w:rFonts w:ascii="Verdana" w:hAnsi="Verdana" w:cs="Arial"/>
          <w:sz w:val="18"/>
          <w:szCs w:val="18"/>
          <w:lang w:val="el-GR"/>
        </w:rPr>
        <w:t xml:space="preserve"> 202</w:t>
      </w:r>
      <w:r w:rsidR="00237687">
        <w:rPr>
          <w:rFonts w:ascii="Verdana" w:hAnsi="Verdana" w:cs="Arial"/>
          <w:sz w:val="18"/>
          <w:szCs w:val="18"/>
          <w:lang w:val="el-GR"/>
        </w:rPr>
        <w:t>5</w:t>
      </w:r>
      <w:r w:rsidRPr="00530768">
        <w:rPr>
          <w:rFonts w:ascii="Verdana" w:hAnsi="Verdana" w:cs="Arial"/>
          <w:sz w:val="18"/>
          <w:szCs w:val="18"/>
          <w:lang w:val="el-GR"/>
        </w:rPr>
        <w:t>’</w:t>
      </w:r>
      <w:r w:rsidR="008F4741" w:rsidRPr="00530768">
        <w:rPr>
          <w:rFonts w:ascii="Verdana" w:hAnsi="Verdana" w:cs="Arial"/>
          <w:sz w:val="18"/>
          <w:szCs w:val="18"/>
          <w:lang w:val="el-GR"/>
        </w:rPr>
        <w:t xml:space="preserve"> </w:t>
      </w:r>
      <w:r w:rsidR="005C3E4D" w:rsidRPr="00530768">
        <w:rPr>
          <w:rFonts w:ascii="Verdana" w:hAnsi="Verdana" w:cs="Arial"/>
          <w:sz w:val="18"/>
          <w:szCs w:val="18"/>
          <w:lang w:val="el-GR"/>
        </w:rPr>
        <w:t xml:space="preserve">καθώς </w:t>
      </w:r>
      <w:r w:rsidR="008F4741" w:rsidRPr="00530768">
        <w:rPr>
          <w:rFonts w:ascii="Verdana" w:hAnsi="Verdana" w:cs="Arial"/>
          <w:sz w:val="18"/>
          <w:szCs w:val="18"/>
          <w:lang w:val="el-GR"/>
        </w:rPr>
        <w:t xml:space="preserve">και στη βάση δεδομένων </w:t>
      </w:r>
      <w:r w:rsidR="009838FC" w:rsidRPr="00530768">
        <w:rPr>
          <w:rFonts w:ascii="Verdana" w:hAnsi="Verdana" w:cs="Arial"/>
          <w:sz w:val="18"/>
          <w:szCs w:val="18"/>
          <w:lang w:val="el-GR"/>
        </w:rPr>
        <w:t>CYSTAT-DB</w:t>
      </w:r>
      <w:r w:rsidR="008F4741" w:rsidRPr="00530768">
        <w:rPr>
          <w:rFonts w:ascii="Verdana" w:hAnsi="Verdana" w:cs="Arial"/>
          <w:sz w:val="18"/>
          <w:szCs w:val="18"/>
          <w:lang w:val="el-GR"/>
        </w:rPr>
        <w:t xml:space="preserve">, κάτω από το </w:t>
      </w:r>
      <w:r w:rsidR="00381665" w:rsidRPr="00530768">
        <w:rPr>
          <w:rFonts w:ascii="Verdana" w:hAnsi="Verdana" w:cs="Arial"/>
          <w:sz w:val="18"/>
          <w:szCs w:val="18"/>
          <w:lang w:val="el-GR"/>
        </w:rPr>
        <w:t>υπόθεμα</w:t>
      </w:r>
      <w:r w:rsidR="008F4741" w:rsidRPr="00530768">
        <w:rPr>
          <w:rFonts w:ascii="Verdana" w:hAnsi="Verdana" w:cs="Arial"/>
          <w:sz w:val="18"/>
          <w:szCs w:val="18"/>
          <w:lang w:val="el-GR"/>
        </w:rPr>
        <w:t xml:space="preserve"> Εξωτερικό Εμπόριο.</w:t>
      </w: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Default="00176F99"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8A236A" w:rsidRPr="008A236A" w14:paraId="7B0AC158" w14:textId="77777777" w:rsidTr="008A236A">
        <w:trPr>
          <w:trHeight w:val="340"/>
          <w:jc w:val="center"/>
        </w:trPr>
        <w:tc>
          <w:tcPr>
            <w:tcW w:w="10065" w:type="dxa"/>
            <w:gridSpan w:val="3"/>
            <w:tcBorders>
              <w:top w:val="nil"/>
              <w:left w:val="nil"/>
              <w:bottom w:val="single" w:sz="4" w:space="0" w:color="366092"/>
              <w:right w:val="nil"/>
            </w:tcBorders>
            <w:vAlign w:val="center"/>
            <w:hideMark/>
          </w:tcPr>
          <w:p w14:paraId="4FA4A996" w14:textId="77777777" w:rsidR="004C3FF2" w:rsidRPr="008A236A" w:rsidRDefault="004C3FF2" w:rsidP="001D1496">
            <w:pPr>
              <w:rPr>
                <w:rFonts w:ascii="Verdana" w:eastAsia="Malgun Gothic" w:hAnsi="Verdana" w:cs="Arial"/>
                <w:b/>
                <w:color w:val="366092"/>
                <w:sz w:val="18"/>
                <w:szCs w:val="18"/>
                <w:lang w:val="el-GR"/>
              </w:rPr>
            </w:pPr>
            <w:bookmarkStart w:id="0" w:name="_Hlk71021327"/>
            <w:r w:rsidRPr="008A236A">
              <w:rPr>
                <w:rFonts w:ascii="Verdana" w:eastAsia="Malgun Gothic" w:hAnsi="Verdana" w:cs="Arial"/>
                <w:b/>
                <w:color w:val="366092"/>
                <w:sz w:val="18"/>
                <w:szCs w:val="18"/>
                <w:lang w:val="el-GR"/>
              </w:rPr>
              <w:lastRenderedPageBreak/>
              <w:t>Πίνακας</w:t>
            </w:r>
          </w:p>
        </w:tc>
      </w:tr>
      <w:tr w:rsidR="008A236A" w:rsidRPr="008A236A"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8A236A" w:rsidRDefault="004C3FF2" w:rsidP="001D1496">
            <w:pPr>
              <w:jc w:val="cente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8A236A" w:rsidRDefault="00B66A2B" w:rsidP="00B66A2B">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rPr>
              <w:t xml:space="preserve"> </w:t>
            </w:r>
            <w:r w:rsidR="004C3FF2" w:rsidRPr="008A236A">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8A236A" w:rsidRDefault="00B66A2B" w:rsidP="00B66A2B">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rPr>
              <w:t xml:space="preserve">     </w:t>
            </w:r>
            <w:r w:rsidR="004C3FF2" w:rsidRPr="008A236A">
              <w:rPr>
                <w:rFonts w:ascii="Verdana" w:eastAsia="Malgun Gothic" w:hAnsi="Verdana" w:cs="Arial"/>
                <w:b/>
                <w:color w:val="366092"/>
                <w:sz w:val="18"/>
                <w:szCs w:val="18"/>
                <w:lang w:val="el-GR"/>
              </w:rPr>
              <w:t xml:space="preserve">Συνολικές Εξαγωγές </w:t>
            </w:r>
          </w:p>
        </w:tc>
      </w:tr>
      <w:tr w:rsidR="008A236A" w:rsidRPr="008A236A"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8A236A"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8A236A" w:rsidRDefault="00B66A2B" w:rsidP="00B66A2B">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rPr>
              <w:t xml:space="preserve">             </w:t>
            </w:r>
            <w:r w:rsidR="004C3FF2" w:rsidRPr="008A236A">
              <w:rPr>
                <w:rFonts w:ascii="Verdana" w:eastAsia="Malgun Gothic" w:hAnsi="Verdana" w:cs="Arial"/>
                <w:b/>
                <w:color w:val="366092"/>
                <w:sz w:val="18"/>
                <w:szCs w:val="18"/>
                <w:lang w:val="el-GR"/>
              </w:rPr>
              <w:t>€000’</w:t>
            </w:r>
            <w:r w:rsidR="00A1554F" w:rsidRPr="008A236A">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8A236A" w:rsidRDefault="00B66A2B" w:rsidP="00B66A2B">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rPr>
              <w:t xml:space="preserve">                 </w:t>
            </w:r>
            <w:r w:rsidR="004C3FF2" w:rsidRPr="008A236A">
              <w:rPr>
                <w:rFonts w:ascii="Verdana" w:eastAsia="Malgun Gothic" w:hAnsi="Verdana" w:cs="Arial"/>
                <w:b/>
                <w:color w:val="366092"/>
                <w:sz w:val="18"/>
                <w:szCs w:val="18"/>
                <w:lang w:val="el-GR"/>
              </w:rPr>
              <w:t>€000’</w:t>
            </w:r>
            <w:r w:rsidR="00A1554F" w:rsidRPr="008A236A">
              <w:rPr>
                <w:rFonts w:ascii="Verdana" w:eastAsia="Malgun Gothic" w:hAnsi="Verdana" w:cs="Arial"/>
                <w:b/>
                <w:color w:val="366092"/>
                <w:sz w:val="18"/>
                <w:szCs w:val="18"/>
                <w:lang w:val="el-GR"/>
              </w:rPr>
              <w:t>ς</w:t>
            </w:r>
          </w:p>
        </w:tc>
      </w:tr>
      <w:tr w:rsidR="008A236A" w:rsidRPr="008A236A"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0EE4A741" w:rsidR="00106AD8" w:rsidRPr="008A236A" w:rsidRDefault="00B66A2B" w:rsidP="001D1496">
            <w:pPr>
              <w:ind w:left="216"/>
              <w:rPr>
                <w:rFonts w:ascii="Verdana" w:eastAsia="Malgun Gothic" w:hAnsi="Verdana" w:cs="Arial"/>
                <w:b/>
                <w:color w:val="366092"/>
                <w:sz w:val="18"/>
                <w:szCs w:val="18"/>
                <w:u w:val="single"/>
                <w:lang w:val="el-GR"/>
              </w:rPr>
            </w:pPr>
            <w:r w:rsidRPr="008A236A">
              <w:rPr>
                <w:rFonts w:ascii="Verdana" w:eastAsia="Malgun Gothic" w:hAnsi="Verdana" w:cs="Arial"/>
                <w:b/>
                <w:color w:val="366092"/>
                <w:sz w:val="18"/>
                <w:szCs w:val="18"/>
                <w:u w:val="single"/>
                <w:lang w:val="el-GR"/>
              </w:rPr>
              <w:t>202</w:t>
            </w:r>
            <w:r w:rsidR="005C6A77" w:rsidRPr="008A236A">
              <w:rPr>
                <w:rFonts w:ascii="Verdana" w:eastAsia="Malgun Gothic" w:hAnsi="Verdana" w:cs="Arial"/>
                <w:b/>
                <w:color w:val="366092"/>
                <w:sz w:val="18"/>
                <w:szCs w:val="18"/>
                <w:u w:val="single"/>
                <w:lang w:val="el-GR"/>
              </w:rPr>
              <w:t>6</w:t>
            </w:r>
          </w:p>
        </w:tc>
        <w:tc>
          <w:tcPr>
            <w:tcW w:w="3243" w:type="dxa"/>
            <w:tcBorders>
              <w:top w:val="single" w:sz="4" w:space="0" w:color="366092"/>
              <w:left w:val="nil"/>
              <w:bottom w:val="nil"/>
              <w:right w:val="nil"/>
            </w:tcBorders>
            <w:vAlign w:val="center"/>
          </w:tcPr>
          <w:p w14:paraId="6A1A42AD" w14:textId="67501C16" w:rsidR="00106AD8" w:rsidRPr="008A236A" w:rsidRDefault="00723C93" w:rsidP="00CA4919">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lang w:val="el-GR"/>
              </w:rPr>
              <w:t xml:space="preserve">         </w:t>
            </w:r>
          </w:p>
        </w:tc>
        <w:tc>
          <w:tcPr>
            <w:tcW w:w="3407" w:type="dxa"/>
            <w:tcBorders>
              <w:top w:val="single" w:sz="4" w:space="0" w:color="366092"/>
              <w:left w:val="nil"/>
              <w:bottom w:val="nil"/>
              <w:right w:val="nil"/>
            </w:tcBorders>
            <w:vAlign w:val="center"/>
          </w:tcPr>
          <w:p w14:paraId="0C7CDE10" w14:textId="1564C3E1" w:rsidR="00106AD8" w:rsidRPr="008A236A" w:rsidRDefault="00723C93" w:rsidP="00CA4919">
            <w:pPr>
              <w:rPr>
                <w:rFonts w:ascii="Verdana" w:eastAsia="Malgun Gothic" w:hAnsi="Verdana" w:cs="Arial"/>
                <w:b/>
                <w:color w:val="366092"/>
                <w:sz w:val="18"/>
                <w:szCs w:val="18"/>
                <w:lang w:val="el-GR"/>
              </w:rPr>
            </w:pPr>
            <w:r w:rsidRPr="008A236A">
              <w:rPr>
                <w:rFonts w:ascii="Verdana" w:eastAsia="Malgun Gothic" w:hAnsi="Verdana" w:cs="Arial"/>
                <w:b/>
                <w:color w:val="366092"/>
                <w:sz w:val="18"/>
                <w:szCs w:val="18"/>
                <w:lang w:val="el-GR"/>
              </w:rPr>
              <w:t xml:space="preserve">           </w:t>
            </w:r>
          </w:p>
        </w:tc>
      </w:tr>
      <w:tr w:rsidR="008A236A" w:rsidRPr="008A236A" w14:paraId="1EAC43A1" w14:textId="77777777" w:rsidTr="00030E37">
        <w:trPr>
          <w:trHeight w:val="333"/>
          <w:jc w:val="center"/>
        </w:trPr>
        <w:tc>
          <w:tcPr>
            <w:tcW w:w="3415" w:type="dxa"/>
            <w:tcBorders>
              <w:top w:val="nil"/>
              <w:left w:val="nil"/>
              <w:bottom w:val="nil"/>
              <w:right w:val="nil"/>
            </w:tcBorders>
            <w:vAlign w:val="center"/>
          </w:tcPr>
          <w:p w14:paraId="78206CD5" w14:textId="43B4D1E0" w:rsidR="00165E21" w:rsidRPr="008A236A" w:rsidRDefault="00165E21" w:rsidP="00165E21">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EFC2244" w14:textId="242CACD9" w:rsidR="00165E21" w:rsidRPr="008A236A" w:rsidRDefault="00165E21" w:rsidP="008A236A">
            <w:pPr>
              <w:ind w:right="1310" w:firstLine="161"/>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003C5F57" w:rsidRPr="008A236A">
              <w:rPr>
                <w:rFonts w:ascii="Verdana" w:hAnsi="Verdana" w:cs="Arial"/>
                <w:color w:val="366092"/>
                <w:sz w:val="18"/>
                <w:szCs w:val="18"/>
                <w:lang w:val="el-GR"/>
              </w:rPr>
              <w:t>994.064</w:t>
            </w:r>
          </w:p>
        </w:tc>
        <w:tc>
          <w:tcPr>
            <w:tcW w:w="3407" w:type="dxa"/>
            <w:tcBorders>
              <w:top w:val="nil"/>
              <w:left w:val="nil"/>
              <w:bottom w:val="nil"/>
              <w:right w:val="nil"/>
            </w:tcBorders>
            <w:vAlign w:val="center"/>
          </w:tcPr>
          <w:p w14:paraId="79BB39FB" w14:textId="48034225" w:rsidR="00165E21" w:rsidRPr="008A236A" w:rsidRDefault="00165E21" w:rsidP="008A236A">
            <w:pPr>
              <w:ind w:right="1313" w:firstLineChars="300" w:firstLine="540"/>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Pr="008A236A">
              <w:rPr>
                <w:rFonts w:ascii="Verdana" w:hAnsi="Verdana" w:cs="Arial"/>
                <w:color w:val="366092"/>
                <w:sz w:val="18"/>
                <w:szCs w:val="18"/>
              </w:rPr>
              <w:t xml:space="preserve"> </w:t>
            </w:r>
            <w:r w:rsidR="003C5F57" w:rsidRPr="008A236A">
              <w:rPr>
                <w:rFonts w:ascii="Verdana" w:hAnsi="Verdana" w:cs="Arial"/>
                <w:color w:val="366092"/>
                <w:sz w:val="18"/>
                <w:szCs w:val="18"/>
                <w:lang w:val="el-GR"/>
              </w:rPr>
              <w:t>517.485</w:t>
            </w:r>
          </w:p>
        </w:tc>
      </w:tr>
      <w:tr w:rsidR="008A236A" w:rsidRPr="008A236A" w14:paraId="1E948672" w14:textId="77777777" w:rsidTr="00030E37">
        <w:trPr>
          <w:trHeight w:val="579"/>
          <w:jc w:val="center"/>
        </w:trPr>
        <w:tc>
          <w:tcPr>
            <w:tcW w:w="3415" w:type="dxa"/>
            <w:tcBorders>
              <w:top w:val="nil"/>
              <w:left w:val="nil"/>
              <w:bottom w:val="nil"/>
              <w:right w:val="nil"/>
            </w:tcBorders>
            <w:vAlign w:val="center"/>
            <w:hideMark/>
          </w:tcPr>
          <w:p w14:paraId="24BD9F9F" w14:textId="3566A9B9" w:rsidR="00090AD0" w:rsidRPr="008A236A" w:rsidRDefault="00090AD0" w:rsidP="00090AD0">
            <w:pPr>
              <w:ind w:left="216"/>
              <w:rPr>
                <w:rFonts w:ascii="Verdana" w:eastAsia="Malgun Gothic" w:hAnsi="Verdana" w:cs="Arial"/>
                <w:b/>
                <w:color w:val="366092"/>
                <w:sz w:val="18"/>
                <w:szCs w:val="18"/>
                <w:u w:val="single"/>
                <w:lang w:val="el-GR"/>
              </w:rPr>
            </w:pPr>
            <w:r w:rsidRPr="008A236A">
              <w:rPr>
                <w:rFonts w:ascii="Verdana" w:eastAsia="Malgun Gothic" w:hAnsi="Verdana" w:cs="Arial"/>
                <w:b/>
                <w:color w:val="366092"/>
                <w:sz w:val="18"/>
                <w:szCs w:val="18"/>
                <w:u w:val="single"/>
                <w:lang w:val="el-GR"/>
              </w:rPr>
              <w:t>2025</w:t>
            </w:r>
          </w:p>
        </w:tc>
        <w:tc>
          <w:tcPr>
            <w:tcW w:w="3243" w:type="dxa"/>
            <w:tcBorders>
              <w:top w:val="nil"/>
              <w:left w:val="nil"/>
              <w:bottom w:val="nil"/>
              <w:right w:val="nil"/>
            </w:tcBorders>
            <w:vAlign w:val="center"/>
          </w:tcPr>
          <w:p w14:paraId="5DA3C112" w14:textId="75C0907F" w:rsidR="00090AD0" w:rsidRPr="008A236A" w:rsidRDefault="00090AD0" w:rsidP="008A236A">
            <w:pPr>
              <w:ind w:right="1310" w:firstLine="161"/>
              <w:jc w:val="right"/>
              <w:rPr>
                <w:rFonts w:ascii="Verdana" w:hAnsi="Verdana" w:cs="Arial"/>
                <w:b/>
                <w:bCs/>
                <w:color w:val="366092"/>
                <w:sz w:val="18"/>
                <w:szCs w:val="18"/>
                <w:lang w:val="el-GR"/>
              </w:rPr>
            </w:pPr>
            <w:r w:rsidRPr="008A236A">
              <w:rPr>
                <w:rFonts w:ascii="Verdana" w:hAnsi="Verdana" w:cs="Arial"/>
                <w:b/>
                <w:bCs/>
                <w:color w:val="366092"/>
                <w:sz w:val="18"/>
                <w:szCs w:val="18"/>
              </w:rPr>
              <w:t xml:space="preserve">      13.866.998</w:t>
            </w:r>
          </w:p>
        </w:tc>
        <w:tc>
          <w:tcPr>
            <w:tcW w:w="3407" w:type="dxa"/>
            <w:tcBorders>
              <w:top w:val="nil"/>
              <w:left w:val="nil"/>
              <w:bottom w:val="nil"/>
              <w:right w:val="nil"/>
            </w:tcBorders>
            <w:vAlign w:val="center"/>
          </w:tcPr>
          <w:p w14:paraId="29117A7B" w14:textId="309C8C60" w:rsidR="00090AD0" w:rsidRPr="008A236A" w:rsidRDefault="00090AD0" w:rsidP="008A236A">
            <w:pPr>
              <w:ind w:right="1313"/>
              <w:jc w:val="right"/>
              <w:rPr>
                <w:rFonts w:ascii="Verdana" w:hAnsi="Verdana" w:cs="Arial"/>
                <w:b/>
                <w:bCs/>
                <w:color w:val="366092"/>
                <w:sz w:val="18"/>
                <w:szCs w:val="18"/>
                <w:lang w:val="el-GR"/>
              </w:rPr>
            </w:pPr>
            <w:r w:rsidRPr="008A236A">
              <w:rPr>
                <w:rFonts w:ascii="Verdana" w:hAnsi="Verdana" w:cs="Arial"/>
                <w:b/>
                <w:bCs/>
                <w:color w:val="366092"/>
                <w:sz w:val="18"/>
                <w:szCs w:val="18"/>
                <w:lang w:val="el-GR"/>
              </w:rPr>
              <w:t xml:space="preserve">  </w:t>
            </w:r>
            <w:r w:rsidRPr="008A236A">
              <w:rPr>
                <w:rFonts w:ascii="Verdana" w:hAnsi="Verdana" w:cs="Arial"/>
                <w:b/>
                <w:bCs/>
                <w:color w:val="366092"/>
                <w:sz w:val="18"/>
                <w:szCs w:val="18"/>
              </w:rPr>
              <w:t xml:space="preserve">         </w:t>
            </w:r>
            <w:r w:rsidRPr="008A236A">
              <w:rPr>
                <w:rFonts w:ascii="Verdana" w:hAnsi="Verdana" w:cs="Arial"/>
                <w:b/>
                <w:bCs/>
                <w:color w:val="366092"/>
                <w:sz w:val="18"/>
                <w:szCs w:val="18"/>
                <w:lang w:val="el-GR"/>
              </w:rPr>
              <w:t>5.</w:t>
            </w:r>
            <w:r w:rsidRPr="008A236A">
              <w:rPr>
                <w:rFonts w:ascii="Verdana" w:hAnsi="Verdana" w:cs="Arial"/>
                <w:b/>
                <w:bCs/>
                <w:color w:val="366092"/>
                <w:sz w:val="18"/>
                <w:szCs w:val="18"/>
              </w:rPr>
              <w:t>580</w:t>
            </w:r>
            <w:r w:rsidRPr="008A236A">
              <w:rPr>
                <w:rFonts w:ascii="Verdana" w:hAnsi="Verdana" w:cs="Arial"/>
                <w:b/>
                <w:bCs/>
                <w:color w:val="366092"/>
                <w:sz w:val="18"/>
                <w:szCs w:val="18"/>
                <w:lang w:val="el-GR"/>
              </w:rPr>
              <w:t>.</w:t>
            </w:r>
            <w:r w:rsidRPr="008A236A">
              <w:rPr>
                <w:rFonts w:ascii="Verdana" w:hAnsi="Verdana" w:cs="Arial"/>
                <w:b/>
                <w:bCs/>
                <w:color w:val="366092"/>
                <w:sz w:val="18"/>
                <w:szCs w:val="18"/>
              </w:rPr>
              <w:t>995</w:t>
            </w:r>
          </w:p>
        </w:tc>
      </w:tr>
      <w:tr w:rsidR="008A236A" w:rsidRPr="008A236A" w14:paraId="1530E935" w14:textId="77777777" w:rsidTr="00030E37">
        <w:trPr>
          <w:trHeight w:val="418"/>
          <w:jc w:val="center"/>
        </w:trPr>
        <w:tc>
          <w:tcPr>
            <w:tcW w:w="3415" w:type="dxa"/>
            <w:tcBorders>
              <w:top w:val="nil"/>
              <w:left w:val="nil"/>
              <w:bottom w:val="nil"/>
              <w:right w:val="nil"/>
            </w:tcBorders>
            <w:vAlign w:val="center"/>
            <w:hideMark/>
          </w:tcPr>
          <w:p w14:paraId="42F67B03" w14:textId="5BE8B443"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77745A49"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1.249.292</w:t>
            </w:r>
          </w:p>
        </w:tc>
        <w:tc>
          <w:tcPr>
            <w:tcW w:w="3407" w:type="dxa"/>
            <w:tcBorders>
              <w:top w:val="nil"/>
              <w:left w:val="nil"/>
              <w:bottom w:val="nil"/>
              <w:right w:val="nil"/>
            </w:tcBorders>
            <w:vAlign w:val="center"/>
          </w:tcPr>
          <w:p w14:paraId="385AF9E0" w14:textId="4F215774" w:rsidR="00090AD0" w:rsidRPr="008A236A" w:rsidRDefault="00090AD0" w:rsidP="008A236A">
            <w:pPr>
              <w:ind w:right="1313" w:firstLineChars="300" w:firstLine="540"/>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Pr="008A236A">
              <w:rPr>
                <w:rFonts w:ascii="Verdana" w:hAnsi="Verdana" w:cs="Arial"/>
                <w:color w:val="366092"/>
                <w:sz w:val="18"/>
                <w:szCs w:val="18"/>
              </w:rPr>
              <w:t>498.431</w:t>
            </w:r>
          </w:p>
        </w:tc>
      </w:tr>
      <w:tr w:rsidR="008A236A" w:rsidRPr="008A236A" w14:paraId="7D3670E0" w14:textId="77777777" w:rsidTr="00030E37">
        <w:trPr>
          <w:trHeight w:val="418"/>
          <w:jc w:val="center"/>
        </w:trPr>
        <w:tc>
          <w:tcPr>
            <w:tcW w:w="3415" w:type="dxa"/>
            <w:tcBorders>
              <w:top w:val="nil"/>
              <w:left w:val="nil"/>
              <w:bottom w:val="nil"/>
              <w:right w:val="nil"/>
            </w:tcBorders>
            <w:vAlign w:val="center"/>
            <w:hideMark/>
          </w:tcPr>
          <w:p w14:paraId="106F6023" w14:textId="07C3B18A"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1422329E"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1.055.145</w:t>
            </w:r>
          </w:p>
        </w:tc>
        <w:tc>
          <w:tcPr>
            <w:tcW w:w="3407" w:type="dxa"/>
            <w:tcBorders>
              <w:top w:val="nil"/>
              <w:left w:val="nil"/>
              <w:bottom w:val="nil"/>
              <w:right w:val="nil"/>
            </w:tcBorders>
            <w:vAlign w:val="center"/>
          </w:tcPr>
          <w:p w14:paraId="5C672D01" w14:textId="606A8280" w:rsidR="00090AD0" w:rsidRPr="008A236A" w:rsidRDefault="00090AD0" w:rsidP="008A236A">
            <w:pPr>
              <w:ind w:right="1313" w:firstLineChars="300" w:firstLine="540"/>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Pr="008A236A">
              <w:rPr>
                <w:rFonts w:ascii="Verdana" w:hAnsi="Verdana" w:cs="Arial"/>
                <w:color w:val="366092"/>
                <w:sz w:val="18"/>
                <w:szCs w:val="18"/>
              </w:rPr>
              <w:t>430.761</w:t>
            </w:r>
          </w:p>
        </w:tc>
      </w:tr>
      <w:tr w:rsidR="008A236A" w:rsidRPr="008A236A" w14:paraId="632DBAAF" w14:textId="77777777" w:rsidTr="00030E37">
        <w:trPr>
          <w:trHeight w:val="418"/>
          <w:jc w:val="center"/>
        </w:trPr>
        <w:tc>
          <w:tcPr>
            <w:tcW w:w="3415" w:type="dxa"/>
            <w:tcBorders>
              <w:top w:val="nil"/>
              <w:left w:val="nil"/>
              <w:bottom w:val="nil"/>
              <w:right w:val="nil"/>
            </w:tcBorders>
            <w:vAlign w:val="center"/>
            <w:hideMark/>
          </w:tcPr>
          <w:p w14:paraId="2C9548B2" w14:textId="711C6B7B"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0D0F7A65"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1.170.809</w:t>
            </w:r>
          </w:p>
        </w:tc>
        <w:tc>
          <w:tcPr>
            <w:tcW w:w="3407" w:type="dxa"/>
            <w:tcBorders>
              <w:top w:val="nil"/>
              <w:left w:val="nil"/>
              <w:bottom w:val="nil"/>
              <w:right w:val="nil"/>
            </w:tcBorders>
            <w:vAlign w:val="center"/>
          </w:tcPr>
          <w:p w14:paraId="4602596E" w14:textId="0FA14A04" w:rsidR="00090AD0" w:rsidRPr="008A236A" w:rsidRDefault="00090AD0" w:rsidP="008A236A">
            <w:pPr>
              <w:ind w:right="1313" w:firstLineChars="300" w:firstLine="540"/>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Pr="008A236A">
              <w:rPr>
                <w:rFonts w:ascii="Verdana" w:hAnsi="Verdana" w:cs="Arial"/>
                <w:color w:val="366092"/>
                <w:sz w:val="18"/>
                <w:szCs w:val="18"/>
              </w:rPr>
              <w:t>390.538</w:t>
            </w:r>
          </w:p>
        </w:tc>
      </w:tr>
      <w:tr w:rsidR="008A236A" w:rsidRPr="008A236A" w14:paraId="6DAA7528" w14:textId="77777777" w:rsidTr="00030E37">
        <w:trPr>
          <w:trHeight w:val="418"/>
          <w:jc w:val="center"/>
        </w:trPr>
        <w:tc>
          <w:tcPr>
            <w:tcW w:w="3415" w:type="dxa"/>
            <w:tcBorders>
              <w:top w:val="nil"/>
              <w:left w:val="nil"/>
              <w:bottom w:val="nil"/>
              <w:right w:val="nil"/>
            </w:tcBorders>
            <w:vAlign w:val="center"/>
            <w:hideMark/>
          </w:tcPr>
          <w:p w14:paraId="6C5FB0BA" w14:textId="26E43E4A"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6F668BAD"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rPr>
              <w:t xml:space="preserve">         1.231.616</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p>
        </w:tc>
        <w:tc>
          <w:tcPr>
            <w:tcW w:w="3407" w:type="dxa"/>
            <w:tcBorders>
              <w:top w:val="nil"/>
              <w:left w:val="nil"/>
              <w:bottom w:val="nil"/>
              <w:right w:val="nil"/>
            </w:tcBorders>
            <w:vAlign w:val="center"/>
          </w:tcPr>
          <w:p w14:paraId="11AB24AB" w14:textId="6BDA8E5C" w:rsidR="00090AD0" w:rsidRPr="008A236A" w:rsidRDefault="00090AD0" w:rsidP="008A236A">
            <w:pPr>
              <w:ind w:right="1313" w:firstLineChars="300" w:firstLine="540"/>
              <w:jc w:val="right"/>
              <w:rPr>
                <w:rFonts w:ascii="Verdana" w:hAnsi="Verdana" w:cs="Arial"/>
                <w:color w:val="366092"/>
                <w:sz w:val="18"/>
                <w:szCs w:val="18"/>
                <w:lang w:val="el-GR"/>
              </w:rPr>
            </w:pPr>
            <w:r w:rsidRPr="008A236A">
              <w:rPr>
                <w:rFonts w:ascii="Verdana" w:hAnsi="Verdana" w:cs="Arial"/>
                <w:color w:val="366092"/>
                <w:sz w:val="18"/>
                <w:szCs w:val="18"/>
                <w:lang w:val="el-GR"/>
              </w:rPr>
              <w:t xml:space="preserve">      </w:t>
            </w:r>
            <w:r w:rsidRPr="008A236A">
              <w:rPr>
                <w:rFonts w:ascii="Verdana" w:hAnsi="Verdana" w:cs="Arial"/>
                <w:color w:val="366092"/>
                <w:sz w:val="18"/>
                <w:szCs w:val="18"/>
              </w:rPr>
              <w:t>497.383</w:t>
            </w:r>
          </w:p>
        </w:tc>
      </w:tr>
      <w:tr w:rsidR="008A236A" w:rsidRPr="008A236A" w14:paraId="6DC0216F" w14:textId="77777777" w:rsidTr="00030E37">
        <w:trPr>
          <w:trHeight w:val="418"/>
          <w:jc w:val="center"/>
        </w:trPr>
        <w:tc>
          <w:tcPr>
            <w:tcW w:w="3415" w:type="dxa"/>
            <w:tcBorders>
              <w:top w:val="nil"/>
              <w:left w:val="nil"/>
              <w:bottom w:val="nil"/>
              <w:right w:val="nil"/>
            </w:tcBorders>
            <w:vAlign w:val="center"/>
            <w:hideMark/>
          </w:tcPr>
          <w:p w14:paraId="3F5D72D9" w14:textId="6C14E0EE"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19DC2F95"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1.143.895</w:t>
            </w:r>
          </w:p>
        </w:tc>
        <w:tc>
          <w:tcPr>
            <w:tcW w:w="3407" w:type="dxa"/>
            <w:tcBorders>
              <w:top w:val="nil"/>
              <w:left w:val="nil"/>
              <w:bottom w:val="nil"/>
              <w:right w:val="nil"/>
            </w:tcBorders>
            <w:vAlign w:val="center"/>
          </w:tcPr>
          <w:p w14:paraId="7F835E28" w14:textId="0D5F4393"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546.556</w:t>
            </w:r>
          </w:p>
        </w:tc>
      </w:tr>
      <w:tr w:rsidR="008A236A" w:rsidRPr="008A236A" w14:paraId="6C6A85FC" w14:textId="77777777" w:rsidTr="00030E37">
        <w:trPr>
          <w:trHeight w:val="418"/>
          <w:jc w:val="center"/>
        </w:trPr>
        <w:tc>
          <w:tcPr>
            <w:tcW w:w="3415" w:type="dxa"/>
            <w:tcBorders>
              <w:top w:val="nil"/>
              <w:left w:val="nil"/>
              <w:bottom w:val="nil"/>
              <w:right w:val="nil"/>
            </w:tcBorders>
            <w:vAlign w:val="center"/>
            <w:hideMark/>
          </w:tcPr>
          <w:p w14:paraId="7ECF97BB" w14:textId="234F85B8"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96651F2"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1.310.875</w:t>
            </w:r>
          </w:p>
        </w:tc>
        <w:tc>
          <w:tcPr>
            <w:tcW w:w="3407" w:type="dxa"/>
            <w:tcBorders>
              <w:top w:val="nil"/>
              <w:left w:val="nil"/>
              <w:bottom w:val="nil"/>
              <w:right w:val="nil"/>
            </w:tcBorders>
            <w:vAlign w:val="center"/>
          </w:tcPr>
          <w:p w14:paraId="0BC05431" w14:textId="7B0C40B2"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567.063</w:t>
            </w:r>
          </w:p>
        </w:tc>
      </w:tr>
      <w:tr w:rsidR="008A236A" w:rsidRPr="008A236A" w14:paraId="5DFD5AB0" w14:textId="77777777" w:rsidTr="00030E37">
        <w:trPr>
          <w:trHeight w:val="418"/>
          <w:jc w:val="center"/>
        </w:trPr>
        <w:tc>
          <w:tcPr>
            <w:tcW w:w="3415" w:type="dxa"/>
            <w:tcBorders>
              <w:top w:val="nil"/>
              <w:left w:val="nil"/>
              <w:bottom w:val="nil"/>
              <w:right w:val="nil"/>
            </w:tcBorders>
            <w:vAlign w:val="center"/>
            <w:hideMark/>
          </w:tcPr>
          <w:p w14:paraId="4DA2F880" w14:textId="6DD9717D"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0D537D14"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1.152.240</w:t>
            </w:r>
          </w:p>
        </w:tc>
        <w:tc>
          <w:tcPr>
            <w:tcW w:w="3407" w:type="dxa"/>
            <w:tcBorders>
              <w:top w:val="nil"/>
              <w:left w:val="nil"/>
              <w:bottom w:val="nil"/>
              <w:right w:val="nil"/>
            </w:tcBorders>
            <w:vAlign w:val="center"/>
          </w:tcPr>
          <w:p w14:paraId="06C56697" w14:textId="7A902708"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514.112</w:t>
            </w:r>
          </w:p>
        </w:tc>
      </w:tr>
      <w:tr w:rsidR="008A236A" w:rsidRPr="008A236A" w14:paraId="17442EA8" w14:textId="77777777" w:rsidTr="00030E37">
        <w:trPr>
          <w:trHeight w:val="418"/>
          <w:jc w:val="center"/>
        </w:trPr>
        <w:tc>
          <w:tcPr>
            <w:tcW w:w="3415" w:type="dxa"/>
            <w:tcBorders>
              <w:top w:val="nil"/>
              <w:left w:val="nil"/>
              <w:bottom w:val="nil"/>
              <w:right w:val="nil"/>
            </w:tcBorders>
            <w:vAlign w:val="center"/>
            <w:hideMark/>
          </w:tcPr>
          <w:p w14:paraId="5B8D041E" w14:textId="0D896454"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148C8A0C"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1.070.065</w:t>
            </w:r>
          </w:p>
        </w:tc>
        <w:tc>
          <w:tcPr>
            <w:tcW w:w="3407" w:type="dxa"/>
            <w:tcBorders>
              <w:top w:val="nil"/>
              <w:left w:val="nil"/>
              <w:bottom w:val="nil"/>
              <w:right w:val="nil"/>
            </w:tcBorders>
            <w:vAlign w:val="center"/>
          </w:tcPr>
          <w:p w14:paraId="7F9F2465" w14:textId="76724C14"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327.648</w:t>
            </w:r>
          </w:p>
        </w:tc>
      </w:tr>
      <w:tr w:rsidR="008A236A" w:rsidRPr="008A236A" w14:paraId="026B0846" w14:textId="77777777" w:rsidTr="00030E37">
        <w:trPr>
          <w:trHeight w:val="418"/>
          <w:jc w:val="center"/>
        </w:trPr>
        <w:tc>
          <w:tcPr>
            <w:tcW w:w="3415" w:type="dxa"/>
            <w:tcBorders>
              <w:top w:val="nil"/>
              <w:left w:val="nil"/>
              <w:bottom w:val="nil"/>
              <w:right w:val="nil"/>
            </w:tcBorders>
            <w:vAlign w:val="center"/>
            <w:hideMark/>
          </w:tcPr>
          <w:p w14:paraId="2DBE8F2A" w14:textId="63E3E942"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27C1FEAE" w:rsidR="00090AD0" w:rsidRPr="008A236A" w:rsidRDefault="00090AD0" w:rsidP="008A236A">
            <w:pPr>
              <w:ind w:right="1310" w:firstLine="161"/>
              <w:jc w:val="right"/>
              <w:rPr>
                <w:rFonts w:ascii="Verdana" w:eastAsia="Malgun Gothic" w:hAnsi="Verdana" w:cs="Arial"/>
                <w:color w:val="366092"/>
                <w:sz w:val="18"/>
                <w:szCs w:val="18"/>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1.190.717</w:t>
            </w:r>
          </w:p>
        </w:tc>
        <w:tc>
          <w:tcPr>
            <w:tcW w:w="3407" w:type="dxa"/>
            <w:tcBorders>
              <w:top w:val="nil"/>
              <w:left w:val="nil"/>
              <w:bottom w:val="nil"/>
              <w:right w:val="nil"/>
            </w:tcBorders>
            <w:vAlign w:val="center"/>
          </w:tcPr>
          <w:p w14:paraId="13A029AA" w14:textId="76CC5618"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393.553</w:t>
            </w:r>
          </w:p>
        </w:tc>
      </w:tr>
      <w:tr w:rsidR="008A236A" w:rsidRPr="008A236A" w14:paraId="39FB1827" w14:textId="77777777" w:rsidTr="00030E37">
        <w:trPr>
          <w:trHeight w:val="418"/>
          <w:jc w:val="center"/>
        </w:trPr>
        <w:tc>
          <w:tcPr>
            <w:tcW w:w="3415" w:type="dxa"/>
            <w:tcBorders>
              <w:top w:val="nil"/>
              <w:left w:val="nil"/>
              <w:bottom w:val="nil"/>
              <w:right w:val="nil"/>
            </w:tcBorders>
            <w:vAlign w:val="center"/>
            <w:hideMark/>
          </w:tcPr>
          <w:p w14:paraId="5F2921AC" w14:textId="7210774D"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70E0F6A6"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1.084.757</w:t>
            </w:r>
          </w:p>
        </w:tc>
        <w:tc>
          <w:tcPr>
            <w:tcW w:w="3407" w:type="dxa"/>
            <w:tcBorders>
              <w:top w:val="nil"/>
              <w:left w:val="nil"/>
              <w:bottom w:val="nil"/>
              <w:right w:val="nil"/>
            </w:tcBorders>
            <w:vAlign w:val="center"/>
          </w:tcPr>
          <w:p w14:paraId="67C2DF3D" w14:textId="7259FD82"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475.020</w:t>
            </w:r>
          </w:p>
        </w:tc>
      </w:tr>
      <w:tr w:rsidR="008A236A" w:rsidRPr="008A236A" w14:paraId="13D0D476" w14:textId="77777777" w:rsidTr="00030E37">
        <w:trPr>
          <w:trHeight w:val="418"/>
          <w:jc w:val="center"/>
        </w:trPr>
        <w:tc>
          <w:tcPr>
            <w:tcW w:w="3415" w:type="dxa"/>
            <w:tcBorders>
              <w:top w:val="nil"/>
              <w:left w:val="nil"/>
              <w:bottom w:val="nil"/>
              <w:right w:val="nil"/>
            </w:tcBorders>
            <w:vAlign w:val="center"/>
            <w:hideMark/>
          </w:tcPr>
          <w:p w14:paraId="70DA66B5" w14:textId="6A51DC94"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77C2CFA1"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1.056.396</w:t>
            </w:r>
          </w:p>
        </w:tc>
        <w:tc>
          <w:tcPr>
            <w:tcW w:w="3407" w:type="dxa"/>
            <w:tcBorders>
              <w:top w:val="nil"/>
              <w:left w:val="nil"/>
              <w:bottom w:val="nil"/>
              <w:right w:val="nil"/>
            </w:tcBorders>
            <w:vAlign w:val="center"/>
          </w:tcPr>
          <w:p w14:paraId="5EF90F67" w14:textId="5189F54E"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496.220</w:t>
            </w:r>
          </w:p>
        </w:tc>
      </w:tr>
      <w:tr w:rsidR="008A236A" w:rsidRPr="008A236A"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3E65CB94" w:rsidR="00090AD0" w:rsidRPr="008A236A" w:rsidRDefault="00090AD0" w:rsidP="00090AD0">
            <w:pPr>
              <w:ind w:left="680"/>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77266F05" w:rsidR="00090AD0" w:rsidRPr="008A236A" w:rsidRDefault="00090AD0" w:rsidP="008A236A">
            <w:pPr>
              <w:ind w:right="1310" w:firstLine="161"/>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rPr>
              <w:t xml:space="preserve">      </w:t>
            </w: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1.151.189</w:t>
            </w:r>
          </w:p>
        </w:tc>
        <w:tc>
          <w:tcPr>
            <w:tcW w:w="3407" w:type="dxa"/>
            <w:tcBorders>
              <w:top w:val="nil"/>
              <w:left w:val="nil"/>
              <w:bottom w:val="single" w:sz="4" w:space="0" w:color="366092"/>
              <w:right w:val="nil"/>
            </w:tcBorders>
            <w:vAlign w:val="center"/>
          </w:tcPr>
          <w:p w14:paraId="3803AA62" w14:textId="427EBBE2" w:rsidR="00090AD0" w:rsidRPr="008A236A" w:rsidRDefault="00090AD0" w:rsidP="008A236A">
            <w:pPr>
              <w:ind w:right="1313"/>
              <w:jc w:val="right"/>
              <w:rPr>
                <w:rFonts w:ascii="Verdana" w:eastAsia="Malgun Gothic" w:hAnsi="Verdana" w:cs="Arial"/>
                <w:color w:val="366092"/>
                <w:sz w:val="18"/>
                <w:szCs w:val="18"/>
                <w:lang w:val="el-GR"/>
              </w:rPr>
            </w:pPr>
            <w:r w:rsidRPr="008A236A">
              <w:rPr>
                <w:rFonts w:ascii="Verdana" w:eastAsia="Malgun Gothic" w:hAnsi="Verdana" w:cs="Arial"/>
                <w:color w:val="366092"/>
                <w:sz w:val="18"/>
                <w:szCs w:val="18"/>
                <w:lang w:val="el-GR"/>
              </w:rPr>
              <w:t xml:space="preserve">               </w:t>
            </w:r>
            <w:r w:rsidRPr="008A236A">
              <w:rPr>
                <w:rFonts w:ascii="Verdana" w:eastAsia="Malgun Gothic" w:hAnsi="Verdana" w:cs="Arial"/>
                <w:color w:val="366092"/>
                <w:sz w:val="18"/>
                <w:szCs w:val="18"/>
              </w:rPr>
              <w:t>443.712</w:t>
            </w:r>
          </w:p>
        </w:tc>
      </w:tr>
      <w:tr w:rsidR="008A236A" w:rsidRPr="008A236A"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0F2F591E" w:rsidR="00165E21" w:rsidRPr="008A236A" w:rsidRDefault="00165E21" w:rsidP="008A236A">
            <w:pPr>
              <w:ind w:left="-105" w:right="-105"/>
              <w:rPr>
                <w:rFonts w:ascii="Verdana" w:hAnsi="Verdana"/>
                <w:color w:val="366092"/>
                <w:sz w:val="16"/>
                <w:szCs w:val="16"/>
                <w:shd w:val="clear" w:color="auto" w:fill="FFFFFF"/>
                <w:lang w:val="el-GR"/>
              </w:rPr>
            </w:pPr>
            <w:r w:rsidRPr="008A236A">
              <w:rPr>
                <w:rFonts w:ascii="Verdana" w:eastAsia="Malgun Gothic" w:hAnsi="Verdana" w:cs="Arial"/>
                <w:color w:val="366092"/>
                <w:sz w:val="16"/>
                <w:szCs w:val="16"/>
                <w:lang w:val="el-GR"/>
              </w:rPr>
              <w:t>Σημείωση: Τα στοιχεία εισαγωγών</w:t>
            </w:r>
            <w:r w:rsidR="00794FA7" w:rsidRPr="008A236A">
              <w:rPr>
                <w:rFonts w:ascii="Verdana" w:eastAsia="Malgun Gothic" w:hAnsi="Verdana" w:cs="Arial"/>
                <w:color w:val="366092"/>
                <w:sz w:val="16"/>
                <w:szCs w:val="16"/>
                <w:lang w:val="el-GR"/>
              </w:rPr>
              <w:t xml:space="preserve"> </w:t>
            </w:r>
            <w:r w:rsidR="0004564C" w:rsidRPr="008A236A">
              <w:rPr>
                <w:rFonts w:ascii="Verdana" w:eastAsia="Malgun Gothic" w:hAnsi="Verdana" w:cs="Arial"/>
                <w:color w:val="366092"/>
                <w:sz w:val="16"/>
                <w:szCs w:val="16"/>
                <w:lang w:val="el-GR"/>
              </w:rPr>
              <w:t xml:space="preserve">και εξαγωγών </w:t>
            </w:r>
            <w:r w:rsidR="00794FA7" w:rsidRPr="008A236A">
              <w:rPr>
                <w:rFonts w:ascii="Verdana" w:eastAsia="Malgun Gothic" w:hAnsi="Verdana" w:cs="Arial"/>
                <w:color w:val="366092"/>
                <w:sz w:val="16"/>
                <w:szCs w:val="16"/>
                <w:lang w:val="el-GR"/>
              </w:rPr>
              <w:t xml:space="preserve">για τους μήνες </w:t>
            </w:r>
            <w:r w:rsidR="0004564C" w:rsidRPr="008A236A">
              <w:rPr>
                <w:rFonts w:ascii="Verdana" w:eastAsia="Malgun Gothic" w:hAnsi="Verdana" w:cs="Arial"/>
                <w:color w:val="366092"/>
                <w:sz w:val="16"/>
                <w:szCs w:val="16"/>
                <w:lang w:val="el-GR"/>
              </w:rPr>
              <w:t>Ιανουάριο - Δεκέμβριο</w:t>
            </w:r>
            <w:r w:rsidR="00794FA7" w:rsidRPr="008A236A">
              <w:rPr>
                <w:rFonts w:ascii="Verdana" w:eastAsia="Malgun Gothic" w:hAnsi="Verdana" w:cs="Arial"/>
                <w:color w:val="366092"/>
                <w:sz w:val="16"/>
                <w:szCs w:val="16"/>
                <w:lang w:val="el-GR"/>
              </w:rPr>
              <w:t xml:space="preserve"> 2025</w:t>
            </w:r>
            <w:r w:rsidRPr="008A236A">
              <w:rPr>
                <w:rFonts w:ascii="Verdana" w:eastAsia="Malgun Gothic" w:hAnsi="Verdana" w:cs="Arial"/>
                <w:color w:val="366092"/>
                <w:sz w:val="16"/>
                <w:szCs w:val="16"/>
                <w:lang w:val="el-GR"/>
              </w:rPr>
              <w:t xml:space="preserve"> έχουν αναθεωρηθεί. </w:t>
            </w:r>
            <w:r w:rsidRPr="008A236A">
              <w:rPr>
                <w:rFonts w:ascii="Verdana" w:hAnsi="Verdana"/>
                <w:color w:val="366092"/>
                <w:sz w:val="16"/>
                <w:szCs w:val="16"/>
                <w:shd w:val="clear" w:color="auto" w:fill="FFFFFF"/>
                <w:lang w:val="el-GR"/>
              </w:rPr>
              <w:t>Τα</w:t>
            </w:r>
            <w:r w:rsidR="008A236A" w:rsidRPr="008A236A">
              <w:rPr>
                <w:rFonts w:ascii="Verdana" w:hAnsi="Verdana"/>
                <w:color w:val="366092"/>
                <w:sz w:val="16"/>
                <w:szCs w:val="16"/>
                <w:shd w:val="clear" w:color="auto" w:fill="FFFFFF"/>
                <w:lang w:val="el-GR"/>
              </w:rPr>
              <w:t xml:space="preserve"> </w:t>
            </w:r>
            <w:r w:rsidRPr="008A236A">
              <w:rPr>
                <w:rFonts w:ascii="Verdana" w:hAnsi="Verdana"/>
                <w:color w:val="366092"/>
                <w:sz w:val="16"/>
                <w:szCs w:val="16"/>
                <w:shd w:val="clear" w:color="auto" w:fill="FFFFFF"/>
                <w:lang w:val="el-GR"/>
              </w:rPr>
              <w:t xml:space="preserve">στοιχεία </w:t>
            </w:r>
            <w:r w:rsidR="0004564C" w:rsidRPr="008A236A">
              <w:rPr>
                <w:rFonts w:ascii="Verdana" w:hAnsi="Verdana"/>
                <w:color w:val="366092"/>
                <w:sz w:val="16"/>
                <w:szCs w:val="16"/>
                <w:shd w:val="clear" w:color="auto" w:fill="FFFFFF"/>
                <w:lang w:val="el-GR"/>
              </w:rPr>
              <w:t>Ιανουαρίου</w:t>
            </w:r>
            <w:r w:rsidRPr="008A236A">
              <w:rPr>
                <w:rFonts w:ascii="Verdana" w:hAnsi="Verdana"/>
                <w:color w:val="366092"/>
                <w:sz w:val="16"/>
                <w:szCs w:val="16"/>
                <w:shd w:val="clear" w:color="auto" w:fill="FFFFFF"/>
                <w:lang w:val="el-GR"/>
              </w:rPr>
              <w:t xml:space="preserve"> 202</w:t>
            </w:r>
            <w:r w:rsidR="0004564C" w:rsidRPr="008A236A">
              <w:rPr>
                <w:rFonts w:ascii="Verdana" w:hAnsi="Verdana"/>
                <w:color w:val="366092"/>
                <w:sz w:val="16"/>
                <w:szCs w:val="16"/>
                <w:shd w:val="clear" w:color="auto" w:fill="FFFFFF"/>
                <w:lang w:val="el-GR"/>
              </w:rPr>
              <w:t>6</w:t>
            </w:r>
            <w:r w:rsidRPr="008A236A">
              <w:rPr>
                <w:rFonts w:ascii="Verdana" w:hAnsi="Verdana"/>
                <w:color w:val="366092"/>
                <w:sz w:val="16"/>
                <w:szCs w:val="16"/>
                <w:shd w:val="clear" w:color="auto" w:fill="FFFFFF"/>
                <w:lang w:val="el-GR"/>
              </w:rPr>
              <w:t xml:space="preserve">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6330D49C" w14:textId="77777777" w:rsidR="005C6A77" w:rsidRDefault="005C6A77" w:rsidP="000E4CB0">
      <w:pPr>
        <w:jc w:val="both"/>
        <w:rPr>
          <w:rFonts w:ascii="Verdana" w:hAnsi="Verdana" w:cs="Arial"/>
          <w:sz w:val="18"/>
          <w:szCs w:val="18"/>
          <w:lang w:val="el-GR"/>
        </w:rPr>
      </w:pPr>
    </w:p>
    <w:p w14:paraId="7301EAC6" w14:textId="77777777" w:rsidR="005C6A77" w:rsidRDefault="005C6A77" w:rsidP="000E4CB0">
      <w:pPr>
        <w:jc w:val="both"/>
        <w:rPr>
          <w:rFonts w:ascii="Verdana" w:hAnsi="Verdana" w:cs="Arial"/>
          <w:sz w:val="18"/>
          <w:szCs w:val="18"/>
          <w:lang w:val="el-GR"/>
        </w:rPr>
      </w:pPr>
    </w:p>
    <w:p w14:paraId="1B1DE2F2" w14:textId="77777777" w:rsidR="005C6A77" w:rsidRDefault="005C6A77" w:rsidP="000E4CB0">
      <w:pPr>
        <w:jc w:val="both"/>
        <w:rPr>
          <w:rFonts w:ascii="Verdana" w:hAnsi="Verdana" w:cs="Arial"/>
          <w:sz w:val="18"/>
          <w:szCs w:val="18"/>
          <w:lang w:val="el-GR"/>
        </w:rPr>
      </w:pPr>
    </w:p>
    <w:p w14:paraId="3BF0B7B2" w14:textId="77777777" w:rsidR="005C6A77" w:rsidRDefault="005C6A77" w:rsidP="000E4CB0">
      <w:pPr>
        <w:jc w:val="both"/>
        <w:rPr>
          <w:rFonts w:ascii="Verdana" w:hAnsi="Verdana" w:cs="Arial"/>
          <w:sz w:val="18"/>
          <w:szCs w:val="18"/>
          <w:lang w:val="el-GR"/>
        </w:rPr>
      </w:pPr>
    </w:p>
    <w:p w14:paraId="248939E9" w14:textId="77777777" w:rsidR="005C6A77" w:rsidRDefault="005C6A77" w:rsidP="000E4CB0">
      <w:pPr>
        <w:jc w:val="both"/>
        <w:rPr>
          <w:rFonts w:ascii="Verdana" w:hAnsi="Verdana" w:cs="Arial"/>
          <w:sz w:val="18"/>
          <w:szCs w:val="18"/>
          <w:lang w:val="el-GR"/>
        </w:rPr>
      </w:pPr>
    </w:p>
    <w:p w14:paraId="15EED80B" w14:textId="77777777" w:rsidR="005C6A77" w:rsidRDefault="005C6A77" w:rsidP="000E4CB0">
      <w:pPr>
        <w:jc w:val="both"/>
        <w:rPr>
          <w:rFonts w:ascii="Verdana" w:hAnsi="Verdana" w:cs="Arial"/>
          <w:sz w:val="18"/>
          <w:szCs w:val="18"/>
          <w:lang w:val="el-GR"/>
        </w:rPr>
      </w:pPr>
    </w:p>
    <w:p w14:paraId="497EDE9E" w14:textId="77777777" w:rsidR="005C6A77" w:rsidRDefault="005C6A77" w:rsidP="000E4CB0">
      <w:pPr>
        <w:jc w:val="both"/>
        <w:rPr>
          <w:rFonts w:ascii="Verdana" w:hAnsi="Verdana" w:cs="Arial"/>
          <w:sz w:val="18"/>
          <w:szCs w:val="18"/>
          <w:lang w:val="el-GR"/>
        </w:rPr>
      </w:pPr>
    </w:p>
    <w:p w14:paraId="6263404A" w14:textId="77777777" w:rsidR="005C6A77" w:rsidRPr="00090AD0" w:rsidRDefault="005C6A77" w:rsidP="000E4CB0">
      <w:pPr>
        <w:jc w:val="both"/>
        <w:rPr>
          <w:rFonts w:ascii="Verdana" w:hAnsi="Verdana" w:cs="Arial"/>
          <w:sz w:val="18"/>
          <w:szCs w:val="18"/>
          <w:lang w:val="el-GR"/>
        </w:rPr>
      </w:pPr>
    </w:p>
    <w:p w14:paraId="4986D97B" w14:textId="77777777" w:rsidR="00962275" w:rsidRPr="00090AD0" w:rsidRDefault="00962275" w:rsidP="000E4CB0">
      <w:pPr>
        <w:jc w:val="both"/>
        <w:rPr>
          <w:rFonts w:ascii="Verdana" w:hAnsi="Verdana" w:cs="Arial"/>
          <w:sz w:val="18"/>
          <w:szCs w:val="18"/>
          <w:lang w:val="el-GR"/>
        </w:rPr>
      </w:pPr>
    </w:p>
    <w:p w14:paraId="4BA7DF51" w14:textId="77777777" w:rsidR="00962275" w:rsidRPr="00090AD0" w:rsidRDefault="00962275" w:rsidP="000E4CB0">
      <w:pPr>
        <w:jc w:val="both"/>
        <w:rPr>
          <w:rFonts w:ascii="Verdana" w:hAnsi="Verdana" w:cs="Arial"/>
          <w:sz w:val="18"/>
          <w:szCs w:val="18"/>
          <w:lang w:val="el-GR"/>
        </w:rPr>
      </w:pPr>
    </w:p>
    <w:p w14:paraId="5E41585C" w14:textId="77777777" w:rsidR="00962275" w:rsidRPr="00090AD0" w:rsidRDefault="00962275" w:rsidP="000E4CB0">
      <w:pPr>
        <w:jc w:val="both"/>
        <w:rPr>
          <w:rFonts w:ascii="Verdana" w:hAnsi="Verdana" w:cs="Arial"/>
          <w:sz w:val="18"/>
          <w:szCs w:val="18"/>
          <w:lang w:val="el-GR"/>
        </w:rPr>
      </w:pPr>
    </w:p>
    <w:p w14:paraId="49797A6B" w14:textId="77777777" w:rsidR="005C6A77" w:rsidRDefault="005C6A77" w:rsidP="000E4CB0">
      <w:pPr>
        <w:jc w:val="both"/>
        <w:rPr>
          <w:rFonts w:ascii="Verdana" w:hAnsi="Verdana" w:cs="Arial"/>
          <w:sz w:val="18"/>
          <w:szCs w:val="18"/>
          <w:lang w:val="el-GR"/>
        </w:rPr>
      </w:pPr>
    </w:p>
    <w:p w14:paraId="23CA5A1C" w14:textId="77777777" w:rsidR="005C6A77" w:rsidRDefault="005C6A77" w:rsidP="000E4CB0">
      <w:pPr>
        <w:jc w:val="both"/>
        <w:rPr>
          <w:rFonts w:ascii="Verdana" w:hAnsi="Verdana" w:cs="Arial"/>
          <w:sz w:val="18"/>
          <w:szCs w:val="18"/>
          <w:lang w:val="el-GR"/>
        </w:rPr>
      </w:pPr>
    </w:p>
    <w:p w14:paraId="1A0085CB" w14:textId="77777777" w:rsidR="005C6A77" w:rsidRDefault="005C6A77" w:rsidP="000E4CB0">
      <w:pPr>
        <w:jc w:val="both"/>
        <w:rPr>
          <w:rFonts w:ascii="Verdana" w:hAnsi="Verdana" w:cs="Arial"/>
          <w:sz w:val="18"/>
          <w:szCs w:val="18"/>
          <w:lang w:val="el-GR"/>
        </w:rPr>
      </w:pPr>
    </w:p>
    <w:p w14:paraId="6A79CF47" w14:textId="77777777" w:rsidR="005C6A77" w:rsidRDefault="005C6A77"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7EC5960B" w14:textId="77777777" w:rsidR="00333478" w:rsidRPr="0039422A"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5D690B88" w14:textId="21EC44AA" w:rsidR="001712CF" w:rsidRPr="006814B2" w:rsidRDefault="001712CF" w:rsidP="000E4CB0">
      <w:pPr>
        <w:jc w:val="both"/>
        <w:rPr>
          <w:rFonts w:ascii="Verdana" w:hAnsi="Verdana" w:cs="Arial"/>
          <w:sz w:val="18"/>
          <w:szCs w:val="18"/>
          <w:lang w:val="el-GR"/>
        </w:rPr>
      </w:pPr>
    </w:p>
    <w:p w14:paraId="0634A5BD" w14:textId="77777777" w:rsidR="00055BA3" w:rsidRPr="006814B2" w:rsidRDefault="00055BA3"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8A236A">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8A236A">
      <w:pPr>
        <w:jc w:val="both"/>
        <w:rPr>
          <w:rFonts w:ascii="Verdana" w:hAnsi="Verdana"/>
          <w:b/>
          <w:bCs/>
          <w:sz w:val="18"/>
          <w:szCs w:val="18"/>
          <w:u w:val="single"/>
          <w:shd w:val="clear" w:color="auto" w:fill="FFFFFF"/>
          <w:lang w:val="el-GR"/>
        </w:rPr>
      </w:pPr>
    </w:p>
    <w:p w14:paraId="3EA6F5CA" w14:textId="60BBC751" w:rsidR="00176F99" w:rsidRPr="00E65CF4" w:rsidRDefault="00176F99" w:rsidP="008A236A">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8A236A">
      <w:pPr>
        <w:jc w:val="both"/>
        <w:rPr>
          <w:rFonts w:ascii="Verdana" w:hAnsi="Verdana"/>
          <w:sz w:val="18"/>
          <w:szCs w:val="18"/>
          <w:highlight w:val="yellow"/>
          <w:shd w:val="clear" w:color="auto" w:fill="FFFFFF"/>
          <w:lang w:val="el-GR"/>
        </w:rPr>
      </w:pPr>
    </w:p>
    <w:p w14:paraId="6F92AFD6" w14:textId="27D58E40" w:rsidR="00176F99" w:rsidRPr="00E65CF4" w:rsidRDefault="00176F99" w:rsidP="008A236A">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8A236A">
      <w:pPr>
        <w:jc w:val="both"/>
        <w:rPr>
          <w:rFonts w:ascii="Verdana" w:hAnsi="Verdana"/>
          <w:b/>
          <w:bCs/>
          <w:sz w:val="18"/>
          <w:szCs w:val="18"/>
          <w:u w:val="single"/>
          <w:shd w:val="clear" w:color="auto" w:fill="FFFFFF"/>
          <w:lang w:val="el-GR"/>
        </w:rPr>
      </w:pPr>
    </w:p>
    <w:p w14:paraId="3C9BC89E" w14:textId="76ECAE99" w:rsidR="00965807" w:rsidRDefault="00176F99" w:rsidP="008A236A">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8A236A">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8A236A">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8A236A">
      <w:pPr>
        <w:jc w:val="both"/>
        <w:rPr>
          <w:rFonts w:ascii="Verdana" w:hAnsi="Verdana"/>
          <w:sz w:val="18"/>
          <w:szCs w:val="18"/>
          <w:shd w:val="clear" w:color="auto" w:fill="FFFFFF"/>
          <w:lang w:val="el-GR"/>
        </w:rPr>
      </w:pPr>
    </w:p>
    <w:p w14:paraId="3F2BAA3B" w14:textId="77777777" w:rsidR="00176F99" w:rsidRPr="00E65CF4" w:rsidRDefault="00176F99" w:rsidP="008A236A">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8A236A">
      <w:pPr>
        <w:jc w:val="both"/>
        <w:rPr>
          <w:rFonts w:ascii="Verdana" w:hAnsi="Verdana"/>
          <w:b/>
          <w:bCs/>
          <w:sz w:val="18"/>
          <w:szCs w:val="18"/>
          <w:u w:val="single"/>
          <w:shd w:val="clear" w:color="auto" w:fill="FFFFFF"/>
          <w:lang w:val="el-GR"/>
        </w:rPr>
      </w:pPr>
    </w:p>
    <w:p w14:paraId="570EAA55" w14:textId="29577564" w:rsidR="00176F99" w:rsidRDefault="00176F99" w:rsidP="008A236A">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8A236A">
      <w:pPr>
        <w:jc w:val="both"/>
        <w:rPr>
          <w:rFonts w:ascii="Verdana" w:hAnsi="Verdana"/>
          <w:sz w:val="18"/>
          <w:szCs w:val="18"/>
          <w:highlight w:val="yellow"/>
          <w:shd w:val="clear" w:color="auto" w:fill="FFFFFF"/>
          <w:lang w:val="el-GR"/>
        </w:rPr>
      </w:pPr>
    </w:p>
    <w:p w14:paraId="44F6AE6B" w14:textId="4C2A1123" w:rsidR="00176F99" w:rsidRPr="00E65CF4" w:rsidRDefault="00176F99" w:rsidP="008A236A">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8A236A">
      <w:pPr>
        <w:jc w:val="both"/>
        <w:rPr>
          <w:rFonts w:ascii="Verdana" w:hAnsi="Verdana"/>
          <w:sz w:val="18"/>
          <w:szCs w:val="18"/>
          <w:shd w:val="clear" w:color="auto" w:fill="FFFFFF"/>
          <w:lang w:val="el-GR"/>
        </w:rPr>
      </w:pPr>
    </w:p>
    <w:p w14:paraId="55F1DD4B" w14:textId="77777777" w:rsidR="00176F99" w:rsidRPr="00E65CF4" w:rsidRDefault="00176F99" w:rsidP="008A236A">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8A236A">
      <w:pPr>
        <w:jc w:val="both"/>
        <w:rPr>
          <w:rFonts w:ascii="Verdana" w:hAnsi="Verdana"/>
          <w:sz w:val="18"/>
          <w:szCs w:val="18"/>
          <w:highlight w:val="yellow"/>
          <w:shd w:val="clear" w:color="auto" w:fill="FFFFFF"/>
          <w:lang w:val="el-GR"/>
        </w:rPr>
      </w:pPr>
    </w:p>
    <w:p w14:paraId="77E4B426" w14:textId="6064EBCC" w:rsidR="00176F99" w:rsidRPr="00E65CF4" w:rsidRDefault="00176F99" w:rsidP="008A236A">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2F390F15"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4251ADC9"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w:t>
      </w:r>
      <w:r w:rsidR="00FE297A" w:rsidRPr="00FE297A">
        <w:rPr>
          <w:rFonts w:ascii="Verdana" w:hAnsi="Verdana"/>
          <w:sz w:val="18"/>
          <w:szCs w:val="18"/>
          <w:lang w:val="el-GR"/>
        </w:rPr>
        <w:t xml:space="preserve"> </w:t>
      </w:r>
      <w:proofErr w:type="spellStart"/>
      <w:r w:rsidRPr="00313402">
        <w:rPr>
          <w:rFonts w:ascii="Verdana" w:hAnsi="Verdana"/>
          <w:sz w:val="18"/>
          <w:szCs w:val="18"/>
          <w:lang w:val="el-GR"/>
        </w:rPr>
        <w:t>Τηλ</w:t>
      </w:r>
      <w:proofErr w:type="spellEnd"/>
      <w:r w:rsidR="00FE297A" w:rsidRPr="00FE297A">
        <w:rPr>
          <w:rFonts w:ascii="Verdana" w:hAnsi="Verdana"/>
          <w:sz w:val="18"/>
          <w:szCs w:val="18"/>
          <w:lang w:val="el-GR"/>
        </w:rPr>
        <w:t>.</w:t>
      </w:r>
      <w:r w:rsidRPr="00313402">
        <w:rPr>
          <w:rFonts w:ascii="Verdana" w:hAnsi="Verdana"/>
          <w:sz w:val="18"/>
          <w:szCs w:val="18"/>
          <w:lang w:val="el-GR"/>
        </w:rPr>
        <w:t>: +357</w:t>
      </w:r>
      <w:r w:rsidR="00FE297A" w:rsidRPr="00FE297A">
        <w:rPr>
          <w:rFonts w:ascii="Verdana" w:hAnsi="Verdana"/>
          <w:sz w:val="18"/>
          <w:szCs w:val="18"/>
          <w:lang w:val="el-GR"/>
        </w:rPr>
        <w:t>-</w:t>
      </w:r>
      <w:r w:rsidRPr="00313402">
        <w:rPr>
          <w:rFonts w:ascii="Verdana" w:hAnsi="Verdana"/>
          <w:sz w:val="18"/>
          <w:szCs w:val="18"/>
          <w:lang w:val="el-GR"/>
        </w:rPr>
        <w:t>2260</w:t>
      </w:r>
      <w:r w:rsidRPr="00B06171">
        <w:rPr>
          <w:rFonts w:ascii="Verdana" w:hAnsi="Verdana"/>
          <w:sz w:val="18"/>
          <w:szCs w:val="18"/>
          <w:lang w:val="el-GR"/>
        </w:rPr>
        <w:t>2206</w:t>
      </w:r>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cystat</w:t>
      </w:r>
      <w:proofErr w:type="spellEnd"/>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160A8915"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Τηλ</w:t>
      </w:r>
      <w:proofErr w:type="spellEnd"/>
      <w:r w:rsidR="00FE297A" w:rsidRPr="00FE297A">
        <w:rPr>
          <w:rFonts w:ascii="Verdana" w:hAnsi="Verdana"/>
          <w:sz w:val="18"/>
          <w:szCs w:val="18"/>
          <w:lang w:val="el-GR"/>
        </w:rPr>
        <w:t>.</w:t>
      </w:r>
      <w:r w:rsidRPr="00313402">
        <w:rPr>
          <w:rFonts w:ascii="Verdana" w:hAnsi="Verdana"/>
          <w:sz w:val="18"/>
          <w:szCs w:val="18"/>
          <w:lang w:val="el-GR"/>
        </w:rPr>
        <w:t xml:space="preserve">: </w:t>
      </w:r>
      <w:bookmarkStart w:id="2" w:name="_Hlk71022000"/>
      <w:r w:rsidRPr="00313402">
        <w:rPr>
          <w:rFonts w:ascii="Verdana" w:hAnsi="Verdana"/>
          <w:sz w:val="18"/>
          <w:szCs w:val="18"/>
          <w:lang w:val="el-GR"/>
        </w:rPr>
        <w:t>+357</w:t>
      </w:r>
      <w:r w:rsidR="00FE297A" w:rsidRPr="00FE297A">
        <w:rPr>
          <w:rFonts w:ascii="Verdana" w:hAnsi="Verdana"/>
          <w:sz w:val="18"/>
          <w:szCs w:val="18"/>
          <w:lang w:val="el-GR"/>
        </w:rPr>
        <w:t>-</w:t>
      </w:r>
      <w:r w:rsidRPr="00313402">
        <w:rPr>
          <w:rFonts w:ascii="Verdana" w:hAnsi="Verdana"/>
          <w:sz w:val="18"/>
          <w:szCs w:val="18"/>
          <w:lang w:val="el-GR"/>
        </w:rPr>
        <w:t>22605122</w:t>
      </w:r>
      <w:bookmarkEnd w:id="2"/>
      <w:r w:rsidRPr="00313402">
        <w:rPr>
          <w:rFonts w:ascii="Verdana" w:hAnsi="Verdana"/>
          <w:sz w:val="18"/>
          <w:szCs w:val="18"/>
          <w:lang w:val="el-GR"/>
        </w:rPr>
        <w:t xml:space="preserve">, </w:t>
      </w:r>
      <w:proofErr w:type="spellStart"/>
      <w:r w:rsidRPr="00313402">
        <w:rPr>
          <w:rFonts w:ascii="Verdana" w:hAnsi="Verdana"/>
          <w:sz w:val="18"/>
          <w:szCs w:val="18"/>
          <w:lang w:val="el-GR"/>
        </w:rPr>
        <w:t>Ηλ</w:t>
      </w:r>
      <w:proofErr w:type="spellEnd"/>
      <w:r w:rsidRPr="00313402">
        <w:rPr>
          <w:rFonts w:ascii="Verdana" w:hAnsi="Verdana"/>
          <w:sz w:val="18"/>
          <w:szCs w:val="18"/>
          <w:lang w:val="el-GR"/>
        </w:rPr>
        <w:t xml:space="preserve">. </w:t>
      </w:r>
      <w:proofErr w:type="spellStart"/>
      <w:r w:rsidR="00DD03D0">
        <w:rPr>
          <w:rFonts w:ascii="Verdana" w:hAnsi="Verdana"/>
          <w:sz w:val="18"/>
          <w:szCs w:val="18"/>
          <w:lang w:val="el-GR"/>
        </w:rPr>
        <w:t>Ταχ</w:t>
      </w:r>
      <w:proofErr w:type="spellEnd"/>
      <w:r w:rsidR="00DD03D0">
        <w:rPr>
          <w:rFonts w:ascii="Verdana" w:hAnsi="Verdana"/>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cystat</w:t>
      </w:r>
      <w:proofErr w:type="spellEnd"/>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13B3" w14:textId="77777777" w:rsidR="00BF2388" w:rsidRDefault="00BF2388" w:rsidP="00FB398F">
      <w:r>
        <w:separator/>
      </w:r>
    </w:p>
  </w:endnote>
  <w:endnote w:type="continuationSeparator" w:id="0">
    <w:p w14:paraId="0A732346" w14:textId="77777777" w:rsidR="00BF2388" w:rsidRDefault="00BF238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w:t>
    </w:r>
    <w:proofErr w:type="spellStart"/>
    <w:r w:rsidRPr="00081CA9">
      <w:rPr>
        <w:rFonts w:ascii="Verdana" w:hAnsi="Verdana" w:cs="Arial"/>
        <w:iCs/>
        <w:sz w:val="16"/>
        <w:szCs w:val="16"/>
        <w:lang w:val="el-GR"/>
      </w:rPr>
      <w:t>Καραολή</w:t>
    </w:r>
    <w:proofErr w:type="spellEnd"/>
    <w:r w:rsidRPr="00081CA9">
      <w:rPr>
        <w:rFonts w:ascii="Verdana" w:hAnsi="Verdana" w:cs="Arial"/>
        <w:iCs/>
        <w:sz w:val="16"/>
        <w:szCs w:val="16"/>
        <w:lang w:val="el-GR"/>
      </w:rPr>
      <w:t>,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proofErr w:type="spellStart"/>
    <w:r w:rsidRPr="00081CA9">
      <w:rPr>
        <w:rFonts w:ascii="Verdana" w:hAnsi="Verdana" w:cs="Arial"/>
        <w:iCs/>
        <w:sz w:val="16"/>
        <w:szCs w:val="16"/>
        <w:lang w:val="el-GR"/>
      </w:rPr>
      <w:t>Τηλ</w:t>
    </w:r>
    <w:proofErr w:type="spellEnd"/>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Ηλ</w:t>
    </w:r>
    <w:proofErr w:type="spellEnd"/>
    <w:r w:rsidR="00081CA9">
      <w:rPr>
        <w:rFonts w:ascii="Verdana" w:hAnsi="Verdana" w:cs="Arial"/>
        <w:iCs/>
        <w:sz w:val="16"/>
        <w:szCs w:val="16"/>
        <w:lang w:val="el-GR"/>
      </w:rPr>
      <w:t xml:space="preserve">. </w:t>
    </w:r>
    <w:proofErr w:type="spellStart"/>
    <w:r w:rsidR="00081CA9">
      <w:rPr>
        <w:rFonts w:ascii="Verdana" w:hAnsi="Verdana" w:cs="Arial"/>
        <w:iCs/>
        <w:sz w:val="16"/>
        <w:szCs w:val="16"/>
        <w:lang w:val="el-GR"/>
      </w:rPr>
      <w:t>Ταχ</w:t>
    </w:r>
    <w:proofErr w:type="spellEnd"/>
    <w:r w:rsidR="00081CA9">
      <w:rPr>
        <w:rFonts w:ascii="Verdana" w:hAnsi="Verdana" w:cs="Arial"/>
        <w:iCs/>
        <w:sz w:val="16"/>
        <w:szCs w:val="16"/>
        <w:lang w:val="el-GR"/>
      </w:rPr>
      <w:t>.</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proofErr w:type="spellStart"/>
      <w:r w:rsidR="004E4F42" w:rsidRPr="00081CA9">
        <w:rPr>
          <w:rStyle w:val="Hyperlink"/>
          <w:rFonts w:ascii="Verdana" w:hAnsi="Verdana" w:cs="Arial"/>
          <w:iCs/>
          <w:sz w:val="16"/>
          <w:szCs w:val="16"/>
        </w:rPr>
        <w:t>cystat</w:t>
      </w:r>
      <w:proofErr w:type="spellEnd"/>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B6DE" w14:textId="77777777" w:rsidR="00BF2388" w:rsidRDefault="00BF2388" w:rsidP="00FB398F">
      <w:r>
        <w:separator/>
      </w:r>
    </w:p>
  </w:footnote>
  <w:footnote w:type="continuationSeparator" w:id="0">
    <w:p w14:paraId="30C8839D" w14:textId="77777777" w:rsidR="00BF2388" w:rsidRDefault="00BF238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64C"/>
    <w:rsid w:val="00045A06"/>
    <w:rsid w:val="00046366"/>
    <w:rsid w:val="00047034"/>
    <w:rsid w:val="0004769E"/>
    <w:rsid w:val="0005010F"/>
    <w:rsid w:val="00050391"/>
    <w:rsid w:val="00055291"/>
    <w:rsid w:val="00055BA3"/>
    <w:rsid w:val="000563D3"/>
    <w:rsid w:val="00057E44"/>
    <w:rsid w:val="00061299"/>
    <w:rsid w:val="000613C8"/>
    <w:rsid w:val="00063B66"/>
    <w:rsid w:val="00070576"/>
    <w:rsid w:val="0007104F"/>
    <w:rsid w:val="0007255A"/>
    <w:rsid w:val="0007458A"/>
    <w:rsid w:val="0007484C"/>
    <w:rsid w:val="000752BB"/>
    <w:rsid w:val="00081ADF"/>
    <w:rsid w:val="00081CA9"/>
    <w:rsid w:val="00084969"/>
    <w:rsid w:val="00084A02"/>
    <w:rsid w:val="00084BF7"/>
    <w:rsid w:val="000870E9"/>
    <w:rsid w:val="000904AD"/>
    <w:rsid w:val="00090AD0"/>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56E3"/>
    <w:rsid w:val="001262C3"/>
    <w:rsid w:val="00127320"/>
    <w:rsid w:val="00127456"/>
    <w:rsid w:val="00130506"/>
    <w:rsid w:val="00130514"/>
    <w:rsid w:val="001312D8"/>
    <w:rsid w:val="0013137B"/>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E21"/>
    <w:rsid w:val="001664DF"/>
    <w:rsid w:val="001674F6"/>
    <w:rsid w:val="001679A1"/>
    <w:rsid w:val="0017064F"/>
    <w:rsid w:val="001712CF"/>
    <w:rsid w:val="00172D9B"/>
    <w:rsid w:val="00172ECD"/>
    <w:rsid w:val="00173E91"/>
    <w:rsid w:val="00176F99"/>
    <w:rsid w:val="0017769A"/>
    <w:rsid w:val="00177E12"/>
    <w:rsid w:val="00180140"/>
    <w:rsid w:val="00182917"/>
    <w:rsid w:val="00183DFC"/>
    <w:rsid w:val="00184384"/>
    <w:rsid w:val="00184FB5"/>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2C"/>
    <w:rsid w:val="002102C3"/>
    <w:rsid w:val="00210B58"/>
    <w:rsid w:val="00214549"/>
    <w:rsid w:val="00222423"/>
    <w:rsid w:val="00222467"/>
    <w:rsid w:val="00225B28"/>
    <w:rsid w:val="00226891"/>
    <w:rsid w:val="00226A41"/>
    <w:rsid w:val="00227138"/>
    <w:rsid w:val="00227550"/>
    <w:rsid w:val="00230A0C"/>
    <w:rsid w:val="00230D9B"/>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78E"/>
    <w:rsid w:val="002E3846"/>
    <w:rsid w:val="002E3C2D"/>
    <w:rsid w:val="002E3F78"/>
    <w:rsid w:val="002E5CC6"/>
    <w:rsid w:val="002E65BC"/>
    <w:rsid w:val="002E7E98"/>
    <w:rsid w:val="002F0E81"/>
    <w:rsid w:val="002F14A7"/>
    <w:rsid w:val="002F3915"/>
    <w:rsid w:val="002F400C"/>
    <w:rsid w:val="002F4D76"/>
    <w:rsid w:val="002F569C"/>
    <w:rsid w:val="002F6D26"/>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A0A"/>
    <w:rsid w:val="003168C1"/>
    <w:rsid w:val="00322FBE"/>
    <w:rsid w:val="00323B9C"/>
    <w:rsid w:val="00325632"/>
    <w:rsid w:val="00326B51"/>
    <w:rsid w:val="00327549"/>
    <w:rsid w:val="003322DF"/>
    <w:rsid w:val="0033315D"/>
    <w:rsid w:val="00333478"/>
    <w:rsid w:val="003342A5"/>
    <w:rsid w:val="00334616"/>
    <w:rsid w:val="003348E4"/>
    <w:rsid w:val="00334C8B"/>
    <w:rsid w:val="00335AE8"/>
    <w:rsid w:val="003367F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4D5C"/>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3386"/>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57"/>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25AF"/>
    <w:rsid w:val="00404670"/>
    <w:rsid w:val="004069D7"/>
    <w:rsid w:val="00407613"/>
    <w:rsid w:val="00410E3F"/>
    <w:rsid w:val="00410FCA"/>
    <w:rsid w:val="004113A4"/>
    <w:rsid w:val="0041372C"/>
    <w:rsid w:val="00414A45"/>
    <w:rsid w:val="00414CA0"/>
    <w:rsid w:val="004165A9"/>
    <w:rsid w:val="00417AE2"/>
    <w:rsid w:val="00422F54"/>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F9C"/>
    <w:rsid w:val="00513564"/>
    <w:rsid w:val="005140BB"/>
    <w:rsid w:val="005144B5"/>
    <w:rsid w:val="00522845"/>
    <w:rsid w:val="00522D4E"/>
    <w:rsid w:val="0052477F"/>
    <w:rsid w:val="00524CE6"/>
    <w:rsid w:val="00527CDB"/>
    <w:rsid w:val="00530768"/>
    <w:rsid w:val="00530BD8"/>
    <w:rsid w:val="005341C9"/>
    <w:rsid w:val="00535475"/>
    <w:rsid w:val="005358B4"/>
    <w:rsid w:val="005369CA"/>
    <w:rsid w:val="00536DE9"/>
    <w:rsid w:val="00537799"/>
    <w:rsid w:val="00540AB3"/>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91CA2"/>
    <w:rsid w:val="00593CDD"/>
    <w:rsid w:val="00595D22"/>
    <w:rsid w:val="00596261"/>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3F8D"/>
    <w:rsid w:val="005B413F"/>
    <w:rsid w:val="005B4AD4"/>
    <w:rsid w:val="005B4E01"/>
    <w:rsid w:val="005B6ACA"/>
    <w:rsid w:val="005C0AEA"/>
    <w:rsid w:val="005C1E86"/>
    <w:rsid w:val="005C2798"/>
    <w:rsid w:val="005C3259"/>
    <w:rsid w:val="005C36C3"/>
    <w:rsid w:val="005C3E4D"/>
    <w:rsid w:val="005C49CA"/>
    <w:rsid w:val="005C4FAC"/>
    <w:rsid w:val="005C56EE"/>
    <w:rsid w:val="005C616B"/>
    <w:rsid w:val="005C6A77"/>
    <w:rsid w:val="005C7755"/>
    <w:rsid w:val="005C7EB5"/>
    <w:rsid w:val="005D1714"/>
    <w:rsid w:val="005D1732"/>
    <w:rsid w:val="005D309F"/>
    <w:rsid w:val="005D3D28"/>
    <w:rsid w:val="005D4B02"/>
    <w:rsid w:val="005D7638"/>
    <w:rsid w:val="005E08D8"/>
    <w:rsid w:val="005E10A0"/>
    <w:rsid w:val="005E1D0F"/>
    <w:rsid w:val="005E61BC"/>
    <w:rsid w:val="005E6852"/>
    <w:rsid w:val="005E70A5"/>
    <w:rsid w:val="005F12F5"/>
    <w:rsid w:val="005F4957"/>
    <w:rsid w:val="005F496F"/>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17C9"/>
    <w:rsid w:val="00613440"/>
    <w:rsid w:val="00613BE3"/>
    <w:rsid w:val="00616251"/>
    <w:rsid w:val="00620E4C"/>
    <w:rsid w:val="0062264E"/>
    <w:rsid w:val="0062327B"/>
    <w:rsid w:val="00623420"/>
    <w:rsid w:val="00626604"/>
    <w:rsid w:val="00626A29"/>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643E"/>
    <w:rsid w:val="006567AC"/>
    <w:rsid w:val="006616F6"/>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1F6D"/>
    <w:rsid w:val="006A1FB8"/>
    <w:rsid w:val="006A2C1A"/>
    <w:rsid w:val="006A3A50"/>
    <w:rsid w:val="006A483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4256"/>
    <w:rsid w:val="006E4471"/>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2C5C"/>
    <w:rsid w:val="00714007"/>
    <w:rsid w:val="00714094"/>
    <w:rsid w:val="00715D7C"/>
    <w:rsid w:val="00720714"/>
    <w:rsid w:val="00720BE5"/>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5CFC"/>
    <w:rsid w:val="00780A62"/>
    <w:rsid w:val="00783241"/>
    <w:rsid w:val="00784BDC"/>
    <w:rsid w:val="0078557D"/>
    <w:rsid w:val="00785C5E"/>
    <w:rsid w:val="00785CDB"/>
    <w:rsid w:val="00787F98"/>
    <w:rsid w:val="00790022"/>
    <w:rsid w:val="0079041E"/>
    <w:rsid w:val="00791BDE"/>
    <w:rsid w:val="00792F28"/>
    <w:rsid w:val="007935CA"/>
    <w:rsid w:val="00794FA7"/>
    <w:rsid w:val="0079543F"/>
    <w:rsid w:val="00795880"/>
    <w:rsid w:val="0079615F"/>
    <w:rsid w:val="007969FB"/>
    <w:rsid w:val="007A4367"/>
    <w:rsid w:val="007A506B"/>
    <w:rsid w:val="007A699C"/>
    <w:rsid w:val="007B0047"/>
    <w:rsid w:val="007B0320"/>
    <w:rsid w:val="007B059D"/>
    <w:rsid w:val="007B05A8"/>
    <w:rsid w:val="007B0867"/>
    <w:rsid w:val="007B08E7"/>
    <w:rsid w:val="007B0B57"/>
    <w:rsid w:val="007B1126"/>
    <w:rsid w:val="007B1AC1"/>
    <w:rsid w:val="007B1F7D"/>
    <w:rsid w:val="007B2E86"/>
    <w:rsid w:val="007B52F0"/>
    <w:rsid w:val="007B54E1"/>
    <w:rsid w:val="007B5A08"/>
    <w:rsid w:val="007B693D"/>
    <w:rsid w:val="007C1AB5"/>
    <w:rsid w:val="007C35D9"/>
    <w:rsid w:val="007C4CDC"/>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3D1E"/>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7D3"/>
    <w:rsid w:val="00855A37"/>
    <w:rsid w:val="00861748"/>
    <w:rsid w:val="00862597"/>
    <w:rsid w:val="008652CB"/>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388"/>
    <w:rsid w:val="008912AF"/>
    <w:rsid w:val="00892114"/>
    <w:rsid w:val="00892CB9"/>
    <w:rsid w:val="0089353C"/>
    <w:rsid w:val="008935CB"/>
    <w:rsid w:val="008936A8"/>
    <w:rsid w:val="00896BB4"/>
    <w:rsid w:val="008978F7"/>
    <w:rsid w:val="008A236A"/>
    <w:rsid w:val="008A3626"/>
    <w:rsid w:val="008A4486"/>
    <w:rsid w:val="008A4DD4"/>
    <w:rsid w:val="008A4F86"/>
    <w:rsid w:val="008A5E53"/>
    <w:rsid w:val="008A7207"/>
    <w:rsid w:val="008B0E7E"/>
    <w:rsid w:val="008B1369"/>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AD8"/>
    <w:rsid w:val="00907848"/>
    <w:rsid w:val="00912C09"/>
    <w:rsid w:val="00914A23"/>
    <w:rsid w:val="009164B9"/>
    <w:rsid w:val="009169C0"/>
    <w:rsid w:val="00916C6C"/>
    <w:rsid w:val="009172D8"/>
    <w:rsid w:val="0092270F"/>
    <w:rsid w:val="009268F9"/>
    <w:rsid w:val="00927536"/>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B0B"/>
    <w:rsid w:val="00957962"/>
    <w:rsid w:val="00957E54"/>
    <w:rsid w:val="00960E98"/>
    <w:rsid w:val="009613C4"/>
    <w:rsid w:val="00961E63"/>
    <w:rsid w:val="00962275"/>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C81"/>
    <w:rsid w:val="0098231E"/>
    <w:rsid w:val="00982AE2"/>
    <w:rsid w:val="009838FC"/>
    <w:rsid w:val="00985395"/>
    <w:rsid w:val="009853AF"/>
    <w:rsid w:val="00985522"/>
    <w:rsid w:val="00986657"/>
    <w:rsid w:val="00990A27"/>
    <w:rsid w:val="00990ABF"/>
    <w:rsid w:val="009931ED"/>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79BA"/>
    <w:rsid w:val="00A14181"/>
    <w:rsid w:val="00A14C67"/>
    <w:rsid w:val="00A14CF6"/>
    <w:rsid w:val="00A14E8C"/>
    <w:rsid w:val="00A1554F"/>
    <w:rsid w:val="00A17085"/>
    <w:rsid w:val="00A1779C"/>
    <w:rsid w:val="00A20C70"/>
    <w:rsid w:val="00A21E99"/>
    <w:rsid w:val="00A2424D"/>
    <w:rsid w:val="00A243D1"/>
    <w:rsid w:val="00A26491"/>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2B7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538B"/>
    <w:rsid w:val="00AE5ADA"/>
    <w:rsid w:val="00AF1342"/>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98F"/>
    <w:rsid w:val="00B11A54"/>
    <w:rsid w:val="00B126EB"/>
    <w:rsid w:val="00B14954"/>
    <w:rsid w:val="00B167EE"/>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AC6"/>
    <w:rsid w:val="00B84C5A"/>
    <w:rsid w:val="00B858F5"/>
    <w:rsid w:val="00B85C68"/>
    <w:rsid w:val="00B87139"/>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35B"/>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054C"/>
    <w:rsid w:val="00BF2388"/>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A7A64"/>
    <w:rsid w:val="00CB5B7E"/>
    <w:rsid w:val="00CB6BC1"/>
    <w:rsid w:val="00CB6D3B"/>
    <w:rsid w:val="00CB7021"/>
    <w:rsid w:val="00CC0A97"/>
    <w:rsid w:val="00CC56E9"/>
    <w:rsid w:val="00CC63F9"/>
    <w:rsid w:val="00CC7514"/>
    <w:rsid w:val="00CC7986"/>
    <w:rsid w:val="00CD22EB"/>
    <w:rsid w:val="00CD3294"/>
    <w:rsid w:val="00CD4524"/>
    <w:rsid w:val="00CD784D"/>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787"/>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3A86"/>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393E"/>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E5"/>
    <w:rsid w:val="00EC6A6D"/>
    <w:rsid w:val="00ED2650"/>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1C1C"/>
    <w:rsid w:val="00F12BE1"/>
    <w:rsid w:val="00F13F92"/>
    <w:rsid w:val="00F17029"/>
    <w:rsid w:val="00F229F1"/>
    <w:rsid w:val="00F22ECA"/>
    <w:rsid w:val="00F240E8"/>
    <w:rsid w:val="00F244FA"/>
    <w:rsid w:val="00F3220A"/>
    <w:rsid w:val="00F324FE"/>
    <w:rsid w:val="00F325B9"/>
    <w:rsid w:val="00F33192"/>
    <w:rsid w:val="00F346BA"/>
    <w:rsid w:val="00F366A2"/>
    <w:rsid w:val="00F36BE3"/>
    <w:rsid w:val="00F3705D"/>
    <w:rsid w:val="00F42716"/>
    <w:rsid w:val="00F43025"/>
    <w:rsid w:val="00F44C49"/>
    <w:rsid w:val="00F44E4E"/>
    <w:rsid w:val="00F44F43"/>
    <w:rsid w:val="00F450E1"/>
    <w:rsid w:val="00F46355"/>
    <w:rsid w:val="00F50DF4"/>
    <w:rsid w:val="00F5166D"/>
    <w:rsid w:val="00F51B7E"/>
    <w:rsid w:val="00F537B5"/>
    <w:rsid w:val="00F56049"/>
    <w:rsid w:val="00F566C9"/>
    <w:rsid w:val="00F5718D"/>
    <w:rsid w:val="00F5735B"/>
    <w:rsid w:val="00F57AFE"/>
    <w:rsid w:val="00F60F63"/>
    <w:rsid w:val="00F6278E"/>
    <w:rsid w:val="00F63C41"/>
    <w:rsid w:val="00F63E96"/>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AF2"/>
    <w:rsid w:val="00F91EF1"/>
    <w:rsid w:val="00F95E3F"/>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297A"/>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64</cp:revision>
  <cp:lastPrinted>2025-11-10T07:10:00Z</cp:lastPrinted>
  <dcterms:created xsi:type="dcterms:W3CDTF">2025-11-10T07:15:00Z</dcterms:created>
  <dcterms:modified xsi:type="dcterms:W3CDTF">2026-03-12T08:24:00Z</dcterms:modified>
</cp:coreProperties>
</file>