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16637A24" w:rsidR="002A3FFA" w:rsidRDefault="00785085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 w:rsidRPr="00107F93">
        <w:rPr>
          <w:rFonts w:ascii="Verdana" w:hAnsi="Verdana" w:cs="Arial"/>
          <w:sz w:val="18"/>
          <w:szCs w:val="18"/>
        </w:rPr>
        <w:t>12</w:t>
      </w:r>
      <w:r>
        <w:rPr>
          <w:rFonts w:ascii="Verdana" w:hAnsi="Verdana" w:cs="Arial"/>
          <w:sz w:val="18"/>
          <w:szCs w:val="18"/>
        </w:rPr>
        <w:t xml:space="preserve"> March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B67BE1"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F1BE5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4E32538B" w:rsidR="001519F9" w:rsidRPr="003F1BE5" w:rsidRDefault="00785085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>DECEMBER</w:t>
      </w:r>
      <w:r w:rsidR="00BC7DDD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C64838" w:rsidRPr="003F1BE5">
        <w:rPr>
          <w:rFonts w:ascii="Verdana" w:hAnsi="Verdana" w:cs="Courier New"/>
          <w:b/>
          <w:bCs/>
          <w:u w:val="single"/>
        </w:rPr>
        <w:t>5</w:t>
      </w:r>
      <w:r w:rsidR="002A3FFA" w:rsidRPr="003F1BE5">
        <w:rPr>
          <w:rFonts w:ascii="Verdana" w:hAnsi="Verdana" w:cs="Courier New"/>
          <w:b/>
          <w:bCs/>
          <w:u w:val="single"/>
        </w:rPr>
        <w:t xml:space="preserve"> (FINAL DATA) AND </w:t>
      </w:r>
      <w:r>
        <w:rPr>
          <w:rFonts w:ascii="Verdana" w:hAnsi="Verdana" w:cs="Courier New"/>
          <w:b/>
          <w:bCs/>
          <w:u w:val="single"/>
        </w:rPr>
        <w:t>JANUARY</w:t>
      </w:r>
      <w:r w:rsidR="006251AE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>
        <w:rPr>
          <w:rFonts w:ascii="Verdana" w:hAnsi="Verdana" w:cs="Courier New"/>
          <w:b/>
          <w:bCs/>
          <w:u w:val="single"/>
        </w:rPr>
        <w:t>6</w:t>
      </w:r>
    </w:p>
    <w:p w14:paraId="77EE8272" w14:textId="1BDA957E" w:rsidR="007437AB" w:rsidRPr="003F1BE5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3F1BE5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6CB07C97" w:rsidR="002B7689" w:rsidRPr="00D5282C" w:rsidRDefault="00785085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D5282C">
        <w:rPr>
          <w:rFonts w:ascii="Verdana" w:hAnsi="Verdana" w:cs="Arial"/>
          <w:b/>
          <w:bCs/>
          <w:sz w:val="18"/>
          <w:szCs w:val="18"/>
          <w:u w:val="single"/>
        </w:rPr>
        <w:t>January</w:t>
      </w:r>
      <w:r w:rsidR="00BC7DDD" w:rsidRPr="00D5282C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D5282C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Pr="00D5282C">
        <w:rPr>
          <w:rFonts w:ascii="Verdana" w:hAnsi="Verdana" w:cs="Arial"/>
          <w:b/>
          <w:bCs/>
          <w:sz w:val="18"/>
          <w:szCs w:val="18"/>
          <w:u w:val="single"/>
        </w:rPr>
        <w:t>6</w:t>
      </w:r>
      <w:r w:rsidR="002A3FFA" w:rsidRPr="00D5282C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4F4CB8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highlight w:val="yellow"/>
          <w:u w:val="single"/>
        </w:rPr>
      </w:pPr>
    </w:p>
    <w:p w14:paraId="0A47ABD5" w14:textId="08C9E8AE" w:rsidR="002B7689" w:rsidRPr="004F4CB8" w:rsidRDefault="002B7689" w:rsidP="002B7689">
      <w:pPr>
        <w:jc w:val="both"/>
        <w:rPr>
          <w:rFonts w:ascii="Verdana" w:hAnsi="Verdana"/>
          <w:sz w:val="18"/>
          <w:szCs w:val="18"/>
          <w:highlight w:val="yellow"/>
        </w:rPr>
      </w:pPr>
      <w:r w:rsidRPr="00D5282C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D5282C">
        <w:rPr>
          <w:rFonts w:ascii="Verdana" w:hAnsi="Verdana"/>
          <w:b/>
          <w:bCs/>
          <w:sz w:val="18"/>
          <w:szCs w:val="18"/>
        </w:rPr>
        <w:t xml:space="preserve">in </w:t>
      </w:r>
      <w:r w:rsidR="00785085" w:rsidRPr="00D5282C">
        <w:rPr>
          <w:rFonts w:ascii="Verdana" w:hAnsi="Verdana"/>
          <w:b/>
          <w:bCs/>
          <w:sz w:val="18"/>
          <w:szCs w:val="18"/>
        </w:rPr>
        <w:t>January</w:t>
      </w:r>
      <w:r w:rsidR="00B67BE1" w:rsidRPr="00D5282C">
        <w:rPr>
          <w:rFonts w:ascii="Verdana" w:hAnsi="Verdana"/>
          <w:b/>
          <w:bCs/>
          <w:sz w:val="18"/>
          <w:szCs w:val="18"/>
        </w:rPr>
        <w:t xml:space="preserve"> </w:t>
      </w:r>
      <w:r w:rsidR="002E5447" w:rsidRPr="00D5282C">
        <w:rPr>
          <w:rFonts w:ascii="Verdana" w:hAnsi="Verdana"/>
          <w:b/>
          <w:bCs/>
          <w:sz w:val="18"/>
          <w:szCs w:val="18"/>
        </w:rPr>
        <w:t>202</w:t>
      </w:r>
      <w:r w:rsidR="00785085" w:rsidRPr="00D5282C">
        <w:rPr>
          <w:rFonts w:ascii="Verdana" w:hAnsi="Verdana"/>
          <w:b/>
          <w:bCs/>
          <w:sz w:val="18"/>
          <w:szCs w:val="18"/>
        </w:rPr>
        <w:t>6</w:t>
      </w:r>
      <w:r w:rsidR="002E5447" w:rsidRPr="00D5282C">
        <w:rPr>
          <w:rFonts w:ascii="Verdana" w:hAnsi="Verdana"/>
          <w:b/>
          <w:bCs/>
          <w:sz w:val="18"/>
          <w:szCs w:val="18"/>
        </w:rPr>
        <w:t xml:space="preserve"> </w:t>
      </w:r>
      <w:r w:rsidRPr="00D5282C">
        <w:rPr>
          <w:rFonts w:ascii="Verdana" w:hAnsi="Verdana"/>
          <w:b/>
          <w:bCs/>
          <w:sz w:val="18"/>
          <w:szCs w:val="18"/>
        </w:rPr>
        <w:t>were €</w:t>
      </w:r>
      <w:r w:rsidR="004F4CB8" w:rsidRPr="00D5282C">
        <w:rPr>
          <w:rFonts w:ascii="Verdana" w:hAnsi="Verdana"/>
          <w:b/>
          <w:bCs/>
          <w:sz w:val="18"/>
          <w:szCs w:val="18"/>
        </w:rPr>
        <w:t>994,1</w:t>
      </w:r>
      <w:r w:rsidRPr="00D5282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282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D5282C">
        <w:rPr>
          <w:rFonts w:ascii="Verdana" w:hAnsi="Verdana"/>
          <w:sz w:val="18"/>
          <w:szCs w:val="18"/>
        </w:rPr>
        <w:t xml:space="preserve"> as compared to €</w:t>
      </w:r>
      <w:r w:rsidR="004F4CB8" w:rsidRPr="00D5282C">
        <w:rPr>
          <w:rFonts w:ascii="Verdana" w:hAnsi="Verdana"/>
          <w:sz w:val="18"/>
          <w:szCs w:val="18"/>
        </w:rPr>
        <w:t>1.151,2</w:t>
      </w:r>
      <w:r w:rsidRPr="00D5282C">
        <w:rPr>
          <w:rFonts w:ascii="Verdana" w:hAnsi="Verdana"/>
          <w:sz w:val="18"/>
          <w:szCs w:val="18"/>
        </w:rPr>
        <w:t xml:space="preserve"> </w:t>
      </w:r>
      <w:proofErr w:type="spellStart"/>
      <w:r w:rsidRPr="00D5282C">
        <w:rPr>
          <w:rFonts w:ascii="Verdana" w:hAnsi="Verdana"/>
          <w:sz w:val="18"/>
          <w:szCs w:val="18"/>
        </w:rPr>
        <w:t>mn</w:t>
      </w:r>
      <w:proofErr w:type="spellEnd"/>
      <w:r w:rsidRPr="00D5282C">
        <w:rPr>
          <w:rFonts w:ascii="Verdana" w:hAnsi="Verdana"/>
          <w:sz w:val="18"/>
          <w:szCs w:val="18"/>
        </w:rPr>
        <w:t xml:space="preserve"> in </w:t>
      </w:r>
      <w:r w:rsidR="00785085" w:rsidRPr="00D5282C">
        <w:rPr>
          <w:rFonts w:ascii="Verdana" w:hAnsi="Verdana"/>
          <w:sz w:val="18"/>
          <w:szCs w:val="18"/>
        </w:rPr>
        <w:t xml:space="preserve">January </w:t>
      </w:r>
      <w:r w:rsidRPr="00D5282C">
        <w:rPr>
          <w:rFonts w:ascii="Verdana" w:hAnsi="Verdana"/>
          <w:sz w:val="18"/>
          <w:szCs w:val="18"/>
        </w:rPr>
        <w:t>202</w:t>
      </w:r>
      <w:r w:rsidR="004F4CB8" w:rsidRPr="00D5282C">
        <w:rPr>
          <w:rFonts w:ascii="Verdana" w:hAnsi="Verdana"/>
          <w:sz w:val="18"/>
          <w:szCs w:val="18"/>
        </w:rPr>
        <w:t>5</w:t>
      </w:r>
      <w:r w:rsidRPr="00D5282C">
        <w:rPr>
          <w:rFonts w:ascii="Verdana" w:hAnsi="Verdana"/>
          <w:sz w:val="18"/>
          <w:szCs w:val="18"/>
        </w:rPr>
        <w:t>, recording a</w:t>
      </w:r>
      <w:r w:rsidR="001516F3" w:rsidRPr="00D5282C">
        <w:rPr>
          <w:rFonts w:ascii="Verdana" w:hAnsi="Verdana"/>
          <w:sz w:val="18"/>
          <w:szCs w:val="18"/>
        </w:rPr>
        <w:t xml:space="preserve"> </w:t>
      </w:r>
      <w:r w:rsidR="00A77C77" w:rsidRPr="00D5282C">
        <w:rPr>
          <w:rFonts w:ascii="Verdana" w:hAnsi="Verdana"/>
          <w:sz w:val="18"/>
          <w:szCs w:val="18"/>
        </w:rPr>
        <w:t>de</w:t>
      </w:r>
      <w:r w:rsidR="00E52C5D" w:rsidRPr="00D5282C">
        <w:rPr>
          <w:rFonts w:ascii="Verdana" w:hAnsi="Verdana"/>
          <w:sz w:val="18"/>
          <w:szCs w:val="18"/>
        </w:rPr>
        <w:t>crease</w:t>
      </w:r>
      <w:r w:rsidRPr="00D5282C">
        <w:rPr>
          <w:rFonts w:ascii="Verdana" w:hAnsi="Verdana"/>
          <w:sz w:val="18"/>
          <w:szCs w:val="18"/>
        </w:rPr>
        <w:t xml:space="preserve"> of </w:t>
      </w:r>
      <w:r w:rsidR="004F4CB8" w:rsidRPr="00D5282C">
        <w:rPr>
          <w:rFonts w:ascii="Verdana" w:hAnsi="Verdana"/>
          <w:sz w:val="18"/>
          <w:szCs w:val="18"/>
        </w:rPr>
        <w:t>13,6</w:t>
      </w:r>
      <w:r w:rsidRPr="00D5282C">
        <w:rPr>
          <w:rFonts w:ascii="Verdana" w:hAnsi="Verdana"/>
          <w:sz w:val="18"/>
          <w:szCs w:val="18"/>
        </w:rPr>
        <w:t>%</w:t>
      </w:r>
      <w:r w:rsidR="00F8426A" w:rsidRPr="00D5282C">
        <w:rPr>
          <w:rFonts w:ascii="Verdana" w:hAnsi="Verdana"/>
          <w:sz w:val="18"/>
          <w:szCs w:val="18"/>
        </w:rPr>
        <w:t xml:space="preserve"> (Table)</w:t>
      </w:r>
      <w:r w:rsidRPr="00D5282C">
        <w:rPr>
          <w:rFonts w:ascii="Verdana" w:hAnsi="Verdana"/>
          <w:sz w:val="18"/>
          <w:szCs w:val="18"/>
        </w:rPr>
        <w:t>. Imports from other EU Member States were €</w:t>
      </w:r>
      <w:r w:rsidR="004F4CB8" w:rsidRPr="00D5282C">
        <w:rPr>
          <w:rFonts w:ascii="Verdana" w:hAnsi="Verdana"/>
          <w:sz w:val="18"/>
          <w:szCs w:val="18"/>
        </w:rPr>
        <w:t>554,3</w:t>
      </w:r>
      <w:r w:rsidRPr="00D5282C">
        <w:rPr>
          <w:rFonts w:ascii="Verdana" w:hAnsi="Verdana"/>
          <w:sz w:val="18"/>
          <w:szCs w:val="18"/>
        </w:rPr>
        <w:t xml:space="preserve"> </w:t>
      </w:r>
      <w:proofErr w:type="spellStart"/>
      <w:r w:rsidRPr="00D5282C">
        <w:rPr>
          <w:rFonts w:ascii="Verdana" w:hAnsi="Verdana"/>
          <w:sz w:val="18"/>
          <w:szCs w:val="18"/>
        </w:rPr>
        <w:t>mn</w:t>
      </w:r>
      <w:proofErr w:type="spellEnd"/>
      <w:r w:rsidRPr="00D5282C">
        <w:rPr>
          <w:rFonts w:ascii="Verdana" w:hAnsi="Verdana"/>
          <w:sz w:val="18"/>
          <w:szCs w:val="18"/>
        </w:rPr>
        <w:t xml:space="preserve"> and from </w:t>
      </w:r>
      <w:r w:rsidRPr="00D50F9B">
        <w:rPr>
          <w:rFonts w:ascii="Verdana" w:hAnsi="Verdana"/>
          <w:sz w:val="18"/>
          <w:szCs w:val="18"/>
        </w:rPr>
        <w:t>third countries €</w:t>
      </w:r>
      <w:r w:rsidR="004F4CB8" w:rsidRPr="00D50F9B">
        <w:rPr>
          <w:rFonts w:ascii="Verdana" w:hAnsi="Verdana"/>
          <w:sz w:val="18"/>
          <w:szCs w:val="18"/>
        </w:rPr>
        <w:t>439,8</w:t>
      </w:r>
      <w:r w:rsidR="00D50D70"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>, compared to €</w:t>
      </w:r>
      <w:r w:rsidR="004F4CB8" w:rsidRPr="00D50F9B">
        <w:rPr>
          <w:rFonts w:ascii="Verdana" w:hAnsi="Verdana"/>
          <w:sz w:val="18"/>
          <w:szCs w:val="18"/>
        </w:rPr>
        <w:t>583,0</w:t>
      </w:r>
      <w:r w:rsidR="00BA0E87"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and €</w:t>
      </w:r>
      <w:r w:rsidR="004F4CB8" w:rsidRPr="00D50F9B">
        <w:rPr>
          <w:rFonts w:ascii="Verdana" w:hAnsi="Verdana"/>
          <w:sz w:val="18"/>
          <w:szCs w:val="18"/>
        </w:rPr>
        <w:t>568,2</w:t>
      </w:r>
      <w:r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respectively in </w:t>
      </w:r>
      <w:r w:rsidR="00107F93" w:rsidRPr="00D50F9B">
        <w:rPr>
          <w:rFonts w:ascii="Verdana" w:hAnsi="Verdana"/>
          <w:sz w:val="18"/>
          <w:szCs w:val="18"/>
        </w:rPr>
        <w:t>January</w:t>
      </w:r>
      <w:r w:rsidR="00F8108C" w:rsidRPr="00D50F9B">
        <w:rPr>
          <w:rFonts w:ascii="Verdana" w:hAnsi="Verdana"/>
          <w:sz w:val="18"/>
          <w:szCs w:val="18"/>
        </w:rPr>
        <w:t xml:space="preserve"> 2</w:t>
      </w:r>
      <w:r w:rsidRPr="00D50F9B">
        <w:rPr>
          <w:rFonts w:ascii="Verdana" w:hAnsi="Verdana"/>
          <w:sz w:val="18"/>
          <w:szCs w:val="18"/>
        </w:rPr>
        <w:t>02</w:t>
      </w:r>
      <w:r w:rsidR="004F4CB8" w:rsidRPr="00D50F9B">
        <w:rPr>
          <w:rFonts w:ascii="Verdana" w:hAnsi="Verdana"/>
          <w:sz w:val="18"/>
          <w:szCs w:val="18"/>
        </w:rPr>
        <w:t>5</w:t>
      </w:r>
      <w:r w:rsidR="00F8426A" w:rsidRPr="00D50F9B">
        <w:rPr>
          <w:rFonts w:ascii="Verdana" w:hAnsi="Verdana"/>
          <w:sz w:val="18"/>
          <w:szCs w:val="18"/>
        </w:rPr>
        <w:t xml:space="preserve"> (Figure 1)</w:t>
      </w:r>
      <w:r w:rsidRPr="00D50F9B">
        <w:rPr>
          <w:rFonts w:ascii="Verdana" w:hAnsi="Verdana"/>
          <w:sz w:val="18"/>
          <w:szCs w:val="18"/>
        </w:rPr>
        <w:t>. Imports in</w:t>
      </w:r>
      <w:r w:rsidR="00FD0960" w:rsidRPr="00D50F9B">
        <w:rPr>
          <w:rFonts w:ascii="Verdana" w:hAnsi="Verdana"/>
          <w:sz w:val="18"/>
          <w:szCs w:val="18"/>
        </w:rPr>
        <w:t xml:space="preserve"> </w:t>
      </w:r>
      <w:r w:rsidR="00107F93" w:rsidRPr="00D50F9B">
        <w:rPr>
          <w:rFonts w:ascii="Verdana" w:hAnsi="Verdana"/>
          <w:sz w:val="18"/>
          <w:szCs w:val="18"/>
        </w:rPr>
        <w:t>January</w:t>
      </w:r>
      <w:r w:rsidR="004D268D" w:rsidRPr="00D50F9B">
        <w:rPr>
          <w:rFonts w:ascii="Verdana" w:hAnsi="Verdana"/>
          <w:sz w:val="18"/>
          <w:szCs w:val="18"/>
        </w:rPr>
        <w:t xml:space="preserve"> </w:t>
      </w:r>
      <w:r w:rsidRPr="00D50F9B">
        <w:rPr>
          <w:rFonts w:ascii="Verdana" w:hAnsi="Verdana"/>
          <w:sz w:val="18"/>
          <w:szCs w:val="18"/>
        </w:rPr>
        <w:t>202</w:t>
      </w:r>
      <w:r w:rsidR="004F4CB8" w:rsidRPr="00D50F9B">
        <w:rPr>
          <w:rFonts w:ascii="Verdana" w:hAnsi="Verdana"/>
          <w:sz w:val="18"/>
          <w:szCs w:val="18"/>
        </w:rPr>
        <w:t>6</w:t>
      </w:r>
      <w:r w:rsidRPr="00D50F9B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D50F9B">
        <w:rPr>
          <w:rFonts w:ascii="Verdana" w:hAnsi="Verdana"/>
          <w:sz w:val="18"/>
          <w:szCs w:val="18"/>
        </w:rPr>
        <w:t>vessels</w:t>
      </w:r>
      <w:r w:rsidRPr="00D50F9B">
        <w:rPr>
          <w:rFonts w:ascii="Verdana" w:hAnsi="Verdana"/>
          <w:sz w:val="18"/>
          <w:szCs w:val="18"/>
        </w:rPr>
        <w:t>, with total value of €</w:t>
      </w:r>
      <w:r w:rsidR="00F857BD" w:rsidRPr="00D50F9B">
        <w:rPr>
          <w:rFonts w:ascii="Verdana" w:hAnsi="Verdana"/>
          <w:sz w:val="18"/>
          <w:szCs w:val="18"/>
        </w:rPr>
        <w:t xml:space="preserve">79,0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as compared to €</w:t>
      </w:r>
      <w:r w:rsidR="004F4CB8" w:rsidRPr="00D50F9B">
        <w:rPr>
          <w:rFonts w:ascii="Verdana" w:hAnsi="Verdana"/>
          <w:sz w:val="18"/>
          <w:szCs w:val="18"/>
        </w:rPr>
        <w:t>79,9</w:t>
      </w:r>
      <w:r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in </w:t>
      </w:r>
      <w:r w:rsidR="00107F93" w:rsidRPr="00D50F9B">
        <w:rPr>
          <w:rFonts w:ascii="Verdana" w:hAnsi="Verdana"/>
          <w:sz w:val="18"/>
          <w:szCs w:val="18"/>
        </w:rPr>
        <w:t>January</w:t>
      </w:r>
      <w:r w:rsidR="006251AE" w:rsidRPr="00D50F9B">
        <w:rPr>
          <w:rFonts w:ascii="Verdana" w:hAnsi="Verdana"/>
          <w:sz w:val="18"/>
          <w:szCs w:val="18"/>
        </w:rPr>
        <w:t xml:space="preserve"> </w:t>
      </w:r>
      <w:r w:rsidRPr="00D50F9B">
        <w:rPr>
          <w:rFonts w:ascii="Verdana" w:hAnsi="Verdana"/>
          <w:sz w:val="18"/>
          <w:szCs w:val="18"/>
        </w:rPr>
        <w:t>202</w:t>
      </w:r>
      <w:r w:rsidR="004F4CB8" w:rsidRPr="00D50F9B">
        <w:rPr>
          <w:rFonts w:ascii="Verdana" w:hAnsi="Verdana"/>
          <w:sz w:val="18"/>
          <w:szCs w:val="18"/>
        </w:rPr>
        <w:t>5</w:t>
      </w:r>
      <w:r w:rsidRPr="00D50F9B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4F4CB8" w:rsidRDefault="002B7689" w:rsidP="002B7689">
      <w:pPr>
        <w:jc w:val="both"/>
        <w:rPr>
          <w:rFonts w:ascii="Verdana" w:hAnsi="Verdana"/>
          <w:b/>
          <w:bCs/>
          <w:sz w:val="18"/>
          <w:szCs w:val="18"/>
          <w:highlight w:val="yellow"/>
        </w:rPr>
      </w:pPr>
    </w:p>
    <w:p w14:paraId="56CE3AD9" w14:textId="0661F4E9" w:rsidR="00802040" w:rsidRPr="004F4CB8" w:rsidRDefault="002B7689" w:rsidP="002B7689">
      <w:pPr>
        <w:jc w:val="both"/>
        <w:rPr>
          <w:rFonts w:ascii="Verdana" w:hAnsi="Verdana"/>
          <w:sz w:val="18"/>
          <w:szCs w:val="18"/>
          <w:highlight w:val="yellow"/>
        </w:rPr>
      </w:pPr>
      <w:r w:rsidRPr="00D5282C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107F93" w:rsidRPr="00D5282C">
        <w:rPr>
          <w:rFonts w:ascii="Verdana" w:hAnsi="Verdana"/>
          <w:b/>
          <w:bCs/>
          <w:sz w:val="18"/>
          <w:szCs w:val="18"/>
        </w:rPr>
        <w:t>January</w:t>
      </w:r>
      <w:r w:rsidRPr="00D5282C">
        <w:rPr>
          <w:rFonts w:ascii="Verdana" w:hAnsi="Verdana"/>
          <w:b/>
          <w:bCs/>
          <w:sz w:val="18"/>
          <w:szCs w:val="18"/>
        </w:rPr>
        <w:t xml:space="preserve"> 202</w:t>
      </w:r>
      <w:r w:rsidR="004F4CB8" w:rsidRPr="00D5282C">
        <w:rPr>
          <w:rFonts w:ascii="Verdana" w:hAnsi="Verdana"/>
          <w:b/>
          <w:bCs/>
          <w:sz w:val="18"/>
          <w:szCs w:val="18"/>
        </w:rPr>
        <w:t>6</w:t>
      </w:r>
      <w:r w:rsidRPr="00D5282C">
        <w:rPr>
          <w:rFonts w:ascii="Verdana" w:hAnsi="Verdana"/>
          <w:b/>
          <w:bCs/>
          <w:sz w:val="18"/>
          <w:szCs w:val="18"/>
        </w:rPr>
        <w:t xml:space="preserve"> were €</w:t>
      </w:r>
      <w:r w:rsidR="004F4CB8" w:rsidRPr="00D5282C">
        <w:rPr>
          <w:rFonts w:ascii="Verdana" w:hAnsi="Verdana"/>
          <w:b/>
          <w:bCs/>
          <w:sz w:val="18"/>
          <w:szCs w:val="18"/>
        </w:rPr>
        <w:t>517,5</w:t>
      </w:r>
      <w:r w:rsidRPr="00D5282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282C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D5282C">
        <w:rPr>
          <w:rFonts w:ascii="Verdana" w:hAnsi="Verdana"/>
          <w:sz w:val="18"/>
          <w:szCs w:val="18"/>
        </w:rPr>
        <w:t xml:space="preserve"> as compared to €</w:t>
      </w:r>
      <w:r w:rsidR="004F4CB8" w:rsidRPr="00D5282C">
        <w:rPr>
          <w:rFonts w:ascii="Verdana" w:hAnsi="Verdana"/>
          <w:sz w:val="18"/>
          <w:szCs w:val="18"/>
        </w:rPr>
        <w:t>443,7</w:t>
      </w:r>
      <w:r w:rsidR="00294B18" w:rsidRPr="00D5282C">
        <w:rPr>
          <w:rFonts w:ascii="Verdana" w:hAnsi="Verdana"/>
          <w:sz w:val="18"/>
          <w:szCs w:val="18"/>
        </w:rPr>
        <w:t xml:space="preserve"> </w:t>
      </w:r>
      <w:proofErr w:type="spellStart"/>
      <w:r w:rsidRPr="00D5282C">
        <w:rPr>
          <w:rFonts w:ascii="Verdana" w:hAnsi="Verdana"/>
          <w:sz w:val="18"/>
          <w:szCs w:val="18"/>
        </w:rPr>
        <w:t>mn</w:t>
      </w:r>
      <w:proofErr w:type="spellEnd"/>
      <w:r w:rsidRPr="00D5282C">
        <w:rPr>
          <w:rFonts w:ascii="Verdana" w:hAnsi="Verdana"/>
          <w:sz w:val="18"/>
          <w:szCs w:val="18"/>
        </w:rPr>
        <w:t xml:space="preserve"> in </w:t>
      </w:r>
      <w:r w:rsidR="00107F93" w:rsidRPr="00D5282C">
        <w:rPr>
          <w:rFonts w:ascii="Verdana" w:hAnsi="Verdana"/>
          <w:sz w:val="18"/>
          <w:szCs w:val="18"/>
        </w:rPr>
        <w:t>January</w:t>
      </w:r>
      <w:r w:rsidR="00F8108C" w:rsidRPr="00D5282C">
        <w:rPr>
          <w:rFonts w:ascii="Verdana" w:hAnsi="Verdana"/>
          <w:sz w:val="18"/>
          <w:szCs w:val="18"/>
        </w:rPr>
        <w:t xml:space="preserve"> </w:t>
      </w:r>
      <w:r w:rsidRPr="00D5282C">
        <w:rPr>
          <w:rFonts w:ascii="Verdana" w:hAnsi="Verdana"/>
          <w:sz w:val="18"/>
          <w:szCs w:val="18"/>
        </w:rPr>
        <w:t>202</w:t>
      </w:r>
      <w:r w:rsidR="004F4CB8" w:rsidRPr="00D5282C">
        <w:rPr>
          <w:rFonts w:ascii="Verdana" w:hAnsi="Verdana"/>
          <w:sz w:val="18"/>
          <w:szCs w:val="18"/>
        </w:rPr>
        <w:t>5</w:t>
      </w:r>
      <w:r w:rsidRPr="00D5282C">
        <w:rPr>
          <w:rFonts w:ascii="Verdana" w:hAnsi="Verdana"/>
          <w:sz w:val="18"/>
          <w:szCs w:val="18"/>
        </w:rPr>
        <w:t xml:space="preserve">, </w:t>
      </w:r>
      <w:r w:rsidRPr="00D50F9B">
        <w:rPr>
          <w:rFonts w:ascii="Verdana" w:hAnsi="Verdana"/>
          <w:sz w:val="18"/>
          <w:szCs w:val="18"/>
        </w:rPr>
        <w:t xml:space="preserve">recording </w:t>
      </w:r>
      <w:r w:rsidR="0066277D" w:rsidRPr="00D50F9B">
        <w:rPr>
          <w:rFonts w:ascii="Verdana" w:hAnsi="Verdana"/>
          <w:sz w:val="18"/>
          <w:szCs w:val="18"/>
        </w:rPr>
        <w:t>a</w:t>
      </w:r>
      <w:r w:rsidR="00141A54" w:rsidRPr="00D50F9B">
        <w:rPr>
          <w:rFonts w:ascii="Verdana" w:hAnsi="Verdana"/>
          <w:sz w:val="18"/>
          <w:szCs w:val="18"/>
        </w:rPr>
        <w:t>n</w:t>
      </w:r>
      <w:r w:rsidR="004E00E5" w:rsidRPr="00D50F9B">
        <w:rPr>
          <w:rFonts w:ascii="Verdana" w:hAnsi="Verdana"/>
          <w:sz w:val="18"/>
          <w:szCs w:val="18"/>
        </w:rPr>
        <w:t xml:space="preserve"> </w:t>
      </w:r>
      <w:r w:rsidR="00141A54" w:rsidRPr="00D50F9B">
        <w:rPr>
          <w:rFonts w:ascii="Verdana" w:hAnsi="Verdana"/>
          <w:sz w:val="18"/>
          <w:szCs w:val="18"/>
        </w:rPr>
        <w:t>in</w:t>
      </w:r>
      <w:r w:rsidR="00116C07" w:rsidRPr="00D50F9B">
        <w:rPr>
          <w:rFonts w:ascii="Verdana" w:hAnsi="Verdana"/>
          <w:sz w:val="18"/>
          <w:szCs w:val="18"/>
        </w:rPr>
        <w:t>crease</w:t>
      </w:r>
      <w:r w:rsidR="008C42F9" w:rsidRPr="00D50F9B">
        <w:rPr>
          <w:rFonts w:ascii="Verdana" w:hAnsi="Verdana"/>
          <w:sz w:val="18"/>
          <w:szCs w:val="18"/>
        </w:rPr>
        <w:t xml:space="preserve"> </w:t>
      </w:r>
      <w:r w:rsidRPr="00D50F9B">
        <w:rPr>
          <w:rFonts w:ascii="Verdana" w:hAnsi="Verdana"/>
          <w:sz w:val="18"/>
          <w:szCs w:val="18"/>
        </w:rPr>
        <w:t xml:space="preserve">of </w:t>
      </w:r>
      <w:r w:rsidR="004F4CB8" w:rsidRPr="00D50F9B">
        <w:rPr>
          <w:rFonts w:ascii="Verdana" w:hAnsi="Verdana"/>
          <w:sz w:val="18"/>
          <w:szCs w:val="18"/>
        </w:rPr>
        <w:t>16,6</w:t>
      </w:r>
      <w:r w:rsidRPr="00D50F9B">
        <w:rPr>
          <w:rFonts w:ascii="Verdana" w:hAnsi="Verdana"/>
          <w:sz w:val="18"/>
          <w:szCs w:val="18"/>
        </w:rPr>
        <w:t>%</w:t>
      </w:r>
      <w:r w:rsidR="00F8426A" w:rsidRPr="00D50F9B">
        <w:rPr>
          <w:rFonts w:ascii="Verdana" w:hAnsi="Verdana"/>
          <w:sz w:val="18"/>
          <w:szCs w:val="18"/>
        </w:rPr>
        <w:t xml:space="preserve"> (Table)</w:t>
      </w:r>
      <w:r w:rsidRPr="00D50F9B">
        <w:rPr>
          <w:rFonts w:ascii="Verdana" w:hAnsi="Verdana"/>
          <w:sz w:val="18"/>
          <w:szCs w:val="18"/>
        </w:rPr>
        <w:t>. Exports to other EU Member States were €</w:t>
      </w:r>
      <w:r w:rsidR="004F4CB8" w:rsidRPr="00D50F9B">
        <w:rPr>
          <w:rFonts w:ascii="Verdana" w:hAnsi="Verdana"/>
          <w:sz w:val="18"/>
          <w:szCs w:val="18"/>
        </w:rPr>
        <w:t>97,2</w:t>
      </w:r>
      <w:r w:rsidR="00294B18"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and to third countries €</w:t>
      </w:r>
      <w:r w:rsidR="004F4CB8" w:rsidRPr="00D50F9B">
        <w:rPr>
          <w:rFonts w:ascii="Verdana" w:hAnsi="Verdana"/>
          <w:sz w:val="18"/>
          <w:szCs w:val="18"/>
        </w:rPr>
        <w:t>420,3</w:t>
      </w:r>
      <w:r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>, compared to €</w:t>
      </w:r>
      <w:r w:rsidR="004F4CB8" w:rsidRPr="00D50F9B">
        <w:rPr>
          <w:rFonts w:ascii="Verdana" w:hAnsi="Verdana"/>
          <w:sz w:val="18"/>
          <w:szCs w:val="18"/>
        </w:rPr>
        <w:t>84,4</w:t>
      </w:r>
      <w:r w:rsidR="000F11C4"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and €</w:t>
      </w:r>
      <w:r w:rsidR="004F4CB8" w:rsidRPr="00D50F9B">
        <w:rPr>
          <w:rFonts w:ascii="Verdana" w:hAnsi="Verdana"/>
          <w:sz w:val="18"/>
          <w:szCs w:val="18"/>
        </w:rPr>
        <w:t>359,3</w:t>
      </w:r>
      <w:r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Pr="00D50F9B">
        <w:rPr>
          <w:rFonts w:ascii="Verdana" w:hAnsi="Verdana"/>
          <w:sz w:val="18"/>
          <w:szCs w:val="18"/>
        </w:rPr>
        <w:t>mn</w:t>
      </w:r>
      <w:proofErr w:type="spellEnd"/>
      <w:r w:rsidRPr="00D50F9B">
        <w:rPr>
          <w:rFonts w:ascii="Verdana" w:hAnsi="Verdana"/>
          <w:sz w:val="18"/>
          <w:szCs w:val="18"/>
        </w:rPr>
        <w:t xml:space="preserve"> respectively in </w:t>
      </w:r>
      <w:r w:rsidR="005F0DF0">
        <w:rPr>
          <w:rFonts w:ascii="Verdana" w:hAnsi="Verdana"/>
          <w:sz w:val="18"/>
          <w:szCs w:val="18"/>
        </w:rPr>
        <w:t>January</w:t>
      </w:r>
      <w:r w:rsidR="007F5A54" w:rsidRPr="00D50F9B">
        <w:rPr>
          <w:rFonts w:ascii="Verdana" w:hAnsi="Verdana"/>
          <w:sz w:val="18"/>
          <w:szCs w:val="18"/>
        </w:rPr>
        <w:t xml:space="preserve"> </w:t>
      </w:r>
      <w:r w:rsidRPr="00D50F9B">
        <w:rPr>
          <w:rFonts w:ascii="Verdana" w:hAnsi="Verdana"/>
          <w:sz w:val="18"/>
          <w:szCs w:val="18"/>
        </w:rPr>
        <w:t>202</w:t>
      </w:r>
      <w:r w:rsidR="004F4CB8" w:rsidRPr="00D50F9B">
        <w:rPr>
          <w:rFonts w:ascii="Verdana" w:hAnsi="Verdana"/>
          <w:sz w:val="18"/>
          <w:szCs w:val="18"/>
        </w:rPr>
        <w:t>5</w:t>
      </w:r>
      <w:r w:rsidR="00F8426A" w:rsidRPr="00D50F9B">
        <w:rPr>
          <w:rFonts w:ascii="Verdana" w:hAnsi="Verdana"/>
          <w:sz w:val="18"/>
          <w:szCs w:val="18"/>
        </w:rPr>
        <w:t xml:space="preserve"> (Figure 1)</w:t>
      </w:r>
      <w:r w:rsidRPr="00D50F9B">
        <w:rPr>
          <w:rFonts w:ascii="Verdana" w:hAnsi="Verdana"/>
          <w:sz w:val="18"/>
          <w:szCs w:val="18"/>
        </w:rPr>
        <w:t xml:space="preserve">. </w:t>
      </w:r>
      <w:r w:rsidR="00552A9E" w:rsidRPr="00D50F9B">
        <w:rPr>
          <w:rFonts w:ascii="Verdana" w:hAnsi="Verdana"/>
          <w:sz w:val="18"/>
          <w:szCs w:val="18"/>
        </w:rPr>
        <w:t xml:space="preserve">Exports in </w:t>
      </w:r>
      <w:r w:rsidR="00107F93" w:rsidRPr="00D50F9B">
        <w:rPr>
          <w:rFonts w:ascii="Verdana" w:hAnsi="Verdana"/>
          <w:sz w:val="18"/>
          <w:szCs w:val="18"/>
        </w:rPr>
        <w:t>January</w:t>
      </w:r>
      <w:r w:rsidR="004D268D" w:rsidRPr="00D50F9B">
        <w:rPr>
          <w:rFonts w:ascii="Verdana" w:hAnsi="Verdana"/>
          <w:sz w:val="18"/>
          <w:szCs w:val="18"/>
        </w:rPr>
        <w:t xml:space="preserve"> </w:t>
      </w:r>
      <w:r w:rsidR="00552A9E" w:rsidRPr="00D50F9B">
        <w:rPr>
          <w:rFonts w:ascii="Verdana" w:hAnsi="Verdana"/>
          <w:sz w:val="18"/>
          <w:szCs w:val="18"/>
        </w:rPr>
        <w:t>202</w:t>
      </w:r>
      <w:r w:rsidR="004F4CB8" w:rsidRPr="00D50F9B">
        <w:rPr>
          <w:rFonts w:ascii="Verdana" w:hAnsi="Verdana"/>
          <w:sz w:val="18"/>
          <w:szCs w:val="18"/>
        </w:rPr>
        <w:t>6</w:t>
      </w:r>
      <w:r w:rsidR="00552A9E" w:rsidRPr="00D50F9B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F857BD" w:rsidRPr="00D50F9B">
        <w:rPr>
          <w:rFonts w:ascii="Verdana" w:hAnsi="Verdana"/>
          <w:sz w:val="18"/>
          <w:szCs w:val="18"/>
        </w:rPr>
        <w:t xml:space="preserve">193,5 </w:t>
      </w:r>
      <w:proofErr w:type="spellStart"/>
      <w:r w:rsidR="00F857BD" w:rsidRPr="00D50F9B">
        <w:rPr>
          <w:rFonts w:ascii="Verdana" w:hAnsi="Verdana"/>
          <w:sz w:val="18"/>
          <w:szCs w:val="18"/>
        </w:rPr>
        <w:t>m</w:t>
      </w:r>
      <w:r w:rsidR="00552A9E" w:rsidRPr="00D50F9B">
        <w:rPr>
          <w:rFonts w:ascii="Verdana" w:hAnsi="Verdana"/>
          <w:sz w:val="18"/>
          <w:szCs w:val="18"/>
        </w:rPr>
        <w:t>n</w:t>
      </w:r>
      <w:proofErr w:type="spellEnd"/>
      <w:r w:rsidR="00552A9E" w:rsidRPr="00D50F9B">
        <w:rPr>
          <w:rFonts w:ascii="Verdana" w:hAnsi="Verdana"/>
          <w:sz w:val="18"/>
          <w:szCs w:val="18"/>
        </w:rPr>
        <w:t xml:space="preserve"> as compared to €</w:t>
      </w:r>
      <w:r w:rsidR="004F4CB8" w:rsidRPr="00D50F9B">
        <w:rPr>
          <w:rFonts w:ascii="Verdana" w:hAnsi="Verdana"/>
          <w:sz w:val="18"/>
          <w:szCs w:val="18"/>
        </w:rPr>
        <w:t>11,3</w:t>
      </w:r>
      <w:r w:rsidR="00E75C00" w:rsidRPr="00D50F9B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D50F9B">
        <w:rPr>
          <w:rFonts w:ascii="Verdana" w:hAnsi="Verdana"/>
          <w:sz w:val="18"/>
          <w:szCs w:val="18"/>
        </w:rPr>
        <w:t>mn</w:t>
      </w:r>
      <w:proofErr w:type="spellEnd"/>
      <w:r w:rsidR="00552A9E" w:rsidRPr="00D50F9B">
        <w:rPr>
          <w:rFonts w:ascii="Verdana" w:hAnsi="Verdana"/>
          <w:sz w:val="18"/>
          <w:szCs w:val="18"/>
        </w:rPr>
        <w:t xml:space="preserve"> in </w:t>
      </w:r>
      <w:r w:rsidR="00107F93" w:rsidRPr="00D50F9B">
        <w:rPr>
          <w:rFonts w:ascii="Verdana" w:hAnsi="Verdana"/>
          <w:sz w:val="18"/>
          <w:szCs w:val="18"/>
        </w:rPr>
        <w:t>January</w:t>
      </w:r>
      <w:r w:rsidR="00552A9E" w:rsidRPr="00D50F9B">
        <w:rPr>
          <w:rFonts w:ascii="Verdana" w:hAnsi="Verdana"/>
          <w:sz w:val="18"/>
          <w:szCs w:val="18"/>
        </w:rPr>
        <w:t xml:space="preserve"> 202</w:t>
      </w:r>
      <w:r w:rsidR="004F4CB8" w:rsidRPr="00D50F9B">
        <w:rPr>
          <w:rFonts w:ascii="Verdana" w:hAnsi="Verdana"/>
          <w:sz w:val="18"/>
          <w:szCs w:val="18"/>
        </w:rPr>
        <w:t>5</w:t>
      </w:r>
      <w:r w:rsidR="00552A9E" w:rsidRPr="00D50F9B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4F4CB8" w:rsidRDefault="002B7689" w:rsidP="002B7689">
      <w:pPr>
        <w:jc w:val="both"/>
        <w:rPr>
          <w:rFonts w:ascii="Verdana" w:hAnsi="Verdana"/>
          <w:sz w:val="18"/>
          <w:szCs w:val="18"/>
          <w:highlight w:val="yellow"/>
        </w:rPr>
      </w:pPr>
    </w:p>
    <w:p w14:paraId="200D4625" w14:textId="03521385" w:rsidR="00B01151" w:rsidRPr="00A25D7C" w:rsidRDefault="00B01151" w:rsidP="00B01151">
      <w:pPr>
        <w:jc w:val="both"/>
        <w:rPr>
          <w:rFonts w:ascii="Verdana" w:hAnsi="Verdana"/>
          <w:sz w:val="18"/>
          <w:szCs w:val="18"/>
        </w:rPr>
      </w:pPr>
      <w:r w:rsidRPr="00D5282C">
        <w:rPr>
          <w:rFonts w:ascii="Verdana" w:hAnsi="Verdana"/>
          <w:b/>
          <w:bCs/>
          <w:sz w:val="18"/>
          <w:szCs w:val="18"/>
        </w:rPr>
        <w:t>The trade deficit was €</w:t>
      </w:r>
      <w:r w:rsidR="004F4CB8" w:rsidRPr="00D5282C">
        <w:rPr>
          <w:rFonts w:ascii="Verdana" w:hAnsi="Verdana"/>
          <w:b/>
          <w:bCs/>
          <w:sz w:val="18"/>
          <w:szCs w:val="18"/>
        </w:rPr>
        <w:t>476,6</w:t>
      </w:r>
      <w:r w:rsidRPr="00D5282C">
        <w:rPr>
          <w:rFonts w:ascii="Verdana" w:hAnsi="Verdana"/>
          <w:b/>
          <w:bCs/>
          <w:sz w:val="18"/>
          <w:szCs w:val="18"/>
        </w:rPr>
        <w:t xml:space="preserve"> mn in </w:t>
      </w:r>
      <w:r w:rsidR="00C64838" w:rsidRPr="00D5282C">
        <w:rPr>
          <w:rFonts w:ascii="Verdana" w:hAnsi="Verdana"/>
          <w:b/>
          <w:bCs/>
          <w:sz w:val="18"/>
          <w:szCs w:val="18"/>
        </w:rPr>
        <w:t>January</w:t>
      </w:r>
      <w:r w:rsidRPr="00D5282C">
        <w:rPr>
          <w:rFonts w:ascii="Verdana" w:hAnsi="Verdana"/>
          <w:b/>
          <w:bCs/>
          <w:sz w:val="18"/>
          <w:szCs w:val="18"/>
        </w:rPr>
        <w:t xml:space="preserve"> 202</w:t>
      </w:r>
      <w:r w:rsidR="004F4CB8" w:rsidRPr="00D5282C">
        <w:rPr>
          <w:rFonts w:ascii="Verdana" w:hAnsi="Verdana"/>
          <w:b/>
          <w:bCs/>
          <w:sz w:val="18"/>
          <w:szCs w:val="18"/>
        </w:rPr>
        <w:t>6</w:t>
      </w:r>
      <w:r w:rsidRPr="00D5282C">
        <w:rPr>
          <w:rFonts w:ascii="Verdana" w:hAnsi="Verdana"/>
          <w:sz w:val="18"/>
          <w:szCs w:val="18"/>
        </w:rPr>
        <w:t xml:space="preserve"> compared to €</w:t>
      </w:r>
      <w:r w:rsidR="004F4CB8" w:rsidRPr="00D5282C">
        <w:rPr>
          <w:rFonts w:ascii="Verdana" w:hAnsi="Verdana"/>
          <w:sz w:val="18"/>
          <w:szCs w:val="18"/>
        </w:rPr>
        <w:t>707,5</w:t>
      </w:r>
      <w:r w:rsidRPr="00D5282C">
        <w:rPr>
          <w:rFonts w:ascii="Verdana" w:hAnsi="Verdana"/>
          <w:sz w:val="18"/>
          <w:szCs w:val="18"/>
        </w:rPr>
        <w:t xml:space="preserve"> </w:t>
      </w:r>
      <w:proofErr w:type="spellStart"/>
      <w:r w:rsidRPr="00D5282C">
        <w:rPr>
          <w:rFonts w:ascii="Verdana" w:hAnsi="Verdana"/>
          <w:sz w:val="18"/>
          <w:szCs w:val="18"/>
        </w:rPr>
        <w:t>mn</w:t>
      </w:r>
      <w:proofErr w:type="spellEnd"/>
      <w:r w:rsidRPr="00D5282C">
        <w:rPr>
          <w:rFonts w:ascii="Verdana" w:hAnsi="Verdana"/>
          <w:sz w:val="18"/>
          <w:szCs w:val="18"/>
        </w:rPr>
        <w:t xml:space="preserve"> in </w:t>
      </w:r>
      <w:r w:rsidR="00107F93" w:rsidRPr="00D5282C">
        <w:rPr>
          <w:rFonts w:ascii="Verdana" w:hAnsi="Verdana"/>
          <w:sz w:val="18"/>
          <w:szCs w:val="18"/>
        </w:rPr>
        <w:t>January</w:t>
      </w:r>
      <w:r w:rsidRPr="00D5282C">
        <w:rPr>
          <w:rFonts w:ascii="Verdana" w:hAnsi="Verdana"/>
          <w:sz w:val="18"/>
          <w:szCs w:val="18"/>
        </w:rPr>
        <w:t xml:space="preserve"> 202</w:t>
      </w:r>
      <w:r w:rsidR="004F4CB8" w:rsidRPr="00D5282C">
        <w:rPr>
          <w:rFonts w:ascii="Verdana" w:hAnsi="Verdana"/>
          <w:sz w:val="18"/>
          <w:szCs w:val="18"/>
        </w:rPr>
        <w:t>5</w:t>
      </w:r>
      <w:r w:rsidRPr="00D5282C">
        <w:rPr>
          <w:rFonts w:ascii="Verdana" w:hAnsi="Verdana"/>
          <w:sz w:val="18"/>
          <w:szCs w:val="18"/>
        </w:rPr>
        <w:t>.</w:t>
      </w:r>
    </w:p>
    <w:p w14:paraId="5C377324" w14:textId="77777777" w:rsidR="00DF7872" w:rsidRPr="00A25D7C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618A2ED4" w14:textId="77777777" w:rsidR="00DF7872" w:rsidRPr="00A25D7C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09787720" w14:textId="77777777" w:rsidR="00DF7872" w:rsidRPr="00A25D7C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44E5DD86" w14:textId="21FA04D7" w:rsidR="002B7689" w:rsidRDefault="00D43FAE" w:rsidP="00D43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E522FC" wp14:editId="2E9EED15">
            <wp:extent cx="6078220" cy="3621405"/>
            <wp:effectExtent l="0" t="0" r="0" b="0"/>
            <wp:docPr id="21312851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1B74C" w14:textId="321FB1DA" w:rsidR="007737BA" w:rsidRPr="003E7F00" w:rsidRDefault="007737BA" w:rsidP="003E7F00">
      <w:pPr>
        <w:jc w:val="center"/>
        <w:rPr>
          <w:rFonts w:ascii="Arial" w:hAnsi="Arial" w:cs="Arial"/>
          <w:sz w:val="20"/>
          <w:szCs w:val="20"/>
        </w:rPr>
      </w:pP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B89DF49" w14:textId="77777777" w:rsidR="00ED0E5E" w:rsidRDefault="00ED0E5E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0A6B9042" w:rsidR="00972CA0" w:rsidRPr="00DD3650" w:rsidRDefault="00451EB3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D3650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December</w:t>
      </w:r>
      <w:r w:rsidR="002B7689" w:rsidRPr="00DD3650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04572" w:rsidRPr="00DD3650">
        <w:rPr>
          <w:rFonts w:ascii="Verdana" w:eastAsia="Malgun Gothic" w:hAnsi="Verdana" w:cs="Arial"/>
          <w:b/>
          <w:bCs/>
          <w:sz w:val="18"/>
          <w:szCs w:val="18"/>
          <w:u w:val="single"/>
        </w:rPr>
        <w:t>5</w:t>
      </w:r>
      <w:r w:rsidR="002B7689" w:rsidRPr="00DD3650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DD3650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3AE97789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DD3650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A25D7C" w:rsidRPr="00DD3650">
        <w:rPr>
          <w:rFonts w:ascii="Verdana" w:hAnsi="Verdana"/>
          <w:b/>
          <w:bCs/>
          <w:sz w:val="18"/>
          <w:szCs w:val="18"/>
        </w:rPr>
        <w:t>1.249,3</w:t>
      </w:r>
      <w:r w:rsidR="00170A03" w:rsidRPr="00DD3650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D3650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DD3650">
        <w:rPr>
          <w:rFonts w:ascii="Verdana" w:hAnsi="Verdana"/>
          <w:b/>
          <w:bCs/>
          <w:sz w:val="18"/>
          <w:szCs w:val="18"/>
        </w:rPr>
        <w:t xml:space="preserve"> in </w:t>
      </w:r>
      <w:r w:rsidR="00451EB3" w:rsidRPr="00DD3650">
        <w:rPr>
          <w:rFonts w:ascii="Verdana" w:hAnsi="Verdana"/>
          <w:b/>
          <w:bCs/>
          <w:sz w:val="18"/>
          <w:szCs w:val="18"/>
        </w:rPr>
        <w:t>December</w:t>
      </w:r>
      <w:r w:rsidRPr="00DD3650">
        <w:rPr>
          <w:rFonts w:ascii="Verdana" w:hAnsi="Verdana"/>
          <w:b/>
          <w:bCs/>
          <w:sz w:val="18"/>
          <w:szCs w:val="18"/>
        </w:rPr>
        <w:t xml:space="preserve"> 202</w:t>
      </w:r>
      <w:r w:rsidR="00A04572" w:rsidRPr="00DD3650">
        <w:rPr>
          <w:rFonts w:ascii="Verdana" w:hAnsi="Verdana"/>
          <w:b/>
          <w:bCs/>
          <w:sz w:val="18"/>
          <w:szCs w:val="18"/>
        </w:rPr>
        <w:t>5</w:t>
      </w:r>
      <w:r w:rsidRPr="00DD3650">
        <w:rPr>
          <w:rFonts w:ascii="Verdana" w:hAnsi="Verdana"/>
          <w:sz w:val="18"/>
          <w:szCs w:val="18"/>
        </w:rPr>
        <w:t xml:space="preserve"> as compared to €</w:t>
      </w:r>
      <w:r w:rsidR="004F7059" w:rsidRPr="00DD3650">
        <w:rPr>
          <w:rFonts w:ascii="Verdana" w:hAnsi="Verdana"/>
          <w:sz w:val="18"/>
          <w:szCs w:val="18"/>
        </w:rPr>
        <w:t>1</w:t>
      </w:r>
      <w:r w:rsidR="00A25D7C" w:rsidRPr="00DD3650">
        <w:rPr>
          <w:rFonts w:ascii="Verdana" w:hAnsi="Verdana"/>
          <w:sz w:val="18"/>
          <w:szCs w:val="18"/>
        </w:rPr>
        <w:t>.386,1</w:t>
      </w:r>
      <w:r w:rsidR="00910031" w:rsidRPr="00DD3650">
        <w:rPr>
          <w:rFonts w:ascii="Verdana" w:hAnsi="Verdana"/>
          <w:sz w:val="18"/>
          <w:szCs w:val="18"/>
        </w:rPr>
        <w:t xml:space="preserve"> </w:t>
      </w:r>
      <w:proofErr w:type="spellStart"/>
      <w:r w:rsidRPr="00DD3650">
        <w:rPr>
          <w:rFonts w:ascii="Verdana" w:hAnsi="Verdana"/>
          <w:sz w:val="18"/>
          <w:szCs w:val="18"/>
        </w:rPr>
        <w:t>mn</w:t>
      </w:r>
      <w:proofErr w:type="spellEnd"/>
      <w:r w:rsidRPr="00DD3650">
        <w:rPr>
          <w:rFonts w:ascii="Verdana" w:hAnsi="Verdana"/>
          <w:sz w:val="18"/>
          <w:szCs w:val="18"/>
        </w:rPr>
        <w:t xml:space="preserve"> in </w:t>
      </w:r>
      <w:r w:rsidR="00451EB3" w:rsidRPr="00DD3650">
        <w:rPr>
          <w:rFonts w:ascii="Verdana" w:hAnsi="Verdana"/>
          <w:sz w:val="18"/>
          <w:szCs w:val="18"/>
        </w:rPr>
        <w:t>December</w:t>
      </w:r>
      <w:r w:rsidR="008E795B" w:rsidRPr="00DD3650">
        <w:rPr>
          <w:rFonts w:ascii="Verdana" w:hAnsi="Verdana"/>
          <w:sz w:val="18"/>
          <w:szCs w:val="18"/>
        </w:rPr>
        <w:t xml:space="preserve"> </w:t>
      </w:r>
      <w:r w:rsidRPr="00DD3650">
        <w:rPr>
          <w:rFonts w:ascii="Verdana" w:hAnsi="Verdana"/>
          <w:sz w:val="18"/>
          <w:szCs w:val="18"/>
        </w:rPr>
        <w:t>202</w:t>
      </w:r>
      <w:r w:rsidR="00A04572" w:rsidRPr="00DD3650">
        <w:rPr>
          <w:rFonts w:ascii="Verdana" w:hAnsi="Verdana"/>
          <w:sz w:val="18"/>
          <w:szCs w:val="18"/>
        </w:rPr>
        <w:t>4</w:t>
      </w:r>
      <w:r w:rsidRPr="00DD3650">
        <w:rPr>
          <w:rFonts w:ascii="Verdana" w:hAnsi="Verdana"/>
          <w:sz w:val="18"/>
          <w:szCs w:val="18"/>
        </w:rPr>
        <w:t xml:space="preserve">, recording </w:t>
      </w:r>
      <w:r w:rsidR="00151EF0" w:rsidRPr="00DD3650">
        <w:rPr>
          <w:rFonts w:ascii="Verdana" w:hAnsi="Verdana"/>
          <w:sz w:val="18"/>
          <w:szCs w:val="18"/>
        </w:rPr>
        <w:t>a</w:t>
      </w:r>
      <w:r w:rsidR="00877C78" w:rsidRPr="00DD3650">
        <w:rPr>
          <w:rFonts w:ascii="Verdana" w:hAnsi="Verdana"/>
          <w:sz w:val="18"/>
          <w:szCs w:val="18"/>
        </w:rPr>
        <w:t xml:space="preserve"> </w:t>
      </w:r>
      <w:r w:rsidR="006E0BE0" w:rsidRPr="00DD3650">
        <w:rPr>
          <w:rFonts w:ascii="Verdana" w:hAnsi="Verdana"/>
          <w:sz w:val="18"/>
          <w:szCs w:val="18"/>
        </w:rPr>
        <w:t>de</w:t>
      </w:r>
      <w:r w:rsidR="00F45381" w:rsidRPr="00DD3650">
        <w:rPr>
          <w:rFonts w:ascii="Verdana" w:hAnsi="Verdana"/>
          <w:sz w:val="18"/>
          <w:szCs w:val="18"/>
        </w:rPr>
        <w:t>crease</w:t>
      </w:r>
      <w:r w:rsidRPr="00DD3650">
        <w:rPr>
          <w:rFonts w:ascii="Verdana" w:hAnsi="Verdana"/>
          <w:sz w:val="18"/>
          <w:szCs w:val="18"/>
        </w:rPr>
        <w:t xml:space="preserve"> of </w:t>
      </w:r>
      <w:r w:rsidR="004F7059" w:rsidRPr="00DD3650">
        <w:rPr>
          <w:rFonts w:ascii="Verdana" w:hAnsi="Verdana"/>
          <w:sz w:val="18"/>
          <w:szCs w:val="18"/>
        </w:rPr>
        <w:t>9,9</w:t>
      </w:r>
      <w:r w:rsidRPr="00DD3650">
        <w:rPr>
          <w:rFonts w:ascii="Verdana" w:hAnsi="Verdana"/>
          <w:sz w:val="18"/>
          <w:szCs w:val="18"/>
        </w:rPr>
        <w:t xml:space="preserve">%. </w:t>
      </w:r>
      <w:r w:rsidR="00713A57" w:rsidRPr="00DD3650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1AB22FAC" w:rsidR="00FA7FE9" w:rsidRPr="00DD3650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DD3650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DD3650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DD3650">
        <w:rPr>
          <w:rFonts w:ascii="Verdana" w:hAnsi="Verdana"/>
          <w:b/>
          <w:bCs/>
          <w:sz w:val="18"/>
          <w:szCs w:val="18"/>
        </w:rPr>
        <w:t>, were €</w:t>
      </w:r>
      <w:r w:rsidR="0056434C" w:rsidRPr="00DD3650">
        <w:rPr>
          <w:rFonts w:ascii="Verdana" w:hAnsi="Verdana"/>
          <w:b/>
          <w:bCs/>
          <w:sz w:val="18"/>
          <w:szCs w:val="18"/>
        </w:rPr>
        <w:t>274,2</w:t>
      </w:r>
      <w:r w:rsidRPr="00DD3650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D3650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DD3650">
        <w:rPr>
          <w:rFonts w:ascii="Verdana" w:hAnsi="Verdana"/>
          <w:sz w:val="18"/>
          <w:szCs w:val="18"/>
        </w:rPr>
        <w:t xml:space="preserve"> </w:t>
      </w:r>
      <w:r w:rsidR="00A102D1" w:rsidRPr="00DD3650">
        <w:rPr>
          <w:rFonts w:ascii="Verdana" w:hAnsi="Verdana"/>
          <w:b/>
          <w:bCs/>
          <w:sz w:val="18"/>
          <w:szCs w:val="18"/>
        </w:rPr>
        <w:t xml:space="preserve">in </w:t>
      </w:r>
      <w:r w:rsidR="00451EB3" w:rsidRPr="00DD3650">
        <w:rPr>
          <w:rFonts w:ascii="Verdana" w:hAnsi="Verdana"/>
          <w:b/>
          <w:bCs/>
          <w:sz w:val="18"/>
          <w:szCs w:val="18"/>
        </w:rPr>
        <w:t>December</w:t>
      </w:r>
      <w:r w:rsidR="00A102D1" w:rsidRPr="00DD3650">
        <w:rPr>
          <w:rFonts w:ascii="Verdana" w:hAnsi="Verdana"/>
          <w:b/>
          <w:bCs/>
          <w:sz w:val="18"/>
          <w:szCs w:val="18"/>
        </w:rPr>
        <w:t xml:space="preserve"> 2025 </w:t>
      </w:r>
      <w:r w:rsidRPr="00DD3650">
        <w:rPr>
          <w:rFonts w:ascii="Verdana" w:hAnsi="Verdana"/>
          <w:sz w:val="18"/>
          <w:szCs w:val="18"/>
        </w:rPr>
        <w:t>as compared to €</w:t>
      </w:r>
      <w:r w:rsidR="0056434C" w:rsidRPr="00DD3650">
        <w:rPr>
          <w:rFonts w:ascii="Verdana" w:hAnsi="Verdana"/>
          <w:sz w:val="18"/>
          <w:szCs w:val="18"/>
        </w:rPr>
        <w:t>249,7</w:t>
      </w:r>
      <w:r w:rsidRPr="00DD3650">
        <w:rPr>
          <w:rFonts w:ascii="Verdana" w:hAnsi="Verdana"/>
          <w:sz w:val="18"/>
          <w:szCs w:val="18"/>
        </w:rPr>
        <w:t xml:space="preserve"> </w:t>
      </w:r>
      <w:proofErr w:type="spellStart"/>
      <w:r w:rsidRPr="00DD3650">
        <w:rPr>
          <w:rFonts w:ascii="Verdana" w:hAnsi="Verdana"/>
          <w:sz w:val="18"/>
          <w:szCs w:val="18"/>
        </w:rPr>
        <w:t>mn</w:t>
      </w:r>
      <w:proofErr w:type="spellEnd"/>
      <w:r w:rsidRPr="00DD3650">
        <w:rPr>
          <w:rFonts w:ascii="Verdana" w:hAnsi="Verdana"/>
          <w:sz w:val="18"/>
          <w:szCs w:val="18"/>
        </w:rPr>
        <w:t xml:space="preserve"> in </w:t>
      </w:r>
      <w:r w:rsidR="00451EB3" w:rsidRPr="00DD3650">
        <w:rPr>
          <w:rFonts w:ascii="Verdana" w:hAnsi="Verdana"/>
          <w:sz w:val="18"/>
          <w:szCs w:val="18"/>
        </w:rPr>
        <w:t>December</w:t>
      </w:r>
      <w:r w:rsidR="00AC0502" w:rsidRPr="00DD3650">
        <w:rPr>
          <w:rFonts w:ascii="Verdana" w:hAnsi="Verdana"/>
          <w:sz w:val="18"/>
          <w:szCs w:val="18"/>
        </w:rPr>
        <w:t xml:space="preserve"> </w:t>
      </w:r>
      <w:r w:rsidRPr="00DD3650">
        <w:rPr>
          <w:rFonts w:ascii="Verdana" w:hAnsi="Verdana"/>
          <w:sz w:val="18"/>
          <w:szCs w:val="18"/>
        </w:rPr>
        <w:t>202</w:t>
      </w:r>
      <w:r w:rsidR="00A04572" w:rsidRPr="00DD3650">
        <w:rPr>
          <w:rFonts w:ascii="Verdana" w:hAnsi="Verdana"/>
          <w:sz w:val="18"/>
          <w:szCs w:val="18"/>
        </w:rPr>
        <w:t>4</w:t>
      </w:r>
      <w:r w:rsidRPr="00DD3650">
        <w:rPr>
          <w:rFonts w:ascii="Verdana" w:hAnsi="Verdana"/>
          <w:sz w:val="18"/>
          <w:szCs w:val="18"/>
        </w:rPr>
        <w:t>, recording a</w:t>
      </w:r>
      <w:r w:rsidR="00BA4A5E" w:rsidRPr="00DD3650">
        <w:rPr>
          <w:rFonts w:ascii="Verdana" w:hAnsi="Verdana"/>
          <w:sz w:val="18"/>
          <w:szCs w:val="18"/>
        </w:rPr>
        <w:t>n</w:t>
      </w:r>
      <w:r w:rsidR="00F45381" w:rsidRPr="00DD3650">
        <w:rPr>
          <w:rFonts w:ascii="Verdana" w:hAnsi="Verdana"/>
          <w:sz w:val="18"/>
          <w:szCs w:val="18"/>
        </w:rPr>
        <w:t xml:space="preserve"> </w:t>
      </w:r>
      <w:r w:rsidR="00BA4A5E" w:rsidRPr="00DD3650">
        <w:rPr>
          <w:rFonts w:ascii="Verdana" w:hAnsi="Verdana"/>
          <w:sz w:val="18"/>
          <w:szCs w:val="18"/>
        </w:rPr>
        <w:t>in</w:t>
      </w:r>
      <w:r w:rsidR="00936363" w:rsidRPr="00DD3650">
        <w:rPr>
          <w:rFonts w:ascii="Verdana" w:hAnsi="Verdana"/>
          <w:sz w:val="18"/>
          <w:szCs w:val="18"/>
        </w:rPr>
        <w:t>crease</w:t>
      </w:r>
      <w:r w:rsidRPr="00DD3650">
        <w:rPr>
          <w:rFonts w:ascii="Verdana" w:hAnsi="Verdana"/>
          <w:sz w:val="18"/>
          <w:szCs w:val="18"/>
        </w:rPr>
        <w:t xml:space="preserve"> of </w:t>
      </w:r>
      <w:r w:rsidR="0056434C" w:rsidRPr="00DD3650">
        <w:rPr>
          <w:rFonts w:ascii="Verdana" w:hAnsi="Verdana"/>
          <w:sz w:val="18"/>
          <w:szCs w:val="18"/>
        </w:rPr>
        <w:t>9,8</w:t>
      </w:r>
      <w:r w:rsidR="00170A03" w:rsidRPr="00DD3650">
        <w:rPr>
          <w:rFonts w:ascii="Verdana" w:hAnsi="Verdana"/>
          <w:sz w:val="18"/>
          <w:szCs w:val="18"/>
        </w:rPr>
        <w:t>%</w:t>
      </w:r>
      <w:r w:rsidRPr="00DD3650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C91C7D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1A53B0C5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C91C7D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C91C7D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C91C7D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C91C7D">
        <w:rPr>
          <w:rFonts w:ascii="Verdana" w:hAnsi="Verdana"/>
          <w:sz w:val="18"/>
          <w:szCs w:val="18"/>
        </w:rPr>
        <w:t>,</w:t>
      </w:r>
      <w:r w:rsidRPr="00C91C7D">
        <w:rPr>
          <w:rFonts w:ascii="Verdana" w:hAnsi="Verdana"/>
          <w:sz w:val="18"/>
          <w:szCs w:val="18"/>
        </w:rPr>
        <w:t xml:space="preserve"> were €</w:t>
      </w:r>
      <w:r w:rsidR="0056434C" w:rsidRPr="00C91C7D">
        <w:rPr>
          <w:rFonts w:ascii="Verdana" w:hAnsi="Verdana"/>
          <w:sz w:val="18"/>
          <w:szCs w:val="18"/>
        </w:rPr>
        <w:t>262,5</w:t>
      </w:r>
      <w:r w:rsidR="005B546B" w:rsidRPr="00C91C7D">
        <w:rPr>
          <w:rFonts w:ascii="Verdana" w:hAnsi="Verdana"/>
          <w:sz w:val="18"/>
          <w:szCs w:val="18"/>
        </w:rPr>
        <w:t xml:space="preserve"> </w:t>
      </w:r>
      <w:proofErr w:type="spellStart"/>
      <w:r w:rsidRPr="00C91C7D">
        <w:rPr>
          <w:rFonts w:ascii="Verdana" w:hAnsi="Verdana"/>
          <w:sz w:val="18"/>
          <w:szCs w:val="18"/>
        </w:rPr>
        <w:t>mn</w:t>
      </w:r>
      <w:proofErr w:type="spellEnd"/>
      <w:r w:rsidRPr="00C91C7D">
        <w:rPr>
          <w:rFonts w:ascii="Verdana" w:hAnsi="Verdana"/>
          <w:sz w:val="18"/>
          <w:szCs w:val="18"/>
        </w:rPr>
        <w:t xml:space="preserve"> </w:t>
      </w:r>
      <w:r w:rsidR="00A102D1" w:rsidRPr="00C91C7D">
        <w:rPr>
          <w:rFonts w:ascii="Verdana" w:hAnsi="Verdana"/>
          <w:sz w:val="18"/>
          <w:szCs w:val="18"/>
        </w:rPr>
        <w:t xml:space="preserve">in </w:t>
      </w:r>
      <w:r w:rsidR="00451EB3" w:rsidRPr="00C91C7D">
        <w:rPr>
          <w:rFonts w:ascii="Verdana" w:hAnsi="Verdana"/>
          <w:sz w:val="18"/>
          <w:szCs w:val="18"/>
        </w:rPr>
        <w:t>December</w:t>
      </w:r>
      <w:r w:rsidR="00A102D1" w:rsidRPr="00C91C7D">
        <w:rPr>
          <w:rFonts w:ascii="Verdana" w:hAnsi="Verdana"/>
          <w:sz w:val="18"/>
          <w:szCs w:val="18"/>
        </w:rPr>
        <w:t xml:space="preserve"> 2025 </w:t>
      </w:r>
      <w:r w:rsidRPr="00C91C7D">
        <w:rPr>
          <w:rFonts w:ascii="Verdana" w:hAnsi="Verdana"/>
          <w:sz w:val="18"/>
          <w:szCs w:val="18"/>
        </w:rPr>
        <w:t>compared to €</w:t>
      </w:r>
      <w:r w:rsidR="0056434C" w:rsidRPr="00C91C7D">
        <w:rPr>
          <w:rFonts w:ascii="Verdana" w:hAnsi="Verdana"/>
          <w:sz w:val="18"/>
          <w:szCs w:val="18"/>
        </w:rPr>
        <w:t>239,0</w:t>
      </w:r>
      <w:r w:rsidRPr="00C91C7D">
        <w:rPr>
          <w:rFonts w:ascii="Verdana" w:hAnsi="Verdana"/>
          <w:sz w:val="18"/>
          <w:szCs w:val="18"/>
        </w:rPr>
        <w:t xml:space="preserve"> </w:t>
      </w:r>
      <w:proofErr w:type="spellStart"/>
      <w:r w:rsidRPr="00C91C7D">
        <w:rPr>
          <w:rFonts w:ascii="Verdana" w:hAnsi="Verdana"/>
          <w:sz w:val="18"/>
          <w:szCs w:val="18"/>
        </w:rPr>
        <w:t>mn</w:t>
      </w:r>
      <w:proofErr w:type="spellEnd"/>
      <w:r w:rsidRPr="00C91C7D">
        <w:rPr>
          <w:rFonts w:ascii="Verdana" w:hAnsi="Verdana"/>
          <w:sz w:val="18"/>
          <w:szCs w:val="18"/>
        </w:rPr>
        <w:t xml:space="preserve"> in </w:t>
      </w:r>
      <w:r w:rsidR="00451EB3" w:rsidRPr="00C91C7D">
        <w:rPr>
          <w:rFonts w:ascii="Verdana" w:hAnsi="Verdana"/>
          <w:sz w:val="18"/>
          <w:szCs w:val="18"/>
        </w:rPr>
        <w:t>December</w:t>
      </w:r>
      <w:r w:rsidRPr="00C91C7D">
        <w:rPr>
          <w:rFonts w:ascii="Verdana" w:hAnsi="Verdana"/>
          <w:sz w:val="18"/>
          <w:szCs w:val="18"/>
        </w:rPr>
        <w:t xml:space="preserve"> 202</w:t>
      </w:r>
      <w:r w:rsidR="00A04572" w:rsidRPr="00C91C7D">
        <w:rPr>
          <w:rFonts w:ascii="Verdana" w:hAnsi="Verdana"/>
          <w:sz w:val="18"/>
          <w:szCs w:val="18"/>
        </w:rPr>
        <w:t>4</w:t>
      </w:r>
      <w:r w:rsidR="00FA7FE9" w:rsidRPr="00C91C7D">
        <w:rPr>
          <w:rFonts w:ascii="Verdana" w:hAnsi="Verdana"/>
          <w:sz w:val="18"/>
          <w:szCs w:val="18"/>
        </w:rPr>
        <w:t xml:space="preserve">. </w:t>
      </w:r>
      <w:r w:rsidR="00FA7FE9" w:rsidRPr="00C91C7D">
        <w:rPr>
          <w:rFonts w:ascii="Verdana" w:hAnsi="Verdana"/>
          <w:b/>
          <w:bCs/>
          <w:sz w:val="18"/>
          <w:szCs w:val="18"/>
        </w:rPr>
        <w:t>D</w:t>
      </w:r>
      <w:r w:rsidRPr="00C91C7D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C91C7D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C91C7D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C91C7D">
        <w:rPr>
          <w:rFonts w:ascii="Verdana" w:hAnsi="Verdana"/>
          <w:b/>
          <w:bCs/>
          <w:sz w:val="18"/>
          <w:szCs w:val="18"/>
        </w:rPr>
        <w:t>,</w:t>
      </w:r>
      <w:r w:rsidRPr="00C91C7D">
        <w:rPr>
          <w:rFonts w:ascii="Verdana" w:hAnsi="Verdana"/>
          <w:sz w:val="18"/>
          <w:szCs w:val="18"/>
        </w:rPr>
        <w:t xml:space="preserve"> were €</w:t>
      </w:r>
      <w:r w:rsidR="0056434C" w:rsidRPr="00C91C7D">
        <w:rPr>
          <w:rFonts w:ascii="Verdana" w:hAnsi="Verdana"/>
          <w:sz w:val="18"/>
          <w:szCs w:val="18"/>
        </w:rPr>
        <w:t>10,9</w:t>
      </w:r>
      <w:r w:rsidR="00326F5A" w:rsidRPr="00C91C7D">
        <w:rPr>
          <w:rFonts w:ascii="Verdana" w:hAnsi="Verdana"/>
          <w:sz w:val="18"/>
          <w:szCs w:val="18"/>
        </w:rPr>
        <w:t xml:space="preserve"> </w:t>
      </w:r>
      <w:proofErr w:type="spellStart"/>
      <w:r w:rsidRPr="00C91C7D">
        <w:rPr>
          <w:rFonts w:ascii="Verdana" w:hAnsi="Verdana"/>
          <w:sz w:val="18"/>
          <w:szCs w:val="18"/>
        </w:rPr>
        <w:t>mn</w:t>
      </w:r>
      <w:proofErr w:type="spellEnd"/>
      <w:r w:rsidRPr="00C91C7D">
        <w:rPr>
          <w:rFonts w:ascii="Verdana" w:hAnsi="Verdana"/>
          <w:sz w:val="18"/>
          <w:szCs w:val="18"/>
        </w:rPr>
        <w:t xml:space="preserve"> </w:t>
      </w:r>
      <w:r w:rsidR="00A102D1" w:rsidRPr="00C91C7D">
        <w:rPr>
          <w:rFonts w:ascii="Verdana" w:hAnsi="Verdana"/>
          <w:sz w:val="18"/>
          <w:szCs w:val="18"/>
        </w:rPr>
        <w:t xml:space="preserve">in </w:t>
      </w:r>
      <w:r w:rsidR="00451EB3" w:rsidRPr="00C91C7D">
        <w:rPr>
          <w:rFonts w:ascii="Verdana" w:hAnsi="Verdana"/>
          <w:sz w:val="18"/>
          <w:szCs w:val="18"/>
        </w:rPr>
        <w:t xml:space="preserve">December </w:t>
      </w:r>
      <w:r w:rsidR="00A102D1" w:rsidRPr="00C91C7D">
        <w:rPr>
          <w:rFonts w:ascii="Verdana" w:hAnsi="Verdana"/>
          <w:sz w:val="18"/>
          <w:szCs w:val="18"/>
        </w:rPr>
        <w:t xml:space="preserve">2025 </w:t>
      </w:r>
      <w:r w:rsidRPr="00C91C7D">
        <w:rPr>
          <w:rFonts w:ascii="Verdana" w:hAnsi="Verdana"/>
          <w:sz w:val="18"/>
          <w:szCs w:val="18"/>
        </w:rPr>
        <w:t>compared to €</w:t>
      </w:r>
      <w:r w:rsidR="0056434C" w:rsidRPr="00C91C7D">
        <w:rPr>
          <w:rFonts w:ascii="Verdana" w:hAnsi="Verdana"/>
          <w:sz w:val="18"/>
          <w:szCs w:val="18"/>
        </w:rPr>
        <w:t>9,2</w:t>
      </w:r>
      <w:r w:rsidRPr="00C91C7D">
        <w:rPr>
          <w:rFonts w:ascii="Verdana" w:hAnsi="Verdana"/>
          <w:sz w:val="18"/>
          <w:szCs w:val="18"/>
        </w:rPr>
        <w:t xml:space="preserve"> </w:t>
      </w:r>
      <w:proofErr w:type="spellStart"/>
      <w:r w:rsidRPr="00C91C7D">
        <w:rPr>
          <w:rFonts w:ascii="Verdana" w:hAnsi="Verdana"/>
          <w:sz w:val="18"/>
          <w:szCs w:val="18"/>
        </w:rPr>
        <w:t>mn</w:t>
      </w:r>
      <w:proofErr w:type="spellEnd"/>
      <w:r w:rsidRPr="00C91C7D">
        <w:rPr>
          <w:rFonts w:ascii="Verdana" w:hAnsi="Verdana"/>
          <w:sz w:val="18"/>
          <w:szCs w:val="18"/>
        </w:rPr>
        <w:t xml:space="preserve"> in</w:t>
      </w:r>
      <w:r w:rsidR="0083176A" w:rsidRPr="00C91C7D">
        <w:rPr>
          <w:rFonts w:ascii="Verdana" w:hAnsi="Verdana"/>
          <w:sz w:val="18"/>
          <w:szCs w:val="18"/>
        </w:rPr>
        <w:t xml:space="preserve"> </w:t>
      </w:r>
      <w:r w:rsidR="00451EB3" w:rsidRPr="00C91C7D">
        <w:rPr>
          <w:rFonts w:ascii="Verdana" w:hAnsi="Verdana"/>
          <w:sz w:val="18"/>
          <w:szCs w:val="18"/>
        </w:rPr>
        <w:t>December</w:t>
      </w:r>
      <w:r w:rsidRPr="00C91C7D">
        <w:rPr>
          <w:rFonts w:ascii="Verdana" w:hAnsi="Verdana"/>
          <w:sz w:val="18"/>
          <w:szCs w:val="18"/>
        </w:rPr>
        <w:t xml:space="preserve"> 202</w:t>
      </w:r>
      <w:r w:rsidR="00A04572" w:rsidRPr="00C91C7D">
        <w:rPr>
          <w:rFonts w:ascii="Verdana" w:hAnsi="Verdana"/>
          <w:sz w:val="18"/>
          <w:szCs w:val="18"/>
        </w:rPr>
        <w:t>4</w:t>
      </w:r>
      <w:r w:rsidRPr="00C91C7D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0428C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2FF2E306" w:rsidR="006A4E23" w:rsidRPr="00C91C7D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C91C7D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C91C7D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C91C7D">
        <w:rPr>
          <w:rFonts w:ascii="Verdana" w:hAnsi="Verdana"/>
          <w:b/>
          <w:bCs/>
          <w:sz w:val="18"/>
          <w:szCs w:val="18"/>
        </w:rPr>
        <w:t>for ships and aircraft</w:t>
      </w:r>
      <w:r w:rsidRPr="00C91C7D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56434C" w:rsidRPr="00C91C7D">
        <w:rPr>
          <w:rFonts w:ascii="Verdana" w:eastAsia="Malgun Gothic" w:hAnsi="Verdana" w:cs="Arial"/>
          <w:b/>
          <w:bCs/>
          <w:sz w:val="18"/>
          <w:szCs w:val="18"/>
        </w:rPr>
        <w:t>224,2</w:t>
      </w:r>
      <w:r w:rsidRPr="00C91C7D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C91C7D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C91C7D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C91C7D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451EB3" w:rsidRPr="00C91C7D">
        <w:rPr>
          <w:rFonts w:ascii="Verdana" w:eastAsia="Malgun Gothic" w:hAnsi="Verdana" w:cs="Arial"/>
          <w:b/>
          <w:bCs/>
          <w:sz w:val="18"/>
          <w:szCs w:val="18"/>
        </w:rPr>
        <w:t>December</w:t>
      </w:r>
      <w:r w:rsidR="00A102D1" w:rsidRPr="00C91C7D">
        <w:rPr>
          <w:rFonts w:ascii="Verdana" w:eastAsia="Malgun Gothic" w:hAnsi="Verdana" w:cs="Arial"/>
          <w:b/>
          <w:bCs/>
          <w:sz w:val="18"/>
          <w:szCs w:val="18"/>
        </w:rPr>
        <w:t xml:space="preserve"> 2025 </w:t>
      </w:r>
      <w:r w:rsidRPr="00C91C7D">
        <w:rPr>
          <w:rFonts w:ascii="Verdana" w:eastAsia="Malgun Gothic" w:hAnsi="Verdana" w:cs="Arial"/>
          <w:sz w:val="18"/>
          <w:szCs w:val="18"/>
        </w:rPr>
        <w:t>as compared to €</w:t>
      </w:r>
      <w:r w:rsidR="0056434C" w:rsidRPr="00C91C7D">
        <w:rPr>
          <w:rFonts w:ascii="Verdana" w:eastAsia="Malgun Gothic" w:hAnsi="Verdana" w:cs="Arial"/>
          <w:sz w:val="18"/>
          <w:szCs w:val="18"/>
        </w:rPr>
        <w:t>126,2</w:t>
      </w:r>
      <w:r w:rsidRPr="00C91C7D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C91C7D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C91C7D">
        <w:rPr>
          <w:rFonts w:ascii="Verdana" w:eastAsia="Malgun Gothic" w:hAnsi="Verdana" w:cs="Arial"/>
          <w:sz w:val="18"/>
          <w:szCs w:val="18"/>
        </w:rPr>
        <w:t xml:space="preserve"> in </w:t>
      </w:r>
      <w:r w:rsidR="00451EB3" w:rsidRPr="00C91C7D">
        <w:rPr>
          <w:rFonts w:ascii="Verdana" w:eastAsia="Malgun Gothic" w:hAnsi="Verdana" w:cs="Arial"/>
          <w:sz w:val="18"/>
          <w:szCs w:val="18"/>
        </w:rPr>
        <w:t>December</w:t>
      </w:r>
      <w:r w:rsidRPr="00C91C7D">
        <w:rPr>
          <w:rFonts w:ascii="Verdana" w:eastAsia="Malgun Gothic" w:hAnsi="Verdana" w:cs="Arial"/>
          <w:sz w:val="18"/>
          <w:szCs w:val="18"/>
        </w:rPr>
        <w:t xml:space="preserve"> 202</w:t>
      </w:r>
      <w:r w:rsidR="00A04572" w:rsidRPr="00C91C7D">
        <w:rPr>
          <w:rFonts w:ascii="Verdana" w:eastAsia="Malgun Gothic" w:hAnsi="Verdana" w:cs="Arial"/>
          <w:sz w:val="18"/>
          <w:szCs w:val="18"/>
        </w:rPr>
        <w:t>4</w:t>
      </w:r>
      <w:r w:rsidRPr="00C91C7D">
        <w:rPr>
          <w:rFonts w:ascii="Verdana" w:eastAsia="Malgun Gothic" w:hAnsi="Verdana" w:cs="Arial"/>
          <w:sz w:val="18"/>
          <w:szCs w:val="18"/>
        </w:rPr>
        <w:t>, recording a</w:t>
      </w:r>
      <w:r w:rsidR="00F82347" w:rsidRPr="00C91C7D">
        <w:rPr>
          <w:rFonts w:ascii="Verdana" w:eastAsia="Malgun Gothic" w:hAnsi="Verdana" w:cs="Arial"/>
          <w:sz w:val="18"/>
          <w:szCs w:val="18"/>
        </w:rPr>
        <w:t>n</w:t>
      </w:r>
      <w:r w:rsidR="00531DF4" w:rsidRPr="00C91C7D">
        <w:rPr>
          <w:rFonts w:ascii="Verdana" w:eastAsia="Malgun Gothic" w:hAnsi="Verdana" w:cs="Arial"/>
          <w:sz w:val="18"/>
          <w:szCs w:val="18"/>
        </w:rPr>
        <w:t xml:space="preserve"> </w:t>
      </w:r>
      <w:r w:rsidR="00F82347" w:rsidRPr="00C91C7D">
        <w:rPr>
          <w:rFonts w:ascii="Verdana" w:eastAsia="Malgun Gothic" w:hAnsi="Verdana" w:cs="Arial"/>
          <w:sz w:val="18"/>
          <w:szCs w:val="18"/>
        </w:rPr>
        <w:t>in</w:t>
      </w:r>
      <w:r w:rsidR="00531DF4" w:rsidRPr="00C91C7D">
        <w:rPr>
          <w:rFonts w:ascii="Verdana" w:eastAsia="Malgun Gothic" w:hAnsi="Verdana" w:cs="Arial"/>
          <w:sz w:val="18"/>
          <w:szCs w:val="18"/>
        </w:rPr>
        <w:t>crease</w:t>
      </w:r>
      <w:r w:rsidR="00670FB8" w:rsidRPr="00C91C7D">
        <w:rPr>
          <w:rFonts w:ascii="Verdana" w:eastAsia="Malgun Gothic" w:hAnsi="Verdana" w:cs="Arial"/>
          <w:sz w:val="18"/>
          <w:szCs w:val="18"/>
        </w:rPr>
        <w:t xml:space="preserve"> of </w:t>
      </w:r>
      <w:r w:rsidR="0056434C" w:rsidRPr="00C91C7D">
        <w:rPr>
          <w:rFonts w:ascii="Verdana" w:eastAsia="Malgun Gothic" w:hAnsi="Verdana" w:cs="Arial"/>
          <w:sz w:val="18"/>
          <w:szCs w:val="18"/>
        </w:rPr>
        <w:t>77,7</w:t>
      </w:r>
      <w:r w:rsidRPr="00C91C7D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C91C7D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2D051B94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C91C7D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C91C7D">
        <w:rPr>
          <w:rFonts w:ascii="Verdana" w:eastAsia="Malgun Gothic" w:hAnsi="Verdana" w:cs="Arial"/>
          <w:sz w:val="18"/>
          <w:szCs w:val="18"/>
        </w:rPr>
        <w:t xml:space="preserve"> for the period January-</w:t>
      </w:r>
      <w:r w:rsidR="00451EB3" w:rsidRPr="00C91C7D">
        <w:rPr>
          <w:rFonts w:ascii="Verdana" w:eastAsia="Malgun Gothic" w:hAnsi="Verdana" w:cs="Arial"/>
          <w:sz w:val="18"/>
          <w:szCs w:val="18"/>
        </w:rPr>
        <w:t>December</w:t>
      </w:r>
      <w:r w:rsidRPr="00C91C7D">
        <w:rPr>
          <w:rFonts w:ascii="Verdana" w:eastAsia="Malgun Gothic" w:hAnsi="Verdana" w:cs="Arial"/>
          <w:sz w:val="18"/>
          <w:szCs w:val="18"/>
        </w:rPr>
        <w:t xml:space="preserve"> 2025 (excl. stores and provisions for ships and aircraft), were mineral fuels and oils with value €</w:t>
      </w:r>
      <w:r w:rsidR="0056434C" w:rsidRPr="00C91C7D">
        <w:rPr>
          <w:rFonts w:ascii="Verdana" w:eastAsia="Malgun Gothic" w:hAnsi="Verdana" w:cs="Arial"/>
          <w:sz w:val="18"/>
          <w:szCs w:val="18"/>
        </w:rPr>
        <w:t>2.331,4</w:t>
      </w:r>
      <w:r w:rsidRPr="00C91C7D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C91C7D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C91C7D">
        <w:rPr>
          <w:rFonts w:ascii="Verdana" w:eastAsia="Malgun Gothic" w:hAnsi="Verdana" w:cs="Arial"/>
          <w:sz w:val="18"/>
          <w:szCs w:val="18"/>
        </w:rPr>
        <w:t>, halloumi cheese with €</w:t>
      </w:r>
      <w:r w:rsidR="0056434C" w:rsidRPr="00C91C7D">
        <w:rPr>
          <w:rFonts w:ascii="Verdana" w:eastAsia="Malgun Gothic" w:hAnsi="Verdana" w:cs="Arial"/>
          <w:sz w:val="18"/>
          <w:szCs w:val="18"/>
        </w:rPr>
        <w:t>356,9</w:t>
      </w:r>
      <w:r w:rsidRPr="00C91C7D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C91C7D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C91C7D">
        <w:rPr>
          <w:rFonts w:ascii="Verdana" w:eastAsia="Malgun Gothic" w:hAnsi="Verdana" w:cs="Arial"/>
          <w:sz w:val="18"/>
          <w:szCs w:val="18"/>
        </w:rPr>
        <w:t xml:space="preserve"> and pharmaceutical products with €</w:t>
      </w:r>
      <w:r w:rsidR="0056434C" w:rsidRPr="00C91C7D">
        <w:rPr>
          <w:rFonts w:ascii="Verdana" w:eastAsia="Malgun Gothic" w:hAnsi="Verdana" w:cs="Arial"/>
          <w:sz w:val="18"/>
          <w:szCs w:val="18"/>
        </w:rPr>
        <w:t>356,2</w:t>
      </w:r>
      <w:r w:rsidRPr="00C91C7D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C91C7D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C91C7D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329D6A88" w:rsidR="00972CA0" w:rsidRPr="002B7689" w:rsidRDefault="0056434C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8A66E84" wp14:editId="1A2FB0C6">
            <wp:extent cx="6078220" cy="4438015"/>
            <wp:effectExtent l="0" t="0" r="0" b="635"/>
            <wp:docPr id="1584583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5209FC" w:rsidRDefault="005209FC" w:rsidP="005209FC">
      <w:pPr>
        <w:jc w:val="both"/>
        <w:rPr>
          <w:rFonts w:ascii="Verdana" w:eastAsia="Malgun Gothic" w:hAnsi="Verdana" w:cs="Arial"/>
          <w:sz w:val="16"/>
          <w:szCs w:val="16"/>
        </w:rPr>
      </w:pPr>
      <w:r w:rsidRPr="00F73974">
        <w:rPr>
          <w:rFonts w:ascii="Verdana" w:eastAsia="Malgun Gothic" w:hAnsi="Verdana" w:cs="Arial"/>
          <w:sz w:val="16"/>
          <w:szCs w:val="16"/>
        </w:rPr>
        <w:t>Note: Category ‘Mineral fuels &amp; Oils’ refers to products that were initially imported, processed and then re-exported.</w:t>
      </w:r>
      <w:r w:rsidRPr="005209FC">
        <w:rPr>
          <w:rFonts w:ascii="Verdana" w:eastAsia="Malgun Gothic" w:hAnsi="Verdana" w:cs="Arial"/>
          <w:sz w:val="16"/>
          <w:szCs w:val="16"/>
        </w:rPr>
        <w:t xml:space="preserve">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1F50B786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451EB3">
        <w:rPr>
          <w:rFonts w:ascii="Verdana" w:eastAsia="Malgun Gothic" w:hAnsi="Verdana" w:cs="Arial"/>
          <w:sz w:val="18"/>
          <w:szCs w:val="18"/>
        </w:rPr>
        <w:t>December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9C2D7E" w:rsidRPr="00C406B5">
        <w:rPr>
          <w:rFonts w:ascii="Verdana" w:eastAsia="Malgun Gothic" w:hAnsi="Verdana" w:cs="Arial"/>
          <w:sz w:val="18"/>
          <w:szCs w:val="18"/>
        </w:rPr>
        <w:t>5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0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0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B42EE7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1710BD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C48770" w14:textId="178C8EA9" w:rsidR="00F139C9" w:rsidRDefault="00F139C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ED0E5E" w:rsidRPr="00ED0E5E" w14:paraId="534DE7EA" w14:textId="77777777" w:rsidTr="00ED0E5E">
        <w:trPr>
          <w:trHeight w:val="340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ED0E5E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1" w:name="_Hlk71021327"/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ED0E5E" w:rsidRPr="00ED0E5E" w14:paraId="6E9E7387" w14:textId="77777777" w:rsidTr="00ED0E5E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C6D0F9" w14:textId="77777777" w:rsidR="00A073BE" w:rsidRPr="00ED0E5E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ED0E5E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ED0E5E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ED0E5E" w:rsidRPr="00ED0E5E" w14:paraId="216F7401" w14:textId="77777777" w:rsidTr="00DF5E43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ED0E5E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ED0E5E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ED0E5E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ED0E5E" w:rsidRPr="00ED0E5E" w14:paraId="21249CA5" w14:textId="77777777" w:rsidTr="007F6272">
        <w:trPr>
          <w:trHeight w:val="512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8BE8F7A" w:rsidR="00170020" w:rsidRPr="00ED0E5E" w:rsidRDefault="00170020" w:rsidP="00170020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451EB3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6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1192FA0A" w:rsidR="00170020" w:rsidRPr="00ED0E5E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4E8F0662" w:rsidR="00170020" w:rsidRPr="00ED0E5E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ED0E5E" w:rsidRPr="00ED0E5E" w14:paraId="574D0C75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1C558883" w:rsidR="00170020" w:rsidRPr="00ED0E5E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43821852" w:rsidR="00170020" w:rsidRPr="00ED0E5E" w:rsidRDefault="00170020" w:rsidP="00ED0E5E">
            <w:pPr>
              <w:ind w:right="1010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</w:t>
            </w:r>
            <w:r w:rsidR="00B7099A"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994.064</w:t>
            </w: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05B57E07" w:rsidR="00170020" w:rsidRPr="00ED0E5E" w:rsidRDefault="00170020" w:rsidP="00ED0E5E">
            <w:pPr>
              <w:ind w:right="1296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 w:rsidR="00B7099A"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517.485</w:t>
            </w:r>
          </w:p>
        </w:tc>
      </w:tr>
      <w:tr w:rsidR="00ED0E5E" w:rsidRPr="00ED0E5E" w14:paraId="4B0114C9" w14:textId="77777777" w:rsidTr="00DF5E43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0C25D030" w:rsidR="008B2CAA" w:rsidRPr="00ED0E5E" w:rsidRDefault="008B2CAA" w:rsidP="008B2CAA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451EB3" w:rsidRPr="00ED0E5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59ED92A4" w:rsidR="008B2CAA" w:rsidRPr="00ED0E5E" w:rsidRDefault="00A17680" w:rsidP="00ED0E5E">
            <w:pPr>
              <w:ind w:right="10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</w:t>
            </w:r>
            <w:r w:rsidR="00D5282C"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684B7D"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13.866.998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54A9B3B8" w:rsidR="008B2CAA" w:rsidRPr="00ED0E5E" w:rsidRDefault="008B2CAA" w:rsidP="00ED0E5E">
            <w:pPr>
              <w:ind w:right="1296" w:firstLineChars="300" w:firstLine="542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 w:rsidR="00A17680"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5.</w:t>
            </w:r>
            <w:r w:rsidR="00A17680"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580</w:t>
            </w:r>
            <w:r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.</w:t>
            </w:r>
            <w:r w:rsidR="00A17680" w:rsidRPr="00ED0E5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995</w:t>
            </w:r>
          </w:p>
        </w:tc>
      </w:tr>
      <w:tr w:rsidR="00ED0E5E" w:rsidRPr="00ED0E5E" w14:paraId="0F1EB3B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7D55A6D1" w:rsidR="008B2CAA" w:rsidRPr="00ED0E5E" w:rsidRDefault="008B2CAA" w:rsidP="00ED0E5E">
            <w:pPr>
              <w:tabs>
                <w:tab w:val="left" w:pos="1935"/>
              </w:tabs>
              <w:ind w:right="1010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="00D5282C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1.249.292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0A1F7B04" w:rsidR="008B2CAA" w:rsidRPr="00ED0E5E" w:rsidRDefault="008B2CAA" w:rsidP="00ED0E5E">
            <w:pPr>
              <w:ind w:right="1296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="00D5282C"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="00A17680" w:rsidRPr="00ED0E5E">
              <w:rPr>
                <w:rFonts w:ascii="Verdana" w:hAnsi="Verdana" w:cs="Arial"/>
                <w:color w:val="366092"/>
                <w:sz w:val="18"/>
                <w:szCs w:val="18"/>
              </w:rPr>
              <w:t>498.431</w:t>
            </w:r>
          </w:p>
        </w:tc>
      </w:tr>
      <w:tr w:rsidR="00ED0E5E" w:rsidRPr="00ED0E5E" w14:paraId="08714BC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554DF454" w:rsidR="008B2CAA" w:rsidRPr="00ED0E5E" w:rsidRDefault="00684B7D" w:rsidP="00ED0E5E">
            <w:pPr>
              <w:ind w:right="101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1.055.145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74BF0F55" w:rsidR="008B2CAA" w:rsidRPr="00ED0E5E" w:rsidRDefault="008B2CAA" w:rsidP="00ED0E5E">
            <w:pPr>
              <w:ind w:right="1296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="00D5282C"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="00A17680" w:rsidRPr="00ED0E5E">
              <w:rPr>
                <w:rFonts w:ascii="Verdana" w:hAnsi="Verdana" w:cs="Arial"/>
                <w:color w:val="366092"/>
                <w:sz w:val="18"/>
                <w:szCs w:val="18"/>
              </w:rPr>
              <w:t>430.761</w:t>
            </w:r>
          </w:p>
        </w:tc>
      </w:tr>
      <w:tr w:rsidR="00ED0E5E" w:rsidRPr="00ED0E5E" w14:paraId="42B83B0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1CFF8F76" w:rsidR="008B2CAA" w:rsidRPr="00ED0E5E" w:rsidRDefault="00684B7D" w:rsidP="00ED0E5E">
            <w:pPr>
              <w:tabs>
                <w:tab w:val="left" w:pos="1875"/>
              </w:tabs>
              <w:ind w:right="101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1.170.809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34B1F78C" w:rsidR="008B2CAA" w:rsidRPr="00ED0E5E" w:rsidRDefault="008B2CAA" w:rsidP="00ED0E5E">
            <w:pPr>
              <w:ind w:right="1296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hAnsi="Verdana" w:cs="Arial"/>
                <w:color w:val="366092"/>
                <w:sz w:val="18"/>
                <w:szCs w:val="18"/>
              </w:rPr>
              <w:t>390.538</w:t>
            </w:r>
          </w:p>
        </w:tc>
      </w:tr>
      <w:tr w:rsidR="00ED0E5E" w:rsidRPr="00ED0E5E" w14:paraId="1B9A913D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12D41BD7" w:rsidR="008B2CAA" w:rsidRPr="00ED0E5E" w:rsidRDefault="00684B7D" w:rsidP="00ED0E5E">
            <w:pPr>
              <w:ind w:right="1010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1.231.616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56A60803" w:rsidR="008B2CAA" w:rsidRPr="00ED0E5E" w:rsidRDefault="008B2CAA" w:rsidP="00ED0E5E">
            <w:pPr>
              <w:ind w:right="1296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hAnsi="Verdana" w:cs="Arial"/>
                <w:color w:val="366092"/>
                <w:sz w:val="18"/>
                <w:szCs w:val="18"/>
              </w:rPr>
              <w:t>497.383</w:t>
            </w:r>
          </w:p>
        </w:tc>
      </w:tr>
      <w:tr w:rsidR="00ED0E5E" w:rsidRPr="00ED0E5E" w14:paraId="05A0976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6B462711" w:rsidR="008B2CAA" w:rsidRPr="00ED0E5E" w:rsidRDefault="00D5282C" w:rsidP="00ED0E5E">
            <w:pPr>
              <w:tabs>
                <w:tab w:val="left" w:pos="1950"/>
              </w:tabs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1.143.895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219CEE5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546.556</w:t>
            </w:r>
          </w:p>
        </w:tc>
      </w:tr>
      <w:tr w:rsidR="00ED0E5E" w:rsidRPr="00ED0E5E" w14:paraId="481710E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6FD9CD5C" w:rsidR="008B2CAA" w:rsidRPr="00ED0E5E" w:rsidRDefault="00D5282C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1.310.875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65543337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567.063</w:t>
            </w:r>
          </w:p>
        </w:tc>
      </w:tr>
      <w:tr w:rsidR="00ED0E5E" w:rsidRPr="00ED0E5E" w14:paraId="1A3130D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2C232B29" w:rsidR="008B2CAA" w:rsidRPr="00ED0E5E" w:rsidRDefault="00D5282C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1.152.240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16987F66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514.112</w:t>
            </w:r>
          </w:p>
        </w:tc>
      </w:tr>
      <w:tr w:rsidR="00ED0E5E" w:rsidRPr="00ED0E5E" w14:paraId="07197C74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0B1CAC11" w:rsidR="008B2CAA" w:rsidRPr="00ED0E5E" w:rsidRDefault="00684B7D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 </w:t>
            </w:r>
            <w:r w:rsidR="008B2CAA"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1.070.065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39D6B06D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327.648</w:t>
            </w:r>
          </w:p>
        </w:tc>
      </w:tr>
      <w:tr w:rsidR="00ED0E5E" w:rsidRPr="00ED0E5E" w14:paraId="798FCDB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27E4AF0F" w:rsidR="008B2CAA" w:rsidRPr="00ED0E5E" w:rsidRDefault="008B2CAA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1.190.717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4D41B213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393.553</w:t>
            </w:r>
          </w:p>
        </w:tc>
      </w:tr>
      <w:tr w:rsidR="00ED0E5E" w:rsidRPr="00ED0E5E" w14:paraId="75D5BDA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B36298C" w:rsidR="008B2CAA" w:rsidRPr="00ED0E5E" w:rsidRDefault="008B2CAA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1.084.757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485CCE5F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475.020</w:t>
            </w:r>
          </w:p>
        </w:tc>
      </w:tr>
      <w:tr w:rsidR="00ED0E5E" w:rsidRPr="00ED0E5E" w14:paraId="5034D74F" w14:textId="77777777" w:rsidTr="00ED0E5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26057A6B" w:rsidR="008B2CAA" w:rsidRPr="00ED0E5E" w:rsidRDefault="008B2CAA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1.056.396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5764688B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496.220</w:t>
            </w:r>
          </w:p>
        </w:tc>
      </w:tr>
      <w:tr w:rsidR="00ED0E5E" w:rsidRPr="00ED0E5E" w14:paraId="302EE35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8B2CAA" w:rsidRPr="00ED0E5E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4217CC4D" w:rsidR="008B2CAA" w:rsidRPr="00ED0E5E" w:rsidRDefault="008B2CAA" w:rsidP="00ED0E5E">
            <w:pPr>
              <w:ind w:right="101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="00684B7D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1.151.189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39EC0EC4" w:rsidR="008B2CAA" w:rsidRPr="00ED0E5E" w:rsidRDefault="008B2CAA" w:rsidP="00ED0E5E">
            <w:pPr>
              <w:ind w:right="129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ED0E5E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="00A17680" w:rsidRPr="00ED0E5E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443.712</w:t>
            </w:r>
          </w:p>
        </w:tc>
      </w:tr>
      <w:tr w:rsidR="00ED0E5E" w:rsidRPr="00ED0E5E" w14:paraId="1DBDB523" w14:textId="77777777" w:rsidTr="00DF5E43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1B62436F" w:rsidR="008B2CAA" w:rsidRPr="00ED0E5E" w:rsidRDefault="008B2CAA" w:rsidP="00ED0E5E">
            <w:pPr>
              <w:ind w:hanging="105"/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54398D"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and exports </w:t>
            </w:r>
            <w:r w:rsidR="00170020"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for </w:t>
            </w:r>
            <w:r w:rsidR="0054398D"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January - December</w:t>
            </w:r>
            <w:r w:rsidR="00170020"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2025 have been revised. Data for </w:t>
            </w:r>
            <w:r w:rsidR="0062012D"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January</w:t>
            </w:r>
            <w:r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</w:t>
            </w:r>
            <w:r w:rsidR="0062012D"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6</w:t>
            </w:r>
            <w:r w:rsidRPr="00ED0E5E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are provisional.</w:t>
            </w:r>
          </w:p>
        </w:tc>
      </w:tr>
      <w:bookmarkEnd w:id="1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B810C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86116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7666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C9320F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DBEEB0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B7B45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BE047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89807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B6AC5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25D4B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AB63D5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F13C8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ED6F21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9FCC10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3C6C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Pr="00ED0E5E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714908" w14:textId="77777777" w:rsidR="00B62DFC" w:rsidRPr="00ED0E5E" w:rsidRDefault="00B62D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Pr="00ED0E5E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10B51B" w14:textId="77777777" w:rsidR="001710BD" w:rsidRPr="00ED0E5E" w:rsidRDefault="001710B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9D5A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0BCFDD9" w14:textId="77777777" w:rsidR="00ED0E5E" w:rsidRDefault="00ED0E5E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0B41B86E" w14:textId="77777777" w:rsidR="00ED0E5E" w:rsidRDefault="00ED0E5E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71D88B26" w14:textId="1D63730F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2DB2FD0C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0AA09479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proofErr w:type="spellStart"/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>Sofronis</w:t>
      </w:r>
      <w:proofErr w:type="spellEnd"/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 Vikis:     Tel</w:t>
      </w:r>
      <w:r w:rsidR="000B2B12">
        <w:rPr>
          <w:rFonts w:ascii="Verdana" w:hAnsi="Verdana"/>
          <w:sz w:val="18"/>
          <w:szCs w:val="18"/>
          <w:shd w:val="clear" w:color="auto" w:fill="FFFFFF"/>
        </w:rPr>
        <w:t>.</w:t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>: +357</w:t>
      </w:r>
      <w:r w:rsidR="000B2B12">
        <w:rPr>
          <w:rFonts w:ascii="Verdana" w:hAnsi="Verdana"/>
          <w:sz w:val="18"/>
          <w:szCs w:val="18"/>
          <w:shd w:val="clear" w:color="auto" w:fill="FFFFFF"/>
        </w:rPr>
        <w:t>-</w:t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22602206,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3E25FDA0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proofErr w:type="spellStart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</w:t>
      </w:r>
      <w:proofErr w:type="spellEnd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Leontiou</w:t>
      </w:r>
      <w:proofErr w:type="spellEnd"/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: Tel</w:t>
      </w:r>
      <w:r w:rsidR="000B2B12">
        <w:rPr>
          <w:rFonts w:ascii="Verdana" w:hAnsi="Verdana"/>
          <w:sz w:val="18"/>
          <w:szCs w:val="18"/>
          <w:shd w:val="clear" w:color="auto" w:fill="FFFFFF"/>
          <w:lang w:val="pt-PT"/>
        </w:rPr>
        <w:t>.</w:t>
      </w: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: +357</w:t>
      </w:r>
      <w:r w:rsidR="000B2B12">
        <w:rPr>
          <w:rFonts w:ascii="Verdana" w:hAnsi="Verdana"/>
          <w:sz w:val="18"/>
          <w:szCs w:val="18"/>
          <w:shd w:val="clear" w:color="auto" w:fill="FFFFFF"/>
          <w:lang w:val="pt-PT"/>
        </w:rPr>
        <w:t>-</w:t>
      </w: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22605122,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1D01" w14:textId="77777777" w:rsidR="00FB05BC" w:rsidRDefault="00FB05BC" w:rsidP="00FB398F">
      <w:r>
        <w:separator/>
      </w:r>
    </w:p>
  </w:endnote>
  <w:endnote w:type="continuationSeparator" w:id="0">
    <w:p w14:paraId="38AC86DE" w14:textId="77777777" w:rsidR="00FB05BC" w:rsidRDefault="00FB05B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19C4" w14:textId="77777777" w:rsidR="00FB05BC" w:rsidRDefault="00FB05BC" w:rsidP="00FB398F">
      <w:r>
        <w:separator/>
      </w:r>
    </w:p>
  </w:footnote>
  <w:footnote w:type="continuationSeparator" w:id="0">
    <w:p w14:paraId="7EE98A3F" w14:textId="77777777" w:rsidR="00FB05BC" w:rsidRDefault="00FB05B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670F"/>
    <w:rsid w:val="000870E9"/>
    <w:rsid w:val="00087833"/>
    <w:rsid w:val="000932CF"/>
    <w:rsid w:val="00093741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B1628"/>
    <w:rsid w:val="000B2B12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852"/>
    <w:rsid w:val="00107F93"/>
    <w:rsid w:val="00110F9D"/>
    <w:rsid w:val="00111463"/>
    <w:rsid w:val="0011373B"/>
    <w:rsid w:val="00114A67"/>
    <w:rsid w:val="00116C07"/>
    <w:rsid w:val="00121D0D"/>
    <w:rsid w:val="00122143"/>
    <w:rsid w:val="00123E94"/>
    <w:rsid w:val="001251A6"/>
    <w:rsid w:val="001253B6"/>
    <w:rsid w:val="001256E3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020"/>
    <w:rsid w:val="00170A03"/>
    <w:rsid w:val="00170A87"/>
    <w:rsid w:val="001710BD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98C"/>
    <w:rsid w:val="00203B30"/>
    <w:rsid w:val="00205BA0"/>
    <w:rsid w:val="00205CFC"/>
    <w:rsid w:val="002060B4"/>
    <w:rsid w:val="00207443"/>
    <w:rsid w:val="00207BDE"/>
    <w:rsid w:val="0021047A"/>
    <w:rsid w:val="00210B58"/>
    <w:rsid w:val="0021235F"/>
    <w:rsid w:val="00215DDA"/>
    <w:rsid w:val="002167B5"/>
    <w:rsid w:val="00220A32"/>
    <w:rsid w:val="00222423"/>
    <w:rsid w:val="002249E1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4A08"/>
    <w:rsid w:val="0027615B"/>
    <w:rsid w:val="002762E5"/>
    <w:rsid w:val="002769DE"/>
    <w:rsid w:val="00283005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C06C4"/>
    <w:rsid w:val="002C0B35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FDC"/>
    <w:rsid w:val="00342268"/>
    <w:rsid w:val="00343259"/>
    <w:rsid w:val="00343815"/>
    <w:rsid w:val="0034484C"/>
    <w:rsid w:val="00345AC5"/>
    <w:rsid w:val="00345E4A"/>
    <w:rsid w:val="0035000C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3380"/>
    <w:rsid w:val="003854F5"/>
    <w:rsid w:val="00386FC7"/>
    <w:rsid w:val="00390A32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1EB3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1215"/>
    <w:rsid w:val="004B2896"/>
    <w:rsid w:val="004B38E9"/>
    <w:rsid w:val="004B3FBA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B8"/>
    <w:rsid w:val="004F4CD0"/>
    <w:rsid w:val="004F4DC9"/>
    <w:rsid w:val="004F52F0"/>
    <w:rsid w:val="004F5E9C"/>
    <w:rsid w:val="004F6250"/>
    <w:rsid w:val="004F677C"/>
    <w:rsid w:val="004F6D8F"/>
    <w:rsid w:val="004F7059"/>
    <w:rsid w:val="00501F4C"/>
    <w:rsid w:val="0050412B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6D9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398D"/>
    <w:rsid w:val="00543EAF"/>
    <w:rsid w:val="00544700"/>
    <w:rsid w:val="00546D0F"/>
    <w:rsid w:val="005509AC"/>
    <w:rsid w:val="005526E7"/>
    <w:rsid w:val="00552A9E"/>
    <w:rsid w:val="00553023"/>
    <w:rsid w:val="0055789A"/>
    <w:rsid w:val="005600E9"/>
    <w:rsid w:val="00560400"/>
    <w:rsid w:val="0056062D"/>
    <w:rsid w:val="0056434C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0DF0"/>
    <w:rsid w:val="005F12F5"/>
    <w:rsid w:val="005F4004"/>
    <w:rsid w:val="005F4474"/>
    <w:rsid w:val="005F4B4F"/>
    <w:rsid w:val="005F564F"/>
    <w:rsid w:val="005F6D70"/>
    <w:rsid w:val="005F72B4"/>
    <w:rsid w:val="005F7C7D"/>
    <w:rsid w:val="005F7FB6"/>
    <w:rsid w:val="00600B36"/>
    <w:rsid w:val="006017FD"/>
    <w:rsid w:val="00602312"/>
    <w:rsid w:val="0060256A"/>
    <w:rsid w:val="00602B16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012D"/>
    <w:rsid w:val="00621C15"/>
    <w:rsid w:val="0062327B"/>
    <w:rsid w:val="00624038"/>
    <w:rsid w:val="006251AE"/>
    <w:rsid w:val="006258C1"/>
    <w:rsid w:val="00625CF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4B7D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E42"/>
    <w:rsid w:val="006A39ED"/>
    <w:rsid w:val="006A4E23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4256"/>
    <w:rsid w:val="006E4471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CEB"/>
    <w:rsid w:val="00702F26"/>
    <w:rsid w:val="0070313E"/>
    <w:rsid w:val="00703799"/>
    <w:rsid w:val="00705C5C"/>
    <w:rsid w:val="0070771F"/>
    <w:rsid w:val="007101E9"/>
    <w:rsid w:val="00711475"/>
    <w:rsid w:val="00713A57"/>
    <w:rsid w:val="00714CA6"/>
    <w:rsid w:val="0071646C"/>
    <w:rsid w:val="007165B9"/>
    <w:rsid w:val="007174FD"/>
    <w:rsid w:val="007176CC"/>
    <w:rsid w:val="0072548A"/>
    <w:rsid w:val="007277A6"/>
    <w:rsid w:val="00727843"/>
    <w:rsid w:val="00730446"/>
    <w:rsid w:val="0073693F"/>
    <w:rsid w:val="00741C6C"/>
    <w:rsid w:val="00742B33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AAC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085"/>
    <w:rsid w:val="007853FB"/>
    <w:rsid w:val="00792F28"/>
    <w:rsid w:val="007952C5"/>
    <w:rsid w:val="0079543F"/>
    <w:rsid w:val="00795880"/>
    <w:rsid w:val="0079615F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272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992"/>
    <w:rsid w:val="00824B74"/>
    <w:rsid w:val="008251E9"/>
    <w:rsid w:val="0083176A"/>
    <w:rsid w:val="00831AAB"/>
    <w:rsid w:val="00831CBE"/>
    <w:rsid w:val="00832F53"/>
    <w:rsid w:val="00833679"/>
    <w:rsid w:val="00833F21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67CE2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9673D"/>
    <w:rsid w:val="008A0743"/>
    <w:rsid w:val="008A252D"/>
    <w:rsid w:val="008A4D48"/>
    <w:rsid w:val="008A4F86"/>
    <w:rsid w:val="008A7CA5"/>
    <w:rsid w:val="008B0E7E"/>
    <w:rsid w:val="008B2B71"/>
    <w:rsid w:val="008B2CAA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2FD0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737"/>
    <w:rsid w:val="00A17680"/>
    <w:rsid w:val="00A1779C"/>
    <w:rsid w:val="00A20214"/>
    <w:rsid w:val="00A20933"/>
    <w:rsid w:val="00A2193E"/>
    <w:rsid w:val="00A23AF1"/>
    <w:rsid w:val="00A25D7C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77C77"/>
    <w:rsid w:val="00A804D0"/>
    <w:rsid w:val="00A812C5"/>
    <w:rsid w:val="00A82335"/>
    <w:rsid w:val="00A82B4C"/>
    <w:rsid w:val="00A83C11"/>
    <w:rsid w:val="00A83DD7"/>
    <w:rsid w:val="00A86679"/>
    <w:rsid w:val="00A87088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D7D17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26C1"/>
    <w:rsid w:val="00B62DFC"/>
    <w:rsid w:val="00B63652"/>
    <w:rsid w:val="00B668B0"/>
    <w:rsid w:val="00B67BE1"/>
    <w:rsid w:val="00B703B0"/>
    <w:rsid w:val="00B7099A"/>
    <w:rsid w:val="00B70F5C"/>
    <w:rsid w:val="00B71300"/>
    <w:rsid w:val="00B71873"/>
    <w:rsid w:val="00B7203A"/>
    <w:rsid w:val="00B728A9"/>
    <w:rsid w:val="00B72AEF"/>
    <w:rsid w:val="00B74299"/>
    <w:rsid w:val="00B75AE5"/>
    <w:rsid w:val="00B77F37"/>
    <w:rsid w:val="00B800C0"/>
    <w:rsid w:val="00B80499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4A5E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7DDD"/>
    <w:rsid w:val="00BD0655"/>
    <w:rsid w:val="00BD16FA"/>
    <w:rsid w:val="00BD41C3"/>
    <w:rsid w:val="00BD488B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4FF8"/>
    <w:rsid w:val="00BF5570"/>
    <w:rsid w:val="00BF5755"/>
    <w:rsid w:val="00BF684B"/>
    <w:rsid w:val="00BF733F"/>
    <w:rsid w:val="00C0139F"/>
    <w:rsid w:val="00C016F3"/>
    <w:rsid w:val="00C01EF1"/>
    <w:rsid w:val="00C06CC2"/>
    <w:rsid w:val="00C1163C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1C7D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565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3A34"/>
    <w:rsid w:val="00D43B18"/>
    <w:rsid w:val="00D43FAE"/>
    <w:rsid w:val="00D44B35"/>
    <w:rsid w:val="00D44F27"/>
    <w:rsid w:val="00D45304"/>
    <w:rsid w:val="00D4595D"/>
    <w:rsid w:val="00D461C7"/>
    <w:rsid w:val="00D477E2"/>
    <w:rsid w:val="00D50424"/>
    <w:rsid w:val="00D50D70"/>
    <w:rsid w:val="00D50F9B"/>
    <w:rsid w:val="00D5282C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3650"/>
    <w:rsid w:val="00DD5D29"/>
    <w:rsid w:val="00DD6EB1"/>
    <w:rsid w:val="00DD7A16"/>
    <w:rsid w:val="00DE130D"/>
    <w:rsid w:val="00DE1FFF"/>
    <w:rsid w:val="00DE21A5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E43"/>
    <w:rsid w:val="00DF5FEB"/>
    <w:rsid w:val="00DF6951"/>
    <w:rsid w:val="00DF7872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10B6"/>
    <w:rsid w:val="00E4270A"/>
    <w:rsid w:val="00E436AC"/>
    <w:rsid w:val="00E44FF8"/>
    <w:rsid w:val="00E45704"/>
    <w:rsid w:val="00E45FCA"/>
    <w:rsid w:val="00E5066A"/>
    <w:rsid w:val="00E52AE2"/>
    <w:rsid w:val="00E52C5D"/>
    <w:rsid w:val="00E52CF9"/>
    <w:rsid w:val="00E54AB5"/>
    <w:rsid w:val="00E62A6A"/>
    <w:rsid w:val="00E62ECF"/>
    <w:rsid w:val="00E6310D"/>
    <w:rsid w:val="00E63F34"/>
    <w:rsid w:val="00E65145"/>
    <w:rsid w:val="00E66AAF"/>
    <w:rsid w:val="00E6715A"/>
    <w:rsid w:val="00E7393E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54AC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0E5E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A83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974"/>
    <w:rsid w:val="00F73B04"/>
    <w:rsid w:val="00F73B58"/>
    <w:rsid w:val="00F74038"/>
    <w:rsid w:val="00F75C6B"/>
    <w:rsid w:val="00F772C6"/>
    <w:rsid w:val="00F80362"/>
    <w:rsid w:val="00F806BA"/>
    <w:rsid w:val="00F8108C"/>
    <w:rsid w:val="00F8143B"/>
    <w:rsid w:val="00F82347"/>
    <w:rsid w:val="00F8426A"/>
    <w:rsid w:val="00F857BD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5E3F"/>
    <w:rsid w:val="00F977C2"/>
    <w:rsid w:val="00F97DC5"/>
    <w:rsid w:val="00FA0113"/>
    <w:rsid w:val="00FA0E3D"/>
    <w:rsid w:val="00FA12B2"/>
    <w:rsid w:val="00FA1409"/>
    <w:rsid w:val="00FA23F1"/>
    <w:rsid w:val="00FA2B05"/>
    <w:rsid w:val="00FA4A6D"/>
    <w:rsid w:val="00FA5A43"/>
    <w:rsid w:val="00FA7610"/>
    <w:rsid w:val="00FA7FE9"/>
    <w:rsid w:val="00FB02BD"/>
    <w:rsid w:val="00FB03B8"/>
    <w:rsid w:val="00FB05BC"/>
    <w:rsid w:val="00FB0D95"/>
    <w:rsid w:val="00FB1B49"/>
    <w:rsid w:val="00FB398F"/>
    <w:rsid w:val="00FB4427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75</cp:revision>
  <cp:lastPrinted>2025-04-08T07:20:00Z</cp:lastPrinted>
  <dcterms:created xsi:type="dcterms:W3CDTF">2025-11-10T07:14:00Z</dcterms:created>
  <dcterms:modified xsi:type="dcterms:W3CDTF">2026-03-12T08:38:00Z</dcterms:modified>
</cp:coreProperties>
</file>