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06C8F" w14:textId="77777777" w:rsidR="00CE087B" w:rsidRDefault="00CE087B" w:rsidP="000D572B">
      <w:pPr>
        <w:jc w:val="right"/>
        <w:rPr>
          <w:rFonts w:ascii="Verdana" w:hAnsi="Verdana" w:cs="Arial"/>
          <w:sz w:val="18"/>
          <w:szCs w:val="18"/>
          <w:lang w:val="el-GR"/>
        </w:rPr>
      </w:pPr>
    </w:p>
    <w:p w14:paraId="1E525D16" w14:textId="2F58CE2E" w:rsidR="000D572B" w:rsidRPr="000D572B" w:rsidRDefault="000D572B" w:rsidP="000D572B">
      <w:pPr>
        <w:jc w:val="right"/>
        <w:rPr>
          <w:rFonts w:ascii="Verdana" w:hAnsi="Verdana" w:cs="Arial"/>
          <w:sz w:val="18"/>
          <w:szCs w:val="18"/>
          <w:lang w:val="el-GR"/>
        </w:rPr>
      </w:pPr>
      <w:r w:rsidRPr="000D572B">
        <w:rPr>
          <w:rFonts w:ascii="Verdana" w:hAnsi="Verdana" w:cs="Arial"/>
          <w:sz w:val="18"/>
          <w:szCs w:val="18"/>
          <w:lang w:val="el-GR"/>
        </w:rPr>
        <w:t>1</w:t>
      </w:r>
      <w:r w:rsidR="00AE10E6">
        <w:rPr>
          <w:rFonts w:ascii="Verdana" w:hAnsi="Verdana" w:cs="Arial"/>
          <w:sz w:val="18"/>
          <w:szCs w:val="18"/>
          <w:lang w:val="el-GR"/>
        </w:rPr>
        <w:t>4</w:t>
      </w:r>
      <w:r w:rsidR="00E20B95" w:rsidRPr="003A57EC">
        <w:rPr>
          <w:rFonts w:ascii="Verdana" w:hAnsi="Verdana" w:cs="Arial"/>
          <w:sz w:val="18"/>
          <w:szCs w:val="18"/>
          <w:lang w:val="el-GR"/>
        </w:rPr>
        <w:t xml:space="preserve"> </w:t>
      </w:r>
      <w:r w:rsidR="00AE10E6">
        <w:rPr>
          <w:rFonts w:ascii="Verdana" w:hAnsi="Verdana" w:cs="Arial"/>
          <w:sz w:val="18"/>
          <w:szCs w:val="18"/>
          <w:lang w:val="el-GR"/>
        </w:rPr>
        <w:t>Αυγούστου</w:t>
      </w:r>
      <w:r w:rsidRPr="000D572B">
        <w:rPr>
          <w:rFonts w:ascii="Verdana" w:hAnsi="Verdana" w:cs="Arial"/>
          <w:sz w:val="18"/>
          <w:szCs w:val="18"/>
          <w:lang w:val="el-GR"/>
        </w:rPr>
        <w:t>, 202</w:t>
      </w:r>
      <w:r w:rsidR="00E15969">
        <w:rPr>
          <w:rFonts w:ascii="Verdana" w:hAnsi="Verdana" w:cs="Arial"/>
          <w:sz w:val="18"/>
          <w:szCs w:val="18"/>
          <w:lang w:val="el-GR"/>
        </w:rPr>
        <w:t>4</w:t>
      </w:r>
    </w:p>
    <w:p w14:paraId="58C9D940" w14:textId="77777777" w:rsidR="000D572B" w:rsidRDefault="000D572B" w:rsidP="000D572B">
      <w:pPr>
        <w:jc w:val="both"/>
        <w:rPr>
          <w:rFonts w:ascii="Verdana" w:hAnsi="Verdana" w:cs="Arial"/>
          <w:sz w:val="18"/>
          <w:szCs w:val="18"/>
          <w:lang w:val="el-GR"/>
        </w:rPr>
      </w:pPr>
    </w:p>
    <w:p w14:paraId="14647AD0" w14:textId="77777777" w:rsidR="000D572B" w:rsidRPr="000D572B" w:rsidRDefault="000D572B" w:rsidP="000D572B">
      <w:pPr>
        <w:jc w:val="both"/>
        <w:rPr>
          <w:rFonts w:ascii="Verdana" w:hAnsi="Verdana" w:cs="Arial"/>
          <w:sz w:val="18"/>
          <w:szCs w:val="18"/>
          <w:lang w:val="el-GR"/>
        </w:rPr>
      </w:pPr>
    </w:p>
    <w:p w14:paraId="52A0584C" w14:textId="77777777" w:rsidR="000D572B" w:rsidRPr="000D572B" w:rsidRDefault="000D572B" w:rsidP="000D572B">
      <w:pPr>
        <w:jc w:val="center"/>
        <w:rPr>
          <w:rFonts w:ascii="Verdana" w:hAnsi="Verdana" w:cs="Arial"/>
          <w:b/>
          <w:bCs/>
          <w:sz w:val="24"/>
          <w:szCs w:val="24"/>
          <w:lang w:val="el-GR"/>
        </w:rPr>
      </w:pPr>
      <w:r w:rsidRPr="000D572B">
        <w:rPr>
          <w:rFonts w:ascii="Verdana" w:hAnsi="Verdana" w:cs="Arial"/>
          <w:b/>
          <w:bCs/>
          <w:sz w:val="24"/>
          <w:szCs w:val="24"/>
          <w:lang w:val="el-GR"/>
        </w:rPr>
        <w:t>ΔΕΛΤΙΟ ΤΥΠΟΥ</w:t>
      </w:r>
    </w:p>
    <w:p w14:paraId="35449057" w14:textId="77777777" w:rsidR="000D572B" w:rsidRDefault="000D572B" w:rsidP="000D572B">
      <w:pPr>
        <w:jc w:val="both"/>
        <w:rPr>
          <w:rFonts w:ascii="Verdana" w:hAnsi="Verdana" w:cs="Arial"/>
          <w:sz w:val="18"/>
          <w:szCs w:val="18"/>
          <w:lang w:val="el-GR"/>
        </w:rPr>
      </w:pPr>
    </w:p>
    <w:p w14:paraId="1C2CBE7A" w14:textId="77777777" w:rsidR="000D572B" w:rsidRPr="000D572B" w:rsidRDefault="000D572B" w:rsidP="000D572B">
      <w:pPr>
        <w:jc w:val="both"/>
        <w:rPr>
          <w:rFonts w:ascii="Verdana" w:hAnsi="Verdana" w:cs="Arial"/>
          <w:sz w:val="18"/>
          <w:szCs w:val="18"/>
          <w:lang w:val="el-GR"/>
        </w:rPr>
      </w:pPr>
    </w:p>
    <w:p w14:paraId="746A135C" w14:textId="744E4DA3" w:rsidR="000D572B" w:rsidRPr="000D572B" w:rsidRDefault="0019790B" w:rsidP="000D572B">
      <w:pPr>
        <w:jc w:val="both"/>
        <w:rPr>
          <w:rFonts w:ascii="Verdana" w:hAnsi="Verdana" w:cs="Arial"/>
          <w:u w:val="single"/>
          <w:lang w:val="el-GR"/>
        </w:rPr>
      </w:pPr>
      <w:r w:rsidRPr="0019790B">
        <w:rPr>
          <w:rFonts w:ascii="Verdana" w:hAnsi="Verdana" w:cs="Arial"/>
          <w:u w:val="single"/>
          <w:lang w:val="el-GR"/>
        </w:rPr>
        <w:t>ΡΥΘΜΟΣ ΑΝΑΠΤΥΞΗΣ ΑΕΠ</w:t>
      </w:r>
      <w:r w:rsidR="000D572B" w:rsidRPr="000D572B">
        <w:rPr>
          <w:rFonts w:ascii="Verdana" w:hAnsi="Verdana" w:cs="Arial"/>
          <w:u w:val="single"/>
          <w:lang w:val="el-GR"/>
        </w:rPr>
        <w:t xml:space="preserve">: </w:t>
      </w:r>
      <w:r w:rsidR="00AE10E6">
        <w:rPr>
          <w:rFonts w:ascii="Verdana" w:hAnsi="Verdana" w:cs="Arial"/>
          <w:b/>
          <w:bCs/>
          <w:u w:val="single"/>
          <w:lang w:val="el-GR"/>
        </w:rPr>
        <w:t>2</w:t>
      </w:r>
      <w:r w:rsidR="000D572B" w:rsidRPr="000D572B">
        <w:rPr>
          <w:rFonts w:ascii="Verdana" w:hAnsi="Verdana" w:cs="Arial"/>
          <w:b/>
          <w:bCs/>
          <w:u w:val="single"/>
          <w:lang w:val="el-GR"/>
        </w:rPr>
        <w:t>ο ΤΡΙΜΗΝΟ 202</w:t>
      </w:r>
      <w:r w:rsidR="009907CE">
        <w:rPr>
          <w:rFonts w:ascii="Verdana" w:hAnsi="Verdana" w:cs="Arial"/>
          <w:b/>
          <w:bCs/>
          <w:u w:val="single"/>
          <w:lang w:val="el-GR"/>
        </w:rPr>
        <w:t>4</w:t>
      </w:r>
      <w:r w:rsidR="000D572B" w:rsidRPr="000D572B">
        <w:rPr>
          <w:rFonts w:ascii="Verdana" w:hAnsi="Verdana" w:cs="Arial"/>
          <w:u w:val="single"/>
          <w:lang w:val="el-GR"/>
        </w:rPr>
        <w:t xml:space="preserve"> (</w:t>
      </w:r>
      <w:r w:rsidRPr="000D572B">
        <w:rPr>
          <w:rFonts w:ascii="Verdana" w:hAnsi="Verdana" w:cs="Arial"/>
          <w:u w:val="single"/>
          <w:lang w:val="el-GR"/>
        </w:rPr>
        <w:t>ΠΡΟΚΑΤΑΡΚΤΙΚΗ ΕΚΤΙΜΗΣΗ</w:t>
      </w:r>
      <w:r w:rsidR="000D572B" w:rsidRPr="000D572B">
        <w:rPr>
          <w:rFonts w:ascii="Verdana" w:hAnsi="Verdana" w:cs="Arial"/>
          <w:u w:val="single"/>
          <w:lang w:val="el-GR"/>
        </w:rPr>
        <w:t>)</w:t>
      </w:r>
    </w:p>
    <w:p w14:paraId="2475B353" w14:textId="77777777" w:rsidR="000D572B" w:rsidRPr="000D572B" w:rsidRDefault="000D572B" w:rsidP="000D572B">
      <w:pPr>
        <w:jc w:val="both"/>
        <w:rPr>
          <w:rFonts w:ascii="Verdana" w:hAnsi="Verdana" w:cs="Arial"/>
          <w:sz w:val="18"/>
          <w:szCs w:val="18"/>
          <w:lang w:val="el-GR"/>
        </w:rPr>
      </w:pPr>
    </w:p>
    <w:p w14:paraId="7DD484B5" w14:textId="5F3C181C" w:rsidR="000D572B" w:rsidRPr="000D572B" w:rsidRDefault="000D572B" w:rsidP="000D572B">
      <w:pPr>
        <w:jc w:val="center"/>
        <w:rPr>
          <w:rFonts w:ascii="Verdana" w:hAnsi="Verdana" w:cs="Arial"/>
          <w:b/>
          <w:bCs/>
          <w:lang w:val="el-GR"/>
        </w:rPr>
      </w:pPr>
      <w:r w:rsidRPr="000D572B">
        <w:rPr>
          <w:rFonts w:ascii="Verdana" w:hAnsi="Verdana" w:cs="Arial"/>
          <w:b/>
          <w:bCs/>
          <w:lang w:val="el-GR"/>
        </w:rPr>
        <w:t xml:space="preserve">Ρυθμός Ανάπτυξης </w:t>
      </w:r>
      <w:r w:rsidR="00F32034" w:rsidRPr="00F32034">
        <w:rPr>
          <w:rFonts w:ascii="Verdana" w:hAnsi="Verdana" w:cs="Arial"/>
          <w:b/>
          <w:bCs/>
          <w:lang w:val="el-GR"/>
        </w:rPr>
        <w:t>3</w:t>
      </w:r>
      <w:r w:rsidRPr="000D572B">
        <w:rPr>
          <w:rFonts w:ascii="Verdana" w:hAnsi="Verdana" w:cs="Arial"/>
          <w:b/>
          <w:bCs/>
          <w:lang w:val="el-GR"/>
        </w:rPr>
        <w:t>,</w:t>
      </w:r>
      <w:r w:rsidR="005764B1" w:rsidRPr="005764B1">
        <w:rPr>
          <w:rFonts w:ascii="Verdana" w:hAnsi="Verdana" w:cs="Arial"/>
          <w:b/>
          <w:bCs/>
          <w:lang w:val="el-GR"/>
        </w:rPr>
        <w:t>6</w:t>
      </w:r>
      <w:r w:rsidRPr="000D572B">
        <w:rPr>
          <w:rFonts w:ascii="Verdana" w:hAnsi="Verdana" w:cs="Arial"/>
          <w:b/>
          <w:bCs/>
          <w:lang w:val="el-GR"/>
        </w:rPr>
        <w:t>%</w:t>
      </w:r>
    </w:p>
    <w:p w14:paraId="7C1DB25A" w14:textId="77777777" w:rsidR="000D572B" w:rsidRDefault="000D572B" w:rsidP="000D572B">
      <w:pPr>
        <w:jc w:val="both"/>
        <w:rPr>
          <w:rFonts w:ascii="Verdana" w:hAnsi="Verdana" w:cs="Arial"/>
          <w:sz w:val="18"/>
          <w:szCs w:val="18"/>
          <w:lang w:val="el-GR"/>
        </w:rPr>
      </w:pPr>
    </w:p>
    <w:p w14:paraId="28F093F5" w14:textId="77777777" w:rsidR="000D572B" w:rsidRDefault="000D572B" w:rsidP="000D572B">
      <w:pPr>
        <w:jc w:val="both"/>
        <w:rPr>
          <w:rFonts w:ascii="Verdana" w:hAnsi="Verdana" w:cs="Arial"/>
          <w:sz w:val="18"/>
          <w:szCs w:val="18"/>
          <w:lang w:val="el-GR"/>
        </w:rPr>
      </w:pPr>
    </w:p>
    <w:p w14:paraId="526D3737" w14:textId="74D1440B" w:rsidR="000D572B" w:rsidRDefault="000D572B" w:rsidP="000D572B">
      <w:pPr>
        <w:jc w:val="both"/>
        <w:rPr>
          <w:rFonts w:ascii="Verdana" w:hAnsi="Verdana" w:cs="Arial"/>
          <w:sz w:val="18"/>
          <w:szCs w:val="18"/>
          <w:lang w:val="el-GR"/>
        </w:rPr>
      </w:pPr>
      <w:r w:rsidRPr="000D572B">
        <w:rPr>
          <w:rFonts w:ascii="Verdana" w:hAnsi="Verdana" w:cs="Arial"/>
          <w:sz w:val="18"/>
          <w:szCs w:val="18"/>
          <w:lang w:val="el-GR"/>
        </w:rPr>
        <w:t xml:space="preserve">Ο </w:t>
      </w:r>
      <w:r w:rsidR="00054AE7" w:rsidRPr="00054AE7">
        <w:rPr>
          <w:rFonts w:ascii="Verdana" w:hAnsi="Verdana" w:cs="Arial"/>
          <w:sz w:val="18"/>
          <w:szCs w:val="18"/>
          <w:lang w:val="el-GR"/>
        </w:rPr>
        <w:t xml:space="preserve">ρυθμός ανάπτυξης της οικονομίας κατά το </w:t>
      </w:r>
      <w:r w:rsidR="00AE10E6">
        <w:rPr>
          <w:rFonts w:ascii="Verdana" w:hAnsi="Verdana" w:cs="Arial"/>
          <w:sz w:val="18"/>
          <w:szCs w:val="18"/>
          <w:lang w:val="el-GR"/>
        </w:rPr>
        <w:t>δεύτερο</w:t>
      </w:r>
      <w:r w:rsidR="00054AE7" w:rsidRPr="00054AE7">
        <w:rPr>
          <w:rFonts w:ascii="Verdana" w:hAnsi="Verdana" w:cs="Arial"/>
          <w:sz w:val="18"/>
          <w:szCs w:val="18"/>
          <w:lang w:val="el-GR"/>
        </w:rPr>
        <w:t xml:space="preserve"> τρίμηνο του 202</w:t>
      </w:r>
      <w:r w:rsidR="009907CE">
        <w:rPr>
          <w:rFonts w:ascii="Verdana" w:hAnsi="Verdana" w:cs="Arial"/>
          <w:sz w:val="18"/>
          <w:szCs w:val="18"/>
          <w:lang w:val="el-GR"/>
        </w:rPr>
        <w:t>4</w:t>
      </w:r>
      <w:r w:rsidR="00054AE7" w:rsidRPr="00054AE7">
        <w:rPr>
          <w:rFonts w:ascii="Verdana" w:hAnsi="Verdana" w:cs="Arial"/>
          <w:sz w:val="18"/>
          <w:szCs w:val="18"/>
          <w:lang w:val="el-GR"/>
        </w:rPr>
        <w:t xml:space="preserve"> είναι θετικός και υπολογίζεται σε </w:t>
      </w:r>
      <w:r w:rsidR="00F32034" w:rsidRPr="00F32034">
        <w:rPr>
          <w:rFonts w:ascii="Verdana" w:hAnsi="Verdana" w:cs="Arial"/>
          <w:sz w:val="18"/>
          <w:szCs w:val="18"/>
          <w:lang w:val="el-GR"/>
        </w:rPr>
        <w:t>3</w:t>
      </w:r>
      <w:r w:rsidR="00054AE7" w:rsidRPr="00054AE7">
        <w:rPr>
          <w:rFonts w:ascii="Verdana" w:hAnsi="Verdana" w:cs="Arial"/>
          <w:sz w:val="18"/>
          <w:szCs w:val="18"/>
          <w:lang w:val="el-GR"/>
        </w:rPr>
        <w:t>,</w:t>
      </w:r>
      <w:r w:rsidR="005764B1" w:rsidRPr="005764B1">
        <w:rPr>
          <w:rFonts w:ascii="Verdana" w:hAnsi="Verdana" w:cs="Arial"/>
          <w:sz w:val="18"/>
          <w:szCs w:val="18"/>
          <w:lang w:val="el-GR"/>
        </w:rPr>
        <w:t>6</w:t>
      </w:r>
      <w:r w:rsidR="00054AE7" w:rsidRPr="00054AE7">
        <w:rPr>
          <w:rFonts w:ascii="Verdana" w:hAnsi="Verdana" w:cs="Arial"/>
          <w:sz w:val="18"/>
          <w:szCs w:val="18"/>
          <w:lang w:val="el-GR"/>
        </w:rPr>
        <w:t>% σε σύγκριση με το αντίστοιχο τρίμηνο του 202</w:t>
      </w:r>
      <w:r w:rsidR="009907CE">
        <w:rPr>
          <w:rFonts w:ascii="Verdana" w:hAnsi="Verdana" w:cs="Arial"/>
          <w:sz w:val="18"/>
          <w:szCs w:val="18"/>
          <w:lang w:val="el-GR"/>
        </w:rPr>
        <w:t>3</w:t>
      </w:r>
      <w:r w:rsidR="00054AE7" w:rsidRPr="00054AE7">
        <w:rPr>
          <w:rFonts w:ascii="Verdana" w:hAnsi="Verdana" w:cs="Arial"/>
          <w:sz w:val="18"/>
          <w:szCs w:val="18"/>
          <w:lang w:val="el-GR"/>
        </w:rPr>
        <w:t xml:space="preserve">. Μετά τη διόρθωση του ΑΕΠ ως προς τις εποχικές διακυμάνσεις και τις εργάσιμες μέρες, ο ρυθμός ανάπτυξης υπολογίζεται στο </w:t>
      </w:r>
      <w:r w:rsidR="00F32034" w:rsidRPr="00F32034">
        <w:rPr>
          <w:rFonts w:ascii="Verdana" w:hAnsi="Verdana" w:cs="Arial"/>
          <w:sz w:val="18"/>
          <w:szCs w:val="18"/>
          <w:lang w:val="el-GR"/>
        </w:rPr>
        <w:t>3</w:t>
      </w:r>
      <w:r w:rsidR="00054AE7" w:rsidRPr="00054AE7">
        <w:rPr>
          <w:rFonts w:ascii="Verdana" w:hAnsi="Verdana" w:cs="Arial"/>
          <w:sz w:val="18"/>
          <w:szCs w:val="18"/>
          <w:lang w:val="el-GR"/>
        </w:rPr>
        <w:t>,</w:t>
      </w:r>
      <w:r w:rsidR="005764B1" w:rsidRPr="005764B1">
        <w:rPr>
          <w:rFonts w:ascii="Verdana" w:hAnsi="Verdana" w:cs="Arial"/>
          <w:sz w:val="18"/>
          <w:szCs w:val="18"/>
          <w:lang w:val="el-GR"/>
        </w:rPr>
        <w:t>7</w:t>
      </w:r>
      <w:r w:rsidR="00054AE7" w:rsidRPr="00054AE7">
        <w:rPr>
          <w:rFonts w:ascii="Verdana" w:hAnsi="Verdana" w:cs="Arial"/>
          <w:sz w:val="18"/>
          <w:szCs w:val="18"/>
          <w:lang w:val="el-GR"/>
        </w:rPr>
        <w:t>%.</w:t>
      </w:r>
    </w:p>
    <w:p w14:paraId="60AC00A6" w14:textId="77777777" w:rsidR="000D572B" w:rsidRPr="000D572B" w:rsidRDefault="000D572B" w:rsidP="000D572B">
      <w:pPr>
        <w:jc w:val="both"/>
        <w:rPr>
          <w:rFonts w:ascii="Verdana" w:hAnsi="Verdana" w:cs="Arial"/>
          <w:sz w:val="18"/>
          <w:szCs w:val="18"/>
          <w:lang w:val="el-GR"/>
        </w:rPr>
      </w:pPr>
    </w:p>
    <w:p w14:paraId="555B3283" w14:textId="24A01E2F" w:rsidR="007437AB" w:rsidRPr="00E34A8C" w:rsidRDefault="000D572B" w:rsidP="000D572B">
      <w:pPr>
        <w:jc w:val="both"/>
        <w:rPr>
          <w:rFonts w:ascii="Verdana" w:hAnsi="Verdana" w:cs="Arial"/>
          <w:sz w:val="18"/>
          <w:szCs w:val="18"/>
          <w:lang w:val="el-GR"/>
        </w:rPr>
      </w:pPr>
      <w:r w:rsidRPr="000D572B">
        <w:rPr>
          <w:rFonts w:ascii="Verdana" w:hAnsi="Verdana" w:cs="Arial"/>
          <w:sz w:val="18"/>
          <w:szCs w:val="18"/>
          <w:lang w:val="el-GR"/>
        </w:rPr>
        <w:t xml:space="preserve">Ο θετικός ρυθμός ανάπτυξης του ΑΕΠ οφείλεται κυρίως </w:t>
      </w:r>
      <w:r w:rsidR="00054AE7" w:rsidRPr="00054AE7">
        <w:rPr>
          <w:rFonts w:ascii="Verdana" w:hAnsi="Verdana" w:cs="Arial"/>
          <w:sz w:val="18"/>
          <w:szCs w:val="18"/>
          <w:lang w:val="el-GR"/>
        </w:rPr>
        <w:t>στους τομείς: "Ξενοδοχεία και Εστιατόρια",</w:t>
      </w:r>
      <w:r w:rsidR="00563653" w:rsidRPr="00563653">
        <w:rPr>
          <w:rFonts w:ascii="Verdana" w:hAnsi="Verdana" w:cs="Arial"/>
          <w:sz w:val="18"/>
          <w:szCs w:val="18"/>
          <w:lang w:val="el-GR"/>
        </w:rPr>
        <w:t xml:space="preserve"> </w:t>
      </w:r>
      <w:r w:rsidR="00E34A8C" w:rsidRPr="00054AE7">
        <w:rPr>
          <w:rFonts w:ascii="Verdana" w:hAnsi="Verdana" w:cs="Arial"/>
          <w:sz w:val="18"/>
          <w:szCs w:val="18"/>
          <w:lang w:val="el-GR"/>
        </w:rPr>
        <w:t>"Χονδρικό και Λιανικό Εμπόριο, Επισκευή μηχανοκινήτων οχημάτων",</w:t>
      </w:r>
      <w:r w:rsidR="00054AE7" w:rsidRPr="00054AE7">
        <w:rPr>
          <w:rFonts w:ascii="Verdana" w:hAnsi="Verdana" w:cs="Arial"/>
          <w:sz w:val="18"/>
          <w:szCs w:val="18"/>
          <w:lang w:val="el-GR"/>
        </w:rPr>
        <w:t xml:space="preserve"> "Ενημέρωση και Επικοινωνίες"</w:t>
      </w:r>
      <w:r w:rsidR="00500385">
        <w:rPr>
          <w:rFonts w:ascii="Verdana" w:hAnsi="Verdana" w:cs="Arial"/>
          <w:sz w:val="18"/>
          <w:szCs w:val="18"/>
          <w:lang w:val="el-GR"/>
        </w:rPr>
        <w:t xml:space="preserve"> και</w:t>
      </w:r>
      <w:r w:rsidR="00E34A8C">
        <w:rPr>
          <w:rFonts w:ascii="Verdana" w:hAnsi="Verdana" w:cs="Arial"/>
          <w:sz w:val="18"/>
          <w:szCs w:val="18"/>
          <w:lang w:val="el-GR"/>
        </w:rPr>
        <w:t xml:space="preserve"> </w:t>
      </w:r>
      <w:r w:rsidR="00E34A8C" w:rsidRPr="00054AE7">
        <w:rPr>
          <w:rFonts w:ascii="Verdana" w:hAnsi="Verdana" w:cs="Arial"/>
          <w:sz w:val="18"/>
          <w:szCs w:val="18"/>
          <w:lang w:val="el-GR"/>
        </w:rPr>
        <w:t>"</w:t>
      </w:r>
      <w:r w:rsidR="00E34A8C">
        <w:rPr>
          <w:rFonts w:ascii="Verdana" w:hAnsi="Verdana" w:cs="Arial"/>
          <w:sz w:val="18"/>
          <w:szCs w:val="18"/>
          <w:lang w:val="el-GR"/>
        </w:rPr>
        <w:t>Κατασκευές</w:t>
      </w:r>
      <w:r w:rsidR="00E34A8C" w:rsidRPr="00054AE7">
        <w:rPr>
          <w:rFonts w:ascii="Verdana" w:hAnsi="Verdana" w:cs="Arial"/>
          <w:sz w:val="18"/>
          <w:szCs w:val="18"/>
          <w:lang w:val="el-GR"/>
        </w:rPr>
        <w:t>"</w:t>
      </w:r>
      <w:r w:rsidR="00E34A8C" w:rsidRPr="00E34A8C">
        <w:rPr>
          <w:rFonts w:ascii="Verdana" w:hAnsi="Verdana" w:cs="Arial"/>
          <w:sz w:val="18"/>
          <w:szCs w:val="18"/>
          <w:lang w:val="el-GR"/>
        </w:rPr>
        <w:t>.</w:t>
      </w: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78067E77" w14:textId="757B1336" w:rsidR="00110D15" w:rsidRDefault="006D53CD" w:rsidP="00110D15">
      <w:pPr>
        <w:jc w:val="center"/>
        <w:rPr>
          <w:rFonts w:ascii="Verdana" w:hAnsi="Verdana" w:cs="Arial"/>
          <w:sz w:val="18"/>
          <w:szCs w:val="18"/>
          <w:lang w:val="el-GR"/>
        </w:rPr>
      </w:pPr>
      <w:r>
        <w:rPr>
          <w:noProof/>
        </w:rPr>
        <w:drawing>
          <wp:inline distT="0" distB="0" distL="0" distR="0" wp14:anchorId="0D9CF11C" wp14:editId="58DA87A0">
            <wp:extent cx="6067424" cy="4391024"/>
            <wp:effectExtent l="0" t="0" r="10160" b="10160"/>
            <wp:docPr id="9" name="Chart 9">
              <a:extLst xmlns:a="http://schemas.openxmlformats.org/drawingml/2006/main">
                <a:ext uri="{FF2B5EF4-FFF2-40B4-BE49-F238E27FC236}">
                  <a16:creationId xmlns:a16="http://schemas.microsoft.com/office/drawing/2014/main" id="{7FEBBCBC-927D-49E8-B22B-36E6601AC2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1AE0C0D" w14:textId="6D1142DC"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772E7231" w14:textId="77777777" w:rsidR="00702ECB" w:rsidRDefault="00702ECB" w:rsidP="000E4CB0">
      <w:pPr>
        <w:jc w:val="both"/>
        <w:rPr>
          <w:rFonts w:ascii="Verdana" w:hAnsi="Verdana" w:cs="Arial"/>
          <w:sz w:val="18"/>
          <w:szCs w:val="18"/>
          <w:lang w:val="el-GR"/>
        </w:rPr>
      </w:pPr>
    </w:p>
    <w:tbl>
      <w:tblPr>
        <w:tblStyle w:val="TableGrid"/>
        <w:tblW w:w="9589" w:type="dxa"/>
        <w:jc w:val="center"/>
        <w:tblLayout w:type="fixed"/>
        <w:tblLook w:val="04A0" w:firstRow="1" w:lastRow="0" w:firstColumn="1" w:lastColumn="0" w:noHBand="0" w:noVBand="1"/>
      </w:tblPr>
      <w:tblGrid>
        <w:gridCol w:w="791"/>
        <w:gridCol w:w="1361"/>
        <w:gridCol w:w="2438"/>
        <w:gridCol w:w="236"/>
        <w:gridCol w:w="2325"/>
        <w:gridCol w:w="2438"/>
      </w:tblGrid>
      <w:tr w:rsidR="00176F5C" w:rsidRPr="008652EC" w14:paraId="49CC88E2" w14:textId="77777777" w:rsidTr="00176F5C">
        <w:trPr>
          <w:trHeight w:val="284"/>
          <w:jc w:val="center"/>
        </w:trPr>
        <w:tc>
          <w:tcPr>
            <w:tcW w:w="9589" w:type="dxa"/>
            <w:gridSpan w:val="6"/>
            <w:tcBorders>
              <w:top w:val="nil"/>
              <w:left w:val="nil"/>
              <w:bottom w:val="single" w:sz="4" w:space="0" w:color="2F5496" w:themeColor="accent1" w:themeShade="BF"/>
              <w:right w:val="nil"/>
            </w:tcBorders>
            <w:vAlign w:val="center"/>
          </w:tcPr>
          <w:p w14:paraId="57BB5C30" w14:textId="3AD842FD" w:rsidR="00176F5C" w:rsidRPr="008652EC" w:rsidRDefault="00176F5C" w:rsidP="00176F5C">
            <w:pPr>
              <w:rPr>
                <w:rFonts w:ascii="Verdana" w:hAnsi="Verdana" w:cs="Arial"/>
                <w:b/>
                <w:bCs/>
                <w:color w:val="2F5496" w:themeColor="accent1" w:themeShade="BF"/>
                <w:sz w:val="18"/>
                <w:szCs w:val="18"/>
                <w:lang w:val="el-GR"/>
              </w:rPr>
            </w:pPr>
            <w:r w:rsidRPr="008652EC">
              <w:rPr>
                <w:rFonts w:ascii="Verdana" w:hAnsi="Verdana" w:cs="Arial"/>
                <w:b/>
                <w:bCs/>
                <w:color w:val="2F5496" w:themeColor="accent1" w:themeShade="BF"/>
                <w:sz w:val="18"/>
                <w:szCs w:val="18"/>
                <w:lang w:val="el-GR"/>
              </w:rPr>
              <w:lastRenderedPageBreak/>
              <w:t>Πίνακας</w:t>
            </w:r>
          </w:p>
        </w:tc>
      </w:tr>
      <w:tr w:rsidR="000A1CBA" w:rsidRPr="008652EC" w14:paraId="08A8F267" w14:textId="77777777" w:rsidTr="00176F5C">
        <w:trPr>
          <w:trHeight w:val="1021"/>
          <w:jc w:val="center"/>
        </w:trPr>
        <w:tc>
          <w:tcPr>
            <w:tcW w:w="791" w:type="dxa"/>
            <w:vMerge w:val="restart"/>
            <w:tcBorders>
              <w:top w:val="single" w:sz="4" w:space="0" w:color="2F5496" w:themeColor="accent1" w:themeShade="BF"/>
              <w:left w:val="nil"/>
              <w:bottom w:val="single" w:sz="4" w:space="0" w:color="2F5496" w:themeColor="accent1" w:themeShade="BF"/>
              <w:right w:val="nil"/>
            </w:tcBorders>
            <w:vAlign w:val="center"/>
          </w:tcPr>
          <w:p w14:paraId="04276F0A" w14:textId="016817CC" w:rsidR="000A1CBA" w:rsidRPr="008652EC" w:rsidRDefault="000A1CBA" w:rsidP="00A320F2">
            <w:pPr>
              <w:jc w:val="center"/>
              <w:rPr>
                <w:rFonts w:ascii="Verdana" w:hAnsi="Verdana" w:cs="Arial"/>
                <w:b/>
                <w:bCs/>
                <w:color w:val="2F5496" w:themeColor="accent1" w:themeShade="BF"/>
                <w:sz w:val="18"/>
                <w:szCs w:val="18"/>
                <w:lang w:val="el-GR"/>
              </w:rPr>
            </w:pPr>
            <w:r w:rsidRPr="008652EC">
              <w:rPr>
                <w:rFonts w:ascii="Verdana" w:hAnsi="Verdana" w:cs="Arial"/>
                <w:b/>
                <w:bCs/>
                <w:color w:val="2F5496" w:themeColor="accent1" w:themeShade="BF"/>
                <w:sz w:val="18"/>
                <w:szCs w:val="18"/>
                <w:lang w:val="el-GR"/>
              </w:rPr>
              <w:t>ΕΤΟΣ</w:t>
            </w:r>
          </w:p>
        </w:tc>
        <w:tc>
          <w:tcPr>
            <w:tcW w:w="1361" w:type="dxa"/>
            <w:vMerge w:val="restart"/>
            <w:tcBorders>
              <w:top w:val="single" w:sz="4" w:space="0" w:color="2F5496" w:themeColor="accent1" w:themeShade="BF"/>
              <w:left w:val="nil"/>
              <w:bottom w:val="single" w:sz="4" w:space="0" w:color="2F5496" w:themeColor="accent1" w:themeShade="BF"/>
              <w:right w:val="nil"/>
            </w:tcBorders>
            <w:vAlign w:val="center"/>
          </w:tcPr>
          <w:p w14:paraId="77DB7878" w14:textId="0185293E" w:rsidR="000A1CBA" w:rsidRPr="008652EC" w:rsidRDefault="000A1CBA" w:rsidP="00A320F2">
            <w:pPr>
              <w:jc w:val="center"/>
              <w:rPr>
                <w:rFonts w:ascii="Verdana" w:hAnsi="Verdana" w:cs="Arial"/>
                <w:b/>
                <w:bCs/>
                <w:color w:val="2F5496" w:themeColor="accent1" w:themeShade="BF"/>
                <w:sz w:val="18"/>
                <w:szCs w:val="18"/>
                <w:lang w:val="el-GR"/>
              </w:rPr>
            </w:pPr>
            <w:r w:rsidRPr="008652EC">
              <w:rPr>
                <w:rFonts w:ascii="Verdana" w:hAnsi="Verdana" w:cs="Arial"/>
                <w:b/>
                <w:bCs/>
                <w:color w:val="2F5496" w:themeColor="accent1" w:themeShade="BF"/>
                <w:sz w:val="18"/>
                <w:szCs w:val="18"/>
                <w:lang w:val="el-GR"/>
              </w:rPr>
              <w:t>ΤΡΙΜΗΝΟ</w:t>
            </w:r>
          </w:p>
        </w:tc>
        <w:tc>
          <w:tcPr>
            <w:tcW w:w="2438" w:type="dxa"/>
            <w:tcBorders>
              <w:top w:val="single" w:sz="4" w:space="0" w:color="2F5496" w:themeColor="accent1" w:themeShade="BF"/>
              <w:left w:val="nil"/>
              <w:bottom w:val="single" w:sz="4" w:space="0" w:color="2F5496" w:themeColor="accent1" w:themeShade="BF"/>
              <w:right w:val="nil"/>
            </w:tcBorders>
            <w:vAlign w:val="center"/>
          </w:tcPr>
          <w:p w14:paraId="39A98962" w14:textId="5A4AD002" w:rsidR="000A1CBA" w:rsidRPr="008652EC" w:rsidRDefault="000A1CBA" w:rsidP="00A320F2">
            <w:pPr>
              <w:jc w:val="center"/>
              <w:rPr>
                <w:rFonts w:ascii="Verdana" w:hAnsi="Verdana" w:cs="Arial"/>
                <w:b/>
                <w:bCs/>
                <w:color w:val="2F5496" w:themeColor="accent1" w:themeShade="BF"/>
                <w:sz w:val="18"/>
                <w:szCs w:val="18"/>
                <w:lang w:val="el-GR"/>
              </w:rPr>
            </w:pPr>
            <w:r w:rsidRPr="008652EC">
              <w:rPr>
                <w:rFonts w:ascii="Verdana" w:hAnsi="Verdana" w:cs="Arial"/>
                <w:b/>
                <w:bCs/>
                <w:color w:val="2F5496" w:themeColor="accent1" w:themeShade="BF"/>
                <w:sz w:val="18"/>
                <w:szCs w:val="18"/>
                <w:lang w:val="el-GR"/>
              </w:rPr>
              <w:t>Ακαθάριστο Εγχώριο Προϊόν (ΑΕΠ)</w:t>
            </w:r>
          </w:p>
        </w:tc>
        <w:tc>
          <w:tcPr>
            <w:tcW w:w="236" w:type="dxa"/>
            <w:tcBorders>
              <w:top w:val="single" w:sz="4" w:space="0" w:color="2F5496" w:themeColor="accent1" w:themeShade="BF"/>
              <w:left w:val="nil"/>
              <w:bottom w:val="nil"/>
              <w:right w:val="nil"/>
            </w:tcBorders>
            <w:vAlign w:val="center"/>
          </w:tcPr>
          <w:p w14:paraId="6D9C7441" w14:textId="77777777" w:rsidR="000A1CBA" w:rsidRPr="008652EC" w:rsidRDefault="000A1CBA" w:rsidP="00A320F2">
            <w:pPr>
              <w:jc w:val="center"/>
              <w:rPr>
                <w:rFonts w:ascii="Verdana" w:hAnsi="Verdana" w:cs="Arial"/>
                <w:color w:val="2F5496" w:themeColor="accent1" w:themeShade="BF"/>
                <w:sz w:val="18"/>
                <w:szCs w:val="18"/>
                <w:lang w:val="el-GR"/>
              </w:rPr>
            </w:pPr>
          </w:p>
        </w:tc>
        <w:tc>
          <w:tcPr>
            <w:tcW w:w="4763" w:type="dxa"/>
            <w:gridSpan w:val="2"/>
            <w:tcBorders>
              <w:top w:val="single" w:sz="4" w:space="0" w:color="2F5496" w:themeColor="accent1" w:themeShade="BF"/>
              <w:left w:val="nil"/>
              <w:bottom w:val="single" w:sz="4" w:space="0" w:color="2F5496" w:themeColor="accent1" w:themeShade="BF"/>
              <w:right w:val="nil"/>
            </w:tcBorders>
            <w:vAlign w:val="center"/>
          </w:tcPr>
          <w:p w14:paraId="2F0FB53F" w14:textId="020CA386" w:rsidR="000A1CBA" w:rsidRPr="008652EC" w:rsidRDefault="000A1CBA" w:rsidP="00A320F2">
            <w:pPr>
              <w:jc w:val="center"/>
              <w:rPr>
                <w:rFonts w:ascii="Verdana" w:hAnsi="Verdana" w:cs="Arial"/>
                <w:b/>
                <w:bCs/>
                <w:color w:val="2F5496" w:themeColor="accent1" w:themeShade="BF"/>
                <w:sz w:val="18"/>
                <w:szCs w:val="18"/>
                <w:lang w:val="el-GR"/>
              </w:rPr>
            </w:pPr>
            <w:r w:rsidRPr="008652EC">
              <w:rPr>
                <w:rFonts w:ascii="Verdana" w:hAnsi="Verdana" w:cs="Arial"/>
                <w:b/>
                <w:bCs/>
                <w:color w:val="2F5496" w:themeColor="accent1" w:themeShade="BF"/>
                <w:sz w:val="18"/>
                <w:szCs w:val="18"/>
                <w:lang w:val="el-GR"/>
              </w:rPr>
              <w:t>ΑΕΠ Διορθωμένο ως προς τις Εποχικές Διακυμάνσεις και τις Εργάσιμες Μέρες</w:t>
            </w:r>
          </w:p>
        </w:tc>
      </w:tr>
      <w:tr w:rsidR="000A1CBA" w:rsidRPr="008652EC" w14:paraId="2C189934" w14:textId="77777777" w:rsidTr="00176F5C">
        <w:trPr>
          <w:trHeight w:val="1021"/>
          <w:jc w:val="center"/>
        </w:trPr>
        <w:tc>
          <w:tcPr>
            <w:tcW w:w="791" w:type="dxa"/>
            <w:vMerge/>
            <w:tcBorders>
              <w:top w:val="nil"/>
              <w:left w:val="nil"/>
              <w:bottom w:val="single" w:sz="4" w:space="0" w:color="2F5496" w:themeColor="accent1" w:themeShade="BF"/>
              <w:right w:val="nil"/>
            </w:tcBorders>
            <w:vAlign w:val="center"/>
          </w:tcPr>
          <w:p w14:paraId="54681BF4" w14:textId="5027CF1D" w:rsidR="000A1CBA" w:rsidRPr="008652EC" w:rsidRDefault="000A1CBA" w:rsidP="00A320F2">
            <w:pPr>
              <w:jc w:val="center"/>
              <w:rPr>
                <w:rFonts w:ascii="Verdana" w:hAnsi="Verdana" w:cs="Arial"/>
                <w:color w:val="2F5496" w:themeColor="accent1" w:themeShade="BF"/>
                <w:sz w:val="18"/>
                <w:szCs w:val="18"/>
                <w:lang w:val="el-GR"/>
              </w:rPr>
            </w:pPr>
          </w:p>
        </w:tc>
        <w:tc>
          <w:tcPr>
            <w:tcW w:w="1361" w:type="dxa"/>
            <w:vMerge/>
            <w:tcBorders>
              <w:top w:val="nil"/>
              <w:left w:val="nil"/>
              <w:bottom w:val="single" w:sz="4" w:space="0" w:color="2F5496" w:themeColor="accent1" w:themeShade="BF"/>
              <w:right w:val="nil"/>
            </w:tcBorders>
            <w:vAlign w:val="center"/>
          </w:tcPr>
          <w:p w14:paraId="390544DF" w14:textId="77749FEA" w:rsidR="000A1CBA" w:rsidRPr="008652EC" w:rsidRDefault="000A1CBA" w:rsidP="00A320F2">
            <w:pPr>
              <w:jc w:val="center"/>
              <w:rPr>
                <w:rFonts w:ascii="Verdana" w:hAnsi="Verdana" w:cs="Arial"/>
                <w:color w:val="2F5496" w:themeColor="accent1" w:themeShade="BF"/>
                <w:sz w:val="18"/>
                <w:szCs w:val="18"/>
                <w:lang w:val="el-GR"/>
              </w:rPr>
            </w:pPr>
          </w:p>
        </w:tc>
        <w:tc>
          <w:tcPr>
            <w:tcW w:w="2438" w:type="dxa"/>
            <w:tcBorders>
              <w:top w:val="single" w:sz="4" w:space="0" w:color="2F5496" w:themeColor="accent1" w:themeShade="BF"/>
              <w:left w:val="nil"/>
              <w:bottom w:val="single" w:sz="4" w:space="0" w:color="2F5496" w:themeColor="accent1" w:themeShade="BF"/>
              <w:right w:val="nil"/>
            </w:tcBorders>
            <w:vAlign w:val="center"/>
          </w:tcPr>
          <w:p w14:paraId="00533A93" w14:textId="4C10115D" w:rsidR="000A1CBA" w:rsidRPr="008652EC" w:rsidRDefault="000A1CBA" w:rsidP="00A320F2">
            <w:pPr>
              <w:jc w:val="center"/>
              <w:rPr>
                <w:rFonts w:ascii="Verdana" w:hAnsi="Verdana" w:cs="Arial"/>
                <w:color w:val="2F5496" w:themeColor="accent1" w:themeShade="BF"/>
                <w:sz w:val="18"/>
                <w:szCs w:val="18"/>
                <w:lang w:val="el-GR"/>
              </w:rPr>
            </w:pPr>
            <w:r w:rsidRPr="008652EC">
              <w:rPr>
                <w:rFonts w:ascii="Verdana" w:hAnsi="Verdana" w:cs="Arial"/>
                <w:color w:val="2F5496" w:themeColor="accent1" w:themeShade="BF"/>
                <w:sz w:val="18"/>
                <w:szCs w:val="18"/>
                <w:lang w:val="el-GR"/>
              </w:rPr>
              <w:t>Σύγκριση με το Αντίστοιχο Τρίμηνο του Προηγούμενου Έτους</w:t>
            </w:r>
          </w:p>
          <w:p w14:paraId="1A2FE1B3" w14:textId="7C0A24B8" w:rsidR="000A1CBA" w:rsidRPr="008652EC" w:rsidRDefault="000A1CBA" w:rsidP="00A320F2">
            <w:pPr>
              <w:jc w:val="center"/>
              <w:rPr>
                <w:rFonts w:ascii="Verdana" w:hAnsi="Verdana" w:cs="Arial"/>
                <w:color w:val="2F5496" w:themeColor="accent1" w:themeShade="BF"/>
                <w:sz w:val="18"/>
                <w:szCs w:val="18"/>
                <w:lang w:val="el-GR"/>
              </w:rPr>
            </w:pPr>
            <w:r w:rsidRPr="008652EC">
              <w:rPr>
                <w:rFonts w:ascii="Verdana" w:hAnsi="Verdana" w:cs="Arial"/>
                <w:color w:val="2F5496" w:themeColor="accent1" w:themeShade="BF"/>
                <w:sz w:val="18"/>
                <w:szCs w:val="18"/>
                <w:lang w:val="el-GR"/>
              </w:rPr>
              <w:t>(% μεταβολή)</w:t>
            </w:r>
          </w:p>
        </w:tc>
        <w:tc>
          <w:tcPr>
            <w:tcW w:w="236" w:type="dxa"/>
            <w:tcBorders>
              <w:top w:val="nil"/>
              <w:left w:val="nil"/>
              <w:bottom w:val="single" w:sz="4" w:space="0" w:color="2F5496" w:themeColor="accent1" w:themeShade="BF"/>
              <w:right w:val="nil"/>
            </w:tcBorders>
            <w:vAlign w:val="center"/>
          </w:tcPr>
          <w:p w14:paraId="6FE0E1B4" w14:textId="77777777" w:rsidR="000A1CBA" w:rsidRPr="008652EC" w:rsidRDefault="000A1CBA" w:rsidP="00A320F2">
            <w:pPr>
              <w:jc w:val="center"/>
              <w:rPr>
                <w:rFonts w:ascii="Verdana" w:hAnsi="Verdana" w:cs="Arial"/>
                <w:color w:val="2F5496" w:themeColor="accent1" w:themeShade="BF"/>
                <w:sz w:val="18"/>
                <w:szCs w:val="18"/>
                <w:lang w:val="el-GR"/>
              </w:rPr>
            </w:pPr>
          </w:p>
        </w:tc>
        <w:tc>
          <w:tcPr>
            <w:tcW w:w="2325" w:type="dxa"/>
            <w:tcBorders>
              <w:top w:val="single" w:sz="4" w:space="0" w:color="2F5496" w:themeColor="accent1" w:themeShade="BF"/>
              <w:left w:val="nil"/>
              <w:bottom w:val="single" w:sz="4" w:space="0" w:color="2F5496" w:themeColor="accent1" w:themeShade="BF"/>
              <w:right w:val="nil"/>
            </w:tcBorders>
            <w:vAlign w:val="center"/>
          </w:tcPr>
          <w:p w14:paraId="39F25CD4" w14:textId="2624E138" w:rsidR="000A1CBA" w:rsidRPr="008652EC" w:rsidRDefault="000A1CBA" w:rsidP="00A320F2">
            <w:pPr>
              <w:jc w:val="center"/>
              <w:rPr>
                <w:rFonts w:ascii="Verdana" w:hAnsi="Verdana" w:cs="Arial"/>
                <w:color w:val="2F5496" w:themeColor="accent1" w:themeShade="BF"/>
                <w:sz w:val="18"/>
                <w:szCs w:val="18"/>
                <w:lang w:val="el-GR"/>
              </w:rPr>
            </w:pPr>
            <w:r w:rsidRPr="008652EC">
              <w:rPr>
                <w:rFonts w:ascii="Verdana" w:hAnsi="Verdana" w:cs="Arial"/>
                <w:color w:val="2F5496" w:themeColor="accent1" w:themeShade="BF"/>
                <w:sz w:val="18"/>
                <w:szCs w:val="18"/>
                <w:lang w:val="el-GR"/>
              </w:rPr>
              <w:t>Σύγκριση με το Προηγούμενο Τρίμηνο (% μεταβολή)</w:t>
            </w:r>
          </w:p>
        </w:tc>
        <w:tc>
          <w:tcPr>
            <w:tcW w:w="2438" w:type="dxa"/>
            <w:tcBorders>
              <w:top w:val="single" w:sz="4" w:space="0" w:color="2F5496" w:themeColor="accent1" w:themeShade="BF"/>
              <w:left w:val="nil"/>
              <w:bottom w:val="single" w:sz="4" w:space="0" w:color="2F5496" w:themeColor="accent1" w:themeShade="BF"/>
              <w:right w:val="nil"/>
            </w:tcBorders>
            <w:vAlign w:val="center"/>
          </w:tcPr>
          <w:p w14:paraId="6470B41A" w14:textId="77777777" w:rsidR="000A1CBA" w:rsidRPr="008652EC" w:rsidRDefault="000A1CBA" w:rsidP="00A320F2">
            <w:pPr>
              <w:jc w:val="center"/>
              <w:rPr>
                <w:rFonts w:ascii="Verdana" w:hAnsi="Verdana" w:cs="Arial"/>
                <w:color w:val="2F5496" w:themeColor="accent1" w:themeShade="BF"/>
                <w:sz w:val="18"/>
                <w:szCs w:val="18"/>
                <w:lang w:val="el-GR"/>
              </w:rPr>
            </w:pPr>
            <w:r w:rsidRPr="008652EC">
              <w:rPr>
                <w:rFonts w:ascii="Verdana" w:hAnsi="Verdana" w:cs="Arial"/>
                <w:color w:val="2F5496" w:themeColor="accent1" w:themeShade="BF"/>
                <w:sz w:val="18"/>
                <w:szCs w:val="18"/>
                <w:lang w:val="el-GR"/>
              </w:rPr>
              <w:t>Σύγκριση με το Αντίστοιχο Τρίμηνο του Προηγούμενου Έτους</w:t>
            </w:r>
          </w:p>
          <w:p w14:paraId="21E011D3" w14:textId="52BA39C3" w:rsidR="000A1CBA" w:rsidRPr="008652EC" w:rsidRDefault="000A1CBA" w:rsidP="00A320F2">
            <w:pPr>
              <w:jc w:val="center"/>
              <w:rPr>
                <w:rFonts w:ascii="Verdana" w:hAnsi="Verdana" w:cs="Arial"/>
                <w:color w:val="2F5496" w:themeColor="accent1" w:themeShade="BF"/>
                <w:sz w:val="18"/>
                <w:szCs w:val="18"/>
                <w:lang w:val="el-GR"/>
              </w:rPr>
            </w:pPr>
            <w:r w:rsidRPr="008652EC">
              <w:rPr>
                <w:rFonts w:ascii="Verdana" w:hAnsi="Verdana" w:cs="Arial"/>
                <w:color w:val="2F5496" w:themeColor="accent1" w:themeShade="BF"/>
                <w:sz w:val="18"/>
                <w:szCs w:val="18"/>
                <w:lang w:val="el-GR"/>
              </w:rPr>
              <w:t>(% μεταβολή)</w:t>
            </w:r>
          </w:p>
        </w:tc>
      </w:tr>
      <w:tr w:rsidR="006D53CD" w:rsidRPr="008652EC" w14:paraId="09DC7839" w14:textId="77777777" w:rsidTr="00176F5C">
        <w:trPr>
          <w:trHeight w:val="454"/>
          <w:jc w:val="center"/>
        </w:trPr>
        <w:tc>
          <w:tcPr>
            <w:tcW w:w="791" w:type="dxa"/>
            <w:tcBorders>
              <w:top w:val="single" w:sz="4" w:space="0" w:color="2F5496" w:themeColor="accent1" w:themeShade="BF"/>
              <w:left w:val="nil"/>
              <w:bottom w:val="nil"/>
              <w:right w:val="nil"/>
            </w:tcBorders>
            <w:vAlign w:val="center"/>
          </w:tcPr>
          <w:p w14:paraId="46BA39A8" w14:textId="7CB260B3" w:rsidR="006D53CD" w:rsidRPr="008652EC" w:rsidRDefault="006D53CD" w:rsidP="006D53CD">
            <w:pPr>
              <w:rPr>
                <w:rFonts w:ascii="Verdana" w:hAnsi="Verdana" w:cs="Arial"/>
                <w:b/>
                <w:bCs/>
                <w:color w:val="2F5496" w:themeColor="accent1" w:themeShade="BF"/>
                <w:sz w:val="18"/>
                <w:szCs w:val="18"/>
                <w:lang w:val="el-GR"/>
              </w:rPr>
            </w:pPr>
            <w:r w:rsidRPr="008652EC">
              <w:rPr>
                <w:rFonts w:ascii="Verdana" w:hAnsi="Verdana" w:cs="Arial"/>
                <w:b/>
                <w:bCs/>
                <w:color w:val="2F5496" w:themeColor="accent1" w:themeShade="BF"/>
                <w:sz w:val="18"/>
                <w:szCs w:val="18"/>
                <w:lang w:val="el-GR"/>
              </w:rPr>
              <w:t>2023</w:t>
            </w:r>
          </w:p>
        </w:tc>
        <w:tc>
          <w:tcPr>
            <w:tcW w:w="1361" w:type="dxa"/>
            <w:tcBorders>
              <w:top w:val="single" w:sz="4" w:space="0" w:color="2F5496" w:themeColor="accent1" w:themeShade="BF"/>
              <w:left w:val="nil"/>
              <w:bottom w:val="nil"/>
              <w:right w:val="nil"/>
            </w:tcBorders>
            <w:vAlign w:val="center"/>
          </w:tcPr>
          <w:p w14:paraId="7142ACBB" w14:textId="37CC802B" w:rsidR="006D53CD" w:rsidRPr="008652EC" w:rsidRDefault="006D53CD" w:rsidP="006D53CD">
            <w:pPr>
              <w:jc w:val="center"/>
              <w:rPr>
                <w:rFonts w:ascii="Verdana" w:hAnsi="Verdana" w:cs="Arial"/>
                <w:color w:val="2F5496" w:themeColor="accent1" w:themeShade="BF"/>
                <w:sz w:val="18"/>
                <w:szCs w:val="18"/>
                <w:lang w:val="el-GR"/>
              </w:rPr>
            </w:pPr>
            <w:r w:rsidRPr="008652EC">
              <w:rPr>
                <w:rFonts w:ascii="Verdana" w:hAnsi="Verdana" w:cs="Arial"/>
                <w:color w:val="2F5496" w:themeColor="accent1" w:themeShade="BF"/>
                <w:sz w:val="18"/>
                <w:szCs w:val="18"/>
                <w:lang w:val="el-GR"/>
              </w:rPr>
              <w:t>2ο Τρίμηνο</w:t>
            </w:r>
          </w:p>
        </w:tc>
        <w:tc>
          <w:tcPr>
            <w:tcW w:w="2438" w:type="dxa"/>
            <w:tcBorders>
              <w:top w:val="single" w:sz="4" w:space="0" w:color="2F5496" w:themeColor="accent1" w:themeShade="BF"/>
              <w:left w:val="nil"/>
              <w:bottom w:val="nil"/>
              <w:right w:val="nil"/>
            </w:tcBorders>
            <w:vAlign w:val="center"/>
          </w:tcPr>
          <w:p w14:paraId="25E985CF" w14:textId="6A79F51D" w:rsidR="006D53CD" w:rsidRPr="008652EC" w:rsidRDefault="006D53CD" w:rsidP="006D53CD">
            <w:pPr>
              <w:ind w:right="907"/>
              <w:jc w:val="right"/>
              <w:rPr>
                <w:rFonts w:ascii="Verdana" w:hAnsi="Verdana" w:cs="Arial"/>
                <w:color w:val="2F5496" w:themeColor="accent1" w:themeShade="BF"/>
                <w:sz w:val="18"/>
                <w:szCs w:val="18"/>
              </w:rPr>
            </w:pPr>
            <w:r w:rsidRPr="008652EC">
              <w:rPr>
                <w:rFonts w:ascii="Verdana" w:hAnsi="Verdana" w:cs="Arial"/>
                <w:color w:val="2F5496" w:themeColor="accent1" w:themeShade="BF"/>
                <w:sz w:val="18"/>
                <w:szCs w:val="18"/>
              </w:rPr>
              <w:t>2,2</w:t>
            </w:r>
          </w:p>
        </w:tc>
        <w:tc>
          <w:tcPr>
            <w:tcW w:w="236" w:type="dxa"/>
            <w:tcBorders>
              <w:top w:val="single" w:sz="4" w:space="0" w:color="2F5496" w:themeColor="accent1" w:themeShade="BF"/>
              <w:left w:val="nil"/>
              <w:bottom w:val="nil"/>
              <w:right w:val="nil"/>
            </w:tcBorders>
          </w:tcPr>
          <w:p w14:paraId="2477D51A" w14:textId="77777777" w:rsidR="006D53CD" w:rsidRPr="008652EC" w:rsidRDefault="006D53CD" w:rsidP="006D53CD">
            <w:pPr>
              <w:jc w:val="both"/>
              <w:rPr>
                <w:rFonts w:ascii="Verdana" w:hAnsi="Verdana" w:cs="Arial"/>
                <w:color w:val="2F5496" w:themeColor="accent1" w:themeShade="BF"/>
                <w:sz w:val="18"/>
                <w:szCs w:val="18"/>
                <w:lang w:val="el-GR"/>
              </w:rPr>
            </w:pPr>
          </w:p>
        </w:tc>
        <w:tc>
          <w:tcPr>
            <w:tcW w:w="2325" w:type="dxa"/>
            <w:tcBorders>
              <w:top w:val="single" w:sz="4" w:space="0" w:color="2F5496" w:themeColor="accent1" w:themeShade="BF"/>
              <w:left w:val="nil"/>
              <w:bottom w:val="nil"/>
              <w:right w:val="nil"/>
            </w:tcBorders>
            <w:vAlign w:val="center"/>
          </w:tcPr>
          <w:p w14:paraId="0ABF240E" w14:textId="3D271271" w:rsidR="006D53CD" w:rsidRPr="008652EC" w:rsidRDefault="006D53CD" w:rsidP="006D53CD">
            <w:pPr>
              <w:ind w:right="907"/>
              <w:jc w:val="right"/>
              <w:rPr>
                <w:rFonts w:ascii="Verdana" w:hAnsi="Verdana" w:cs="Arial"/>
                <w:color w:val="2F5496" w:themeColor="accent1" w:themeShade="BF"/>
                <w:sz w:val="18"/>
                <w:szCs w:val="18"/>
              </w:rPr>
            </w:pPr>
            <w:r w:rsidRPr="008652EC">
              <w:rPr>
                <w:rFonts w:ascii="Verdana" w:hAnsi="Verdana" w:cs="Arial"/>
                <w:color w:val="2F5496" w:themeColor="accent1" w:themeShade="BF"/>
                <w:sz w:val="18"/>
                <w:szCs w:val="18"/>
              </w:rPr>
              <w:t>0,3</w:t>
            </w:r>
          </w:p>
        </w:tc>
        <w:tc>
          <w:tcPr>
            <w:tcW w:w="2438" w:type="dxa"/>
            <w:tcBorders>
              <w:top w:val="single" w:sz="4" w:space="0" w:color="2F5496" w:themeColor="accent1" w:themeShade="BF"/>
              <w:left w:val="nil"/>
              <w:bottom w:val="nil"/>
              <w:right w:val="nil"/>
            </w:tcBorders>
            <w:vAlign w:val="center"/>
          </w:tcPr>
          <w:p w14:paraId="61D6D5FF" w14:textId="2C51335C" w:rsidR="006D53CD" w:rsidRPr="008652EC" w:rsidRDefault="006D53CD" w:rsidP="006D53CD">
            <w:pPr>
              <w:ind w:right="907"/>
              <w:jc w:val="right"/>
              <w:rPr>
                <w:rFonts w:ascii="Verdana" w:hAnsi="Verdana" w:cs="Arial"/>
                <w:color w:val="2F5496" w:themeColor="accent1" w:themeShade="BF"/>
                <w:sz w:val="18"/>
                <w:szCs w:val="18"/>
              </w:rPr>
            </w:pPr>
            <w:r w:rsidRPr="008652EC">
              <w:rPr>
                <w:rFonts w:ascii="Verdana" w:hAnsi="Verdana" w:cs="Arial"/>
                <w:color w:val="2F5496" w:themeColor="accent1" w:themeShade="BF"/>
                <w:sz w:val="18"/>
                <w:szCs w:val="18"/>
              </w:rPr>
              <w:t>2,4</w:t>
            </w:r>
          </w:p>
        </w:tc>
      </w:tr>
      <w:tr w:rsidR="006D53CD" w:rsidRPr="008652EC" w14:paraId="2C9B2CD5" w14:textId="77777777" w:rsidTr="00176F5C">
        <w:trPr>
          <w:trHeight w:val="454"/>
          <w:jc w:val="center"/>
        </w:trPr>
        <w:tc>
          <w:tcPr>
            <w:tcW w:w="791" w:type="dxa"/>
            <w:tcBorders>
              <w:top w:val="nil"/>
              <w:left w:val="nil"/>
              <w:bottom w:val="nil"/>
              <w:right w:val="nil"/>
            </w:tcBorders>
            <w:vAlign w:val="center"/>
          </w:tcPr>
          <w:p w14:paraId="5A8CED91" w14:textId="09F64E0F" w:rsidR="006D53CD" w:rsidRPr="008652EC" w:rsidRDefault="006D53CD" w:rsidP="006D53CD">
            <w:pPr>
              <w:rPr>
                <w:rFonts w:ascii="Verdana" w:hAnsi="Verdana" w:cs="Arial"/>
                <w:color w:val="2F5496" w:themeColor="accent1" w:themeShade="BF"/>
                <w:sz w:val="18"/>
                <w:szCs w:val="18"/>
                <w:lang w:val="el-GR"/>
              </w:rPr>
            </w:pPr>
          </w:p>
        </w:tc>
        <w:tc>
          <w:tcPr>
            <w:tcW w:w="1361" w:type="dxa"/>
            <w:tcBorders>
              <w:top w:val="nil"/>
              <w:left w:val="nil"/>
              <w:bottom w:val="nil"/>
              <w:right w:val="nil"/>
            </w:tcBorders>
            <w:vAlign w:val="center"/>
          </w:tcPr>
          <w:p w14:paraId="6B82BBD3" w14:textId="1681947E" w:rsidR="006D53CD" w:rsidRPr="008652EC" w:rsidRDefault="006D53CD" w:rsidP="006D53CD">
            <w:pPr>
              <w:jc w:val="center"/>
              <w:rPr>
                <w:rFonts w:ascii="Verdana" w:hAnsi="Verdana" w:cs="Arial"/>
                <w:color w:val="2F5496" w:themeColor="accent1" w:themeShade="BF"/>
                <w:sz w:val="18"/>
                <w:szCs w:val="18"/>
                <w:lang w:val="el-GR"/>
              </w:rPr>
            </w:pPr>
            <w:r w:rsidRPr="008652EC">
              <w:rPr>
                <w:rFonts w:ascii="Verdana" w:hAnsi="Verdana" w:cs="Arial"/>
                <w:color w:val="2F5496" w:themeColor="accent1" w:themeShade="BF"/>
                <w:sz w:val="18"/>
                <w:szCs w:val="18"/>
                <w:lang w:val="el-GR"/>
              </w:rPr>
              <w:t>3ο Τρίμηνο</w:t>
            </w:r>
          </w:p>
        </w:tc>
        <w:tc>
          <w:tcPr>
            <w:tcW w:w="2438" w:type="dxa"/>
            <w:tcBorders>
              <w:top w:val="nil"/>
              <w:left w:val="nil"/>
              <w:bottom w:val="nil"/>
              <w:right w:val="nil"/>
            </w:tcBorders>
            <w:vAlign w:val="center"/>
          </w:tcPr>
          <w:p w14:paraId="116C79ED" w14:textId="7053EE69" w:rsidR="006D53CD" w:rsidRPr="008652EC" w:rsidRDefault="006D53CD" w:rsidP="006D53CD">
            <w:pPr>
              <w:ind w:right="907"/>
              <w:jc w:val="right"/>
              <w:rPr>
                <w:rFonts w:ascii="Verdana" w:hAnsi="Verdana" w:cs="Arial"/>
                <w:color w:val="2F5496" w:themeColor="accent1" w:themeShade="BF"/>
                <w:sz w:val="18"/>
                <w:szCs w:val="18"/>
              </w:rPr>
            </w:pPr>
            <w:r w:rsidRPr="008652EC">
              <w:rPr>
                <w:rFonts w:ascii="Verdana" w:hAnsi="Verdana" w:cs="Arial"/>
                <w:color w:val="2F5496" w:themeColor="accent1" w:themeShade="BF"/>
                <w:sz w:val="18"/>
                <w:szCs w:val="18"/>
              </w:rPr>
              <w:t>2,6</w:t>
            </w:r>
          </w:p>
        </w:tc>
        <w:tc>
          <w:tcPr>
            <w:tcW w:w="236" w:type="dxa"/>
            <w:tcBorders>
              <w:top w:val="nil"/>
              <w:left w:val="nil"/>
              <w:bottom w:val="nil"/>
              <w:right w:val="nil"/>
            </w:tcBorders>
          </w:tcPr>
          <w:p w14:paraId="6DFF3A0E" w14:textId="77777777" w:rsidR="006D53CD" w:rsidRPr="008652EC" w:rsidRDefault="006D53CD" w:rsidP="006D53CD">
            <w:pPr>
              <w:jc w:val="both"/>
              <w:rPr>
                <w:rFonts w:ascii="Verdana" w:hAnsi="Verdana" w:cs="Arial"/>
                <w:color w:val="2F5496" w:themeColor="accent1" w:themeShade="BF"/>
                <w:sz w:val="18"/>
                <w:szCs w:val="18"/>
                <w:lang w:val="el-GR"/>
              </w:rPr>
            </w:pPr>
          </w:p>
        </w:tc>
        <w:tc>
          <w:tcPr>
            <w:tcW w:w="2325" w:type="dxa"/>
            <w:tcBorders>
              <w:top w:val="nil"/>
              <w:left w:val="nil"/>
              <w:bottom w:val="nil"/>
              <w:right w:val="nil"/>
            </w:tcBorders>
            <w:vAlign w:val="center"/>
          </w:tcPr>
          <w:p w14:paraId="098E3EB6" w14:textId="33E25810" w:rsidR="006D53CD" w:rsidRPr="008652EC" w:rsidRDefault="006D53CD" w:rsidP="006D53CD">
            <w:pPr>
              <w:ind w:right="907"/>
              <w:jc w:val="right"/>
              <w:rPr>
                <w:rFonts w:ascii="Verdana" w:hAnsi="Verdana" w:cs="Arial"/>
                <w:color w:val="2F5496" w:themeColor="accent1" w:themeShade="BF"/>
                <w:sz w:val="18"/>
                <w:szCs w:val="18"/>
              </w:rPr>
            </w:pPr>
            <w:r w:rsidRPr="008652EC">
              <w:rPr>
                <w:rFonts w:ascii="Verdana" w:hAnsi="Verdana" w:cs="Arial"/>
                <w:color w:val="2F5496" w:themeColor="accent1" w:themeShade="BF"/>
                <w:sz w:val="18"/>
                <w:szCs w:val="18"/>
              </w:rPr>
              <w:t>1,1</w:t>
            </w:r>
          </w:p>
        </w:tc>
        <w:tc>
          <w:tcPr>
            <w:tcW w:w="2438" w:type="dxa"/>
            <w:tcBorders>
              <w:top w:val="nil"/>
              <w:left w:val="nil"/>
              <w:bottom w:val="nil"/>
              <w:right w:val="nil"/>
            </w:tcBorders>
            <w:vAlign w:val="center"/>
          </w:tcPr>
          <w:p w14:paraId="310875C7" w14:textId="32FDD03D" w:rsidR="006D53CD" w:rsidRPr="008652EC" w:rsidRDefault="006D53CD" w:rsidP="006D53CD">
            <w:pPr>
              <w:ind w:right="907"/>
              <w:jc w:val="right"/>
              <w:rPr>
                <w:rFonts w:ascii="Verdana" w:hAnsi="Verdana" w:cs="Arial"/>
                <w:color w:val="2F5496" w:themeColor="accent1" w:themeShade="BF"/>
                <w:sz w:val="18"/>
                <w:szCs w:val="18"/>
              </w:rPr>
            </w:pPr>
            <w:r w:rsidRPr="008652EC">
              <w:rPr>
                <w:rFonts w:ascii="Verdana" w:hAnsi="Verdana" w:cs="Arial"/>
                <w:color w:val="2F5496" w:themeColor="accent1" w:themeShade="BF"/>
                <w:sz w:val="18"/>
                <w:szCs w:val="18"/>
              </w:rPr>
              <w:t>2,4</w:t>
            </w:r>
          </w:p>
        </w:tc>
      </w:tr>
      <w:tr w:rsidR="006D53CD" w:rsidRPr="008652EC" w14:paraId="39FD0FF3" w14:textId="77777777" w:rsidTr="00176F5C">
        <w:trPr>
          <w:trHeight w:val="454"/>
          <w:jc w:val="center"/>
        </w:trPr>
        <w:tc>
          <w:tcPr>
            <w:tcW w:w="791" w:type="dxa"/>
            <w:tcBorders>
              <w:top w:val="nil"/>
              <w:left w:val="nil"/>
              <w:bottom w:val="nil"/>
              <w:right w:val="nil"/>
            </w:tcBorders>
            <w:vAlign w:val="center"/>
          </w:tcPr>
          <w:p w14:paraId="5813C38A" w14:textId="68927246" w:rsidR="006D53CD" w:rsidRPr="008652EC" w:rsidRDefault="006D53CD" w:rsidP="006D53CD">
            <w:pPr>
              <w:rPr>
                <w:rFonts w:ascii="Verdana" w:hAnsi="Verdana" w:cs="Arial"/>
                <w:color w:val="2F5496" w:themeColor="accent1" w:themeShade="BF"/>
                <w:sz w:val="18"/>
                <w:szCs w:val="18"/>
                <w:lang w:val="el-GR"/>
              </w:rPr>
            </w:pPr>
          </w:p>
        </w:tc>
        <w:tc>
          <w:tcPr>
            <w:tcW w:w="1361" w:type="dxa"/>
            <w:tcBorders>
              <w:top w:val="nil"/>
              <w:left w:val="nil"/>
              <w:bottom w:val="nil"/>
              <w:right w:val="nil"/>
            </w:tcBorders>
            <w:vAlign w:val="center"/>
          </w:tcPr>
          <w:p w14:paraId="09416F03" w14:textId="69EDA40E" w:rsidR="006D53CD" w:rsidRPr="008652EC" w:rsidRDefault="006D53CD" w:rsidP="006D53CD">
            <w:pPr>
              <w:jc w:val="center"/>
              <w:rPr>
                <w:rFonts w:ascii="Verdana" w:hAnsi="Verdana" w:cs="Arial"/>
                <w:color w:val="2F5496" w:themeColor="accent1" w:themeShade="BF"/>
                <w:sz w:val="18"/>
                <w:szCs w:val="18"/>
                <w:lang w:val="el-GR"/>
              </w:rPr>
            </w:pPr>
            <w:r w:rsidRPr="008652EC">
              <w:rPr>
                <w:rFonts w:ascii="Verdana" w:hAnsi="Verdana" w:cs="Arial"/>
                <w:color w:val="2F5496" w:themeColor="accent1" w:themeShade="BF"/>
                <w:sz w:val="18"/>
                <w:szCs w:val="18"/>
                <w:lang w:val="el-GR"/>
              </w:rPr>
              <w:t>4ο Τρίμηνο</w:t>
            </w:r>
          </w:p>
        </w:tc>
        <w:tc>
          <w:tcPr>
            <w:tcW w:w="2438" w:type="dxa"/>
            <w:tcBorders>
              <w:top w:val="nil"/>
              <w:left w:val="nil"/>
              <w:bottom w:val="nil"/>
              <w:right w:val="nil"/>
            </w:tcBorders>
            <w:vAlign w:val="center"/>
          </w:tcPr>
          <w:p w14:paraId="2E4C6C74" w14:textId="702B9363" w:rsidR="006D53CD" w:rsidRPr="008652EC" w:rsidRDefault="006D53CD" w:rsidP="006D53CD">
            <w:pPr>
              <w:ind w:right="907"/>
              <w:jc w:val="right"/>
              <w:rPr>
                <w:rFonts w:ascii="Verdana" w:hAnsi="Verdana" w:cs="Arial"/>
                <w:color w:val="2F5496" w:themeColor="accent1" w:themeShade="BF"/>
                <w:sz w:val="18"/>
                <w:szCs w:val="18"/>
              </w:rPr>
            </w:pPr>
            <w:r w:rsidRPr="008652EC">
              <w:rPr>
                <w:rFonts w:ascii="Verdana" w:hAnsi="Verdana" w:cs="Arial"/>
                <w:color w:val="2F5496" w:themeColor="accent1" w:themeShade="BF"/>
                <w:sz w:val="18"/>
                <w:szCs w:val="18"/>
              </w:rPr>
              <w:t>2,1</w:t>
            </w:r>
          </w:p>
        </w:tc>
        <w:tc>
          <w:tcPr>
            <w:tcW w:w="236" w:type="dxa"/>
            <w:tcBorders>
              <w:top w:val="nil"/>
              <w:left w:val="nil"/>
              <w:bottom w:val="nil"/>
              <w:right w:val="nil"/>
            </w:tcBorders>
          </w:tcPr>
          <w:p w14:paraId="3D97B22E" w14:textId="77777777" w:rsidR="006D53CD" w:rsidRPr="008652EC" w:rsidRDefault="006D53CD" w:rsidP="006D53CD">
            <w:pPr>
              <w:jc w:val="both"/>
              <w:rPr>
                <w:rFonts w:ascii="Verdana" w:hAnsi="Verdana" w:cs="Arial"/>
                <w:color w:val="2F5496" w:themeColor="accent1" w:themeShade="BF"/>
                <w:sz w:val="18"/>
                <w:szCs w:val="18"/>
                <w:lang w:val="el-GR"/>
              </w:rPr>
            </w:pPr>
          </w:p>
        </w:tc>
        <w:tc>
          <w:tcPr>
            <w:tcW w:w="2325" w:type="dxa"/>
            <w:tcBorders>
              <w:top w:val="nil"/>
              <w:left w:val="nil"/>
              <w:bottom w:val="nil"/>
              <w:right w:val="nil"/>
            </w:tcBorders>
            <w:vAlign w:val="center"/>
          </w:tcPr>
          <w:p w14:paraId="44E977FB" w14:textId="4E324EBA" w:rsidR="006D53CD" w:rsidRPr="008652EC" w:rsidRDefault="006D53CD" w:rsidP="006D53CD">
            <w:pPr>
              <w:ind w:right="907"/>
              <w:jc w:val="right"/>
              <w:rPr>
                <w:rFonts w:ascii="Verdana" w:hAnsi="Verdana" w:cs="Arial"/>
                <w:color w:val="2F5496" w:themeColor="accent1" w:themeShade="BF"/>
                <w:sz w:val="18"/>
                <w:szCs w:val="18"/>
              </w:rPr>
            </w:pPr>
            <w:r w:rsidRPr="008652EC">
              <w:rPr>
                <w:rFonts w:ascii="Verdana" w:hAnsi="Verdana" w:cs="Arial"/>
                <w:color w:val="2F5496" w:themeColor="accent1" w:themeShade="BF"/>
                <w:sz w:val="18"/>
                <w:szCs w:val="18"/>
              </w:rPr>
              <w:t>0,9</w:t>
            </w:r>
          </w:p>
        </w:tc>
        <w:tc>
          <w:tcPr>
            <w:tcW w:w="2438" w:type="dxa"/>
            <w:tcBorders>
              <w:top w:val="nil"/>
              <w:left w:val="nil"/>
              <w:bottom w:val="nil"/>
              <w:right w:val="nil"/>
            </w:tcBorders>
            <w:vAlign w:val="center"/>
          </w:tcPr>
          <w:p w14:paraId="4BACA9DB" w14:textId="41EB645D" w:rsidR="006D53CD" w:rsidRPr="008652EC" w:rsidRDefault="006D53CD" w:rsidP="006D53CD">
            <w:pPr>
              <w:ind w:right="907"/>
              <w:jc w:val="right"/>
              <w:rPr>
                <w:rFonts w:ascii="Verdana" w:hAnsi="Verdana" w:cs="Arial"/>
                <w:color w:val="2F5496" w:themeColor="accent1" w:themeShade="BF"/>
                <w:sz w:val="18"/>
                <w:szCs w:val="18"/>
              </w:rPr>
            </w:pPr>
            <w:r w:rsidRPr="008652EC">
              <w:rPr>
                <w:rFonts w:ascii="Verdana" w:hAnsi="Verdana" w:cs="Arial"/>
                <w:color w:val="2F5496" w:themeColor="accent1" w:themeShade="BF"/>
                <w:sz w:val="18"/>
                <w:szCs w:val="18"/>
              </w:rPr>
              <w:t>2,2</w:t>
            </w:r>
          </w:p>
        </w:tc>
      </w:tr>
      <w:tr w:rsidR="006D53CD" w:rsidRPr="008652EC" w14:paraId="6F9DAD1C" w14:textId="77777777" w:rsidTr="00176F5C">
        <w:trPr>
          <w:trHeight w:val="454"/>
          <w:jc w:val="center"/>
        </w:trPr>
        <w:tc>
          <w:tcPr>
            <w:tcW w:w="791" w:type="dxa"/>
            <w:tcBorders>
              <w:top w:val="nil"/>
              <w:left w:val="nil"/>
              <w:bottom w:val="nil"/>
              <w:right w:val="nil"/>
            </w:tcBorders>
            <w:vAlign w:val="center"/>
          </w:tcPr>
          <w:p w14:paraId="2A834300" w14:textId="6484E5E2" w:rsidR="006D53CD" w:rsidRPr="008652EC" w:rsidRDefault="006D53CD" w:rsidP="006D53CD">
            <w:pPr>
              <w:rPr>
                <w:rFonts w:ascii="Verdana" w:hAnsi="Verdana" w:cs="Arial"/>
                <w:color w:val="2F5496" w:themeColor="accent1" w:themeShade="BF"/>
                <w:sz w:val="18"/>
                <w:szCs w:val="18"/>
                <w:lang w:val="el-GR"/>
              </w:rPr>
            </w:pPr>
            <w:r w:rsidRPr="008652EC">
              <w:rPr>
                <w:rFonts w:ascii="Verdana" w:hAnsi="Verdana" w:cs="Arial"/>
                <w:b/>
                <w:bCs/>
                <w:color w:val="2F5496" w:themeColor="accent1" w:themeShade="BF"/>
                <w:sz w:val="18"/>
                <w:szCs w:val="18"/>
                <w:lang w:val="el-GR"/>
              </w:rPr>
              <w:t>2024</w:t>
            </w:r>
          </w:p>
        </w:tc>
        <w:tc>
          <w:tcPr>
            <w:tcW w:w="1361" w:type="dxa"/>
            <w:tcBorders>
              <w:top w:val="nil"/>
              <w:left w:val="nil"/>
              <w:bottom w:val="nil"/>
              <w:right w:val="nil"/>
            </w:tcBorders>
            <w:vAlign w:val="center"/>
          </w:tcPr>
          <w:p w14:paraId="08AE3198" w14:textId="519C161D" w:rsidR="006D53CD" w:rsidRPr="008652EC" w:rsidRDefault="006D53CD" w:rsidP="006D53CD">
            <w:pPr>
              <w:jc w:val="center"/>
              <w:rPr>
                <w:rFonts w:ascii="Verdana" w:hAnsi="Verdana" w:cs="Arial"/>
                <w:color w:val="2F5496" w:themeColor="accent1" w:themeShade="BF"/>
                <w:sz w:val="18"/>
                <w:szCs w:val="18"/>
                <w:lang w:val="el-GR"/>
              </w:rPr>
            </w:pPr>
            <w:r w:rsidRPr="008652EC">
              <w:rPr>
                <w:rFonts w:ascii="Verdana" w:hAnsi="Verdana" w:cs="Arial"/>
                <w:color w:val="2F5496" w:themeColor="accent1" w:themeShade="BF"/>
                <w:sz w:val="18"/>
                <w:szCs w:val="18"/>
                <w:lang w:val="el-GR"/>
              </w:rPr>
              <w:t>1ο Τρίμηνο</w:t>
            </w:r>
          </w:p>
        </w:tc>
        <w:tc>
          <w:tcPr>
            <w:tcW w:w="2438" w:type="dxa"/>
            <w:tcBorders>
              <w:top w:val="nil"/>
              <w:left w:val="nil"/>
              <w:bottom w:val="nil"/>
              <w:right w:val="nil"/>
            </w:tcBorders>
            <w:vAlign w:val="center"/>
          </w:tcPr>
          <w:p w14:paraId="1DB1387D" w14:textId="00750F2A" w:rsidR="006D53CD" w:rsidRPr="008652EC" w:rsidRDefault="006D53CD" w:rsidP="006D53CD">
            <w:pPr>
              <w:ind w:right="907"/>
              <w:jc w:val="right"/>
              <w:rPr>
                <w:rFonts w:ascii="Verdana" w:hAnsi="Verdana" w:cs="Arial"/>
                <w:color w:val="2F5496" w:themeColor="accent1" w:themeShade="BF"/>
                <w:sz w:val="18"/>
                <w:szCs w:val="18"/>
              </w:rPr>
            </w:pPr>
            <w:r w:rsidRPr="008652EC">
              <w:rPr>
                <w:rFonts w:ascii="Verdana" w:hAnsi="Verdana" w:cs="Arial"/>
                <w:color w:val="2F5496" w:themeColor="accent1" w:themeShade="BF"/>
                <w:sz w:val="18"/>
                <w:szCs w:val="18"/>
              </w:rPr>
              <w:t>3,5</w:t>
            </w:r>
          </w:p>
        </w:tc>
        <w:tc>
          <w:tcPr>
            <w:tcW w:w="236" w:type="dxa"/>
            <w:tcBorders>
              <w:top w:val="nil"/>
              <w:left w:val="nil"/>
              <w:bottom w:val="nil"/>
              <w:right w:val="nil"/>
            </w:tcBorders>
          </w:tcPr>
          <w:p w14:paraId="32D0C397" w14:textId="77777777" w:rsidR="006D53CD" w:rsidRPr="008652EC" w:rsidRDefault="006D53CD" w:rsidP="006D53CD">
            <w:pPr>
              <w:jc w:val="both"/>
              <w:rPr>
                <w:rFonts w:ascii="Verdana" w:hAnsi="Verdana" w:cs="Arial"/>
                <w:color w:val="2F5496" w:themeColor="accent1" w:themeShade="BF"/>
                <w:sz w:val="18"/>
                <w:szCs w:val="18"/>
                <w:lang w:val="el-GR"/>
              </w:rPr>
            </w:pPr>
          </w:p>
        </w:tc>
        <w:tc>
          <w:tcPr>
            <w:tcW w:w="2325" w:type="dxa"/>
            <w:tcBorders>
              <w:top w:val="nil"/>
              <w:left w:val="nil"/>
              <w:bottom w:val="nil"/>
              <w:right w:val="nil"/>
            </w:tcBorders>
            <w:vAlign w:val="center"/>
          </w:tcPr>
          <w:p w14:paraId="0DEC49D5" w14:textId="166C3D01" w:rsidR="006D53CD" w:rsidRPr="008652EC" w:rsidRDefault="006D53CD" w:rsidP="006D53CD">
            <w:pPr>
              <w:ind w:right="907"/>
              <w:jc w:val="right"/>
              <w:rPr>
                <w:rFonts w:ascii="Verdana" w:hAnsi="Verdana" w:cs="Arial"/>
                <w:color w:val="2F5496" w:themeColor="accent1" w:themeShade="BF"/>
                <w:sz w:val="18"/>
                <w:szCs w:val="18"/>
              </w:rPr>
            </w:pPr>
            <w:r w:rsidRPr="008652EC">
              <w:rPr>
                <w:rFonts w:ascii="Verdana" w:hAnsi="Verdana" w:cs="Arial"/>
                <w:color w:val="2F5496" w:themeColor="accent1" w:themeShade="BF"/>
                <w:sz w:val="18"/>
                <w:szCs w:val="18"/>
              </w:rPr>
              <w:t>1,0</w:t>
            </w:r>
          </w:p>
        </w:tc>
        <w:tc>
          <w:tcPr>
            <w:tcW w:w="2438" w:type="dxa"/>
            <w:tcBorders>
              <w:top w:val="nil"/>
              <w:left w:val="nil"/>
              <w:bottom w:val="nil"/>
              <w:right w:val="nil"/>
            </w:tcBorders>
            <w:vAlign w:val="center"/>
          </w:tcPr>
          <w:p w14:paraId="3CD918EA" w14:textId="5F6034C6" w:rsidR="006D53CD" w:rsidRPr="008652EC" w:rsidRDefault="006D53CD" w:rsidP="006D53CD">
            <w:pPr>
              <w:ind w:right="907"/>
              <w:jc w:val="right"/>
              <w:rPr>
                <w:rFonts w:ascii="Verdana" w:hAnsi="Verdana" w:cs="Arial"/>
                <w:color w:val="2F5496" w:themeColor="accent1" w:themeShade="BF"/>
                <w:sz w:val="18"/>
                <w:szCs w:val="18"/>
              </w:rPr>
            </w:pPr>
            <w:r w:rsidRPr="008652EC">
              <w:rPr>
                <w:rFonts w:ascii="Verdana" w:hAnsi="Verdana" w:cs="Arial"/>
                <w:color w:val="2F5496" w:themeColor="accent1" w:themeShade="BF"/>
                <w:sz w:val="18"/>
                <w:szCs w:val="18"/>
              </w:rPr>
              <w:t>3,3</w:t>
            </w:r>
          </w:p>
        </w:tc>
      </w:tr>
      <w:tr w:rsidR="006D53CD" w:rsidRPr="008652EC" w14:paraId="54F99004" w14:textId="77777777" w:rsidTr="00176F5C">
        <w:trPr>
          <w:trHeight w:val="454"/>
          <w:jc w:val="center"/>
        </w:trPr>
        <w:tc>
          <w:tcPr>
            <w:tcW w:w="791" w:type="dxa"/>
            <w:tcBorders>
              <w:top w:val="nil"/>
              <w:left w:val="nil"/>
              <w:bottom w:val="nil"/>
              <w:right w:val="nil"/>
            </w:tcBorders>
            <w:vAlign w:val="center"/>
          </w:tcPr>
          <w:p w14:paraId="72065B10" w14:textId="3BC08A42" w:rsidR="006D53CD" w:rsidRPr="008652EC" w:rsidRDefault="006D53CD" w:rsidP="006D53CD">
            <w:pPr>
              <w:rPr>
                <w:rFonts w:ascii="Verdana" w:hAnsi="Verdana" w:cs="Arial"/>
                <w:b/>
                <w:bCs/>
                <w:color w:val="2F5496" w:themeColor="accent1" w:themeShade="BF"/>
                <w:sz w:val="18"/>
                <w:szCs w:val="18"/>
                <w:lang w:val="el-GR"/>
              </w:rPr>
            </w:pPr>
          </w:p>
        </w:tc>
        <w:tc>
          <w:tcPr>
            <w:tcW w:w="1361" w:type="dxa"/>
            <w:tcBorders>
              <w:top w:val="nil"/>
              <w:left w:val="nil"/>
              <w:bottom w:val="nil"/>
              <w:right w:val="nil"/>
            </w:tcBorders>
            <w:vAlign w:val="center"/>
          </w:tcPr>
          <w:p w14:paraId="78E06F9E" w14:textId="3A604437" w:rsidR="006D53CD" w:rsidRPr="008652EC" w:rsidRDefault="006D53CD" w:rsidP="006D53CD">
            <w:pPr>
              <w:jc w:val="center"/>
              <w:rPr>
                <w:rFonts w:ascii="Verdana" w:hAnsi="Verdana" w:cs="Arial"/>
                <w:b/>
                <w:bCs/>
                <w:color w:val="2F5496" w:themeColor="accent1" w:themeShade="BF"/>
                <w:sz w:val="18"/>
                <w:szCs w:val="18"/>
                <w:lang w:val="el-GR"/>
              </w:rPr>
            </w:pPr>
            <w:r w:rsidRPr="008652EC">
              <w:rPr>
                <w:rFonts w:ascii="Verdana" w:hAnsi="Verdana" w:cs="Arial"/>
                <w:b/>
                <w:bCs/>
                <w:color w:val="2F5496" w:themeColor="accent1" w:themeShade="BF"/>
                <w:sz w:val="18"/>
                <w:szCs w:val="18"/>
                <w:lang w:val="el-GR"/>
              </w:rPr>
              <w:t>2ο Τρίμηνο</w:t>
            </w:r>
          </w:p>
        </w:tc>
        <w:tc>
          <w:tcPr>
            <w:tcW w:w="2438" w:type="dxa"/>
            <w:tcBorders>
              <w:top w:val="nil"/>
              <w:left w:val="nil"/>
              <w:bottom w:val="nil"/>
              <w:right w:val="nil"/>
            </w:tcBorders>
            <w:vAlign w:val="center"/>
          </w:tcPr>
          <w:p w14:paraId="5526F583" w14:textId="397D44F7" w:rsidR="006D53CD" w:rsidRPr="008652EC" w:rsidRDefault="006D53CD" w:rsidP="006D53CD">
            <w:pPr>
              <w:ind w:right="907"/>
              <w:jc w:val="right"/>
              <w:rPr>
                <w:rFonts w:ascii="Verdana" w:hAnsi="Verdana" w:cs="Arial"/>
                <w:b/>
                <w:bCs/>
                <w:color w:val="2F5496" w:themeColor="accent1" w:themeShade="BF"/>
                <w:sz w:val="18"/>
                <w:szCs w:val="18"/>
              </w:rPr>
            </w:pPr>
            <w:r w:rsidRPr="008652EC">
              <w:rPr>
                <w:rFonts w:ascii="Verdana" w:hAnsi="Verdana" w:cs="Arial"/>
                <w:b/>
                <w:color w:val="2F5496" w:themeColor="accent1" w:themeShade="BF"/>
                <w:sz w:val="18"/>
                <w:szCs w:val="18"/>
              </w:rPr>
              <w:t>3,6</w:t>
            </w:r>
          </w:p>
        </w:tc>
        <w:tc>
          <w:tcPr>
            <w:tcW w:w="236" w:type="dxa"/>
            <w:tcBorders>
              <w:top w:val="nil"/>
              <w:left w:val="nil"/>
              <w:bottom w:val="nil"/>
              <w:right w:val="nil"/>
            </w:tcBorders>
          </w:tcPr>
          <w:p w14:paraId="52A578D5" w14:textId="77777777" w:rsidR="006D53CD" w:rsidRPr="008652EC" w:rsidRDefault="006D53CD" w:rsidP="006D53CD">
            <w:pPr>
              <w:jc w:val="both"/>
              <w:rPr>
                <w:rFonts w:ascii="Verdana" w:hAnsi="Verdana" w:cs="Arial"/>
                <w:b/>
                <w:bCs/>
                <w:color w:val="2F5496" w:themeColor="accent1" w:themeShade="BF"/>
                <w:sz w:val="18"/>
                <w:szCs w:val="18"/>
                <w:lang w:val="el-GR"/>
              </w:rPr>
            </w:pPr>
          </w:p>
        </w:tc>
        <w:tc>
          <w:tcPr>
            <w:tcW w:w="2325" w:type="dxa"/>
            <w:tcBorders>
              <w:top w:val="nil"/>
              <w:left w:val="nil"/>
              <w:bottom w:val="nil"/>
              <w:right w:val="nil"/>
            </w:tcBorders>
            <w:vAlign w:val="center"/>
          </w:tcPr>
          <w:p w14:paraId="31195FD7" w14:textId="014F9953" w:rsidR="006D53CD" w:rsidRPr="008652EC" w:rsidRDefault="006D53CD" w:rsidP="006D53CD">
            <w:pPr>
              <w:ind w:right="907"/>
              <w:jc w:val="right"/>
              <w:rPr>
                <w:rFonts w:ascii="Verdana" w:hAnsi="Verdana" w:cs="Arial"/>
                <w:b/>
                <w:bCs/>
                <w:color w:val="2F5496" w:themeColor="accent1" w:themeShade="BF"/>
                <w:sz w:val="18"/>
                <w:szCs w:val="18"/>
              </w:rPr>
            </w:pPr>
            <w:r w:rsidRPr="008652EC">
              <w:rPr>
                <w:rFonts w:ascii="Verdana" w:hAnsi="Verdana" w:cs="Arial"/>
                <w:b/>
                <w:color w:val="2F5496" w:themeColor="accent1" w:themeShade="BF"/>
                <w:sz w:val="18"/>
                <w:szCs w:val="18"/>
              </w:rPr>
              <w:t>0,7</w:t>
            </w:r>
          </w:p>
        </w:tc>
        <w:tc>
          <w:tcPr>
            <w:tcW w:w="2438" w:type="dxa"/>
            <w:tcBorders>
              <w:top w:val="nil"/>
              <w:left w:val="nil"/>
              <w:bottom w:val="nil"/>
              <w:right w:val="nil"/>
            </w:tcBorders>
            <w:vAlign w:val="center"/>
          </w:tcPr>
          <w:p w14:paraId="357E9A7D" w14:textId="20D5CB33" w:rsidR="006D53CD" w:rsidRPr="008652EC" w:rsidRDefault="006D53CD" w:rsidP="006D53CD">
            <w:pPr>
              <w:ind w:right="907"/>
              <w:jc w:val="right"/>
              <w:rPr>
                <w:rFonts w:ascii="Verdana" w:hAnsi="Verdana" w:cs="Arial"/>
                <w:b/>
                <w:bCs/>
                <w:color w:val="2F5496" w:themeColor="accent1" w:themeShade="BF"/>
                <w:sz w:val="18"/>
                <w:szCs w:val="18"/>
              </w:rPr>
            </w:pPr>
            <w:r w:rsidRPr="008652EC">
              <w:rPr>
                <w:rFonts w:ascii="Verdana" w:hAnsi="Verdana" w:cs="Arial"/>
                <w:b/>
                <w:color w:val="2F5496" w:themeColor="accent1" w:themeShade="BF"/>
                <w:sz w:val="18"/>
                <w:szCs w:val="18"/>
              </w:rPr>
              <w:t>3,7</w:t>
            </w:r>
          </w:p>
        </w:tc>
      </w:tr>
      <w:tr w:rsidR="00CC7AB9" w:rsidRPr="008652EC" w14:paraId="18C51B47" w14:textId="77777777" w:rsidTr="00176F5C">
        <w:trPr>
          <w:jc w:val="center"/>
        </w:trPr>
        <w:tc>
          <w:tcPr>
            <w:tcW w:w="791" w:type="dxa"/>
            <w:tcBorders>
              <w:top w:val="nil"/>
              <w:left w:val="nil"/>
              <w:bottom w:val="single" w:sz="4" w:space="0" w:color="2F5496" w:themeColor="accent1" w:themeShade="BF"/>
              <w:right w:val="nil"/>
            </w:tcBorders>
            <w:vAlign w:val="center"/>
          </w:tcPr>
          <w:p w14:paraId="2B2D8CC2" w14:textId="77777777" w:rsidR="00CC7AB9" w:rsidRPr="008652EC" w:rsidRDefault="00CC7AB9" w:rsidP="00CC7AB9">
            <w:pPr>
              <w:rPr>
                <w:rFonts w:ascii="Verdana" w:hAnsi="Verdana" w:cs="Arial"/>
                <w:color w:val="2F5496" w:themeColor="accent1" w:themeShade="BF"/>
                <w:sz w:val="18"/>
                <w:szCs w:val="18"/>
                <w:lang w:val="el-GR"/>
              </w:rPr>
            </w:pPr>
          </w:p>
        </w:tc>
        <w:tc>
          <w:tcPr>
            <w:tcW w:w="1361" w:type="dxa"/>
            <w:tcBorders>
              <w:top w:val="nil"/>
              <w:left w:val="nil"/>
              <w:bottom w:val="single" w:sz="4" w:space="0" w:color="2F5496" w:themeColor="accent1" w:themeShade="BF"/>
              <w:right w:val="nil"/>
            </w:tcBorders>
            <w:vAlign w:val="center"/>
          </w:tcPr>
          <w:p w14:paraId="0D7DC818" w14:textId="77777777" w:rsidR="00CC7AB9" w:rsidRPr="008652EC" w:rsidRDefault="00CC7AB9" w:rsidP="00CC7AB9">
            <w:pPr>
              <w:jc w:val="center"/>
              <w:rPr>
                <w:rFonts w:ascii="Verdana" w:hAnsi="Verdana" w:cs="Arial"/>
                <w:color w:val="2F5496" w:themeColor="accent1" w:themeShade="BF"/>
                <w:sz w:val="18"/>
                <w:szCs w:val="18"/>
                <w:lang w:val="el-GR"/>
              </w:rPr>
            </w:pPr>
          </w:p>
        </w:tc>
        <w:tc>
          <w:tcPr>
            <w:tcW w:w="2438" w:type="dxa"/>
            <w:tcBorders>
              <w:top w:val="nil"/>
              <w:left w:val="nil"/>
              <w:bottom w:val="single" w:sz="4" w:space="0" w:color="2F5496" w:themeColor="accent1" w:themeShade="BF"/>
              <w:right w:val="nil"/>
            </w:tcBorders>
            <w:vAlign w:val="center"/>
          </w:tcPr>
          <w:p w14:paraId="2D71FD7D" w14:textId="77777777" w:rsidR="00CC7AB9" w:rsidRPr="008652EC" w:rsidRDefault="00CC7AB9" w:rsidP="00CC7AB9">
            <w:pPr>
              <w:ind w:right="964"/>
              <w:jc w:val="right"/>
              <w:rPr>
                <w:rFonts w:ascii="Verdana" w:hAnsi="Verdana" w:cs="Arial"/>
                <w:color w:val="2F5496" w:themeColor="accent1" w:themeShade="BF"/>
                <w:sz w:val="18"/>
                <w:szCs w:val="18"/>
                <w:lang w:val="el-GR"/>
              </w:rPr>
            </w:pPr>
          </w:p>
        </w:tc>
        <w:tc>
          <w:tcPr>
            <w:tcW w:w="236" w:type="dxa"/>
            <w:tcBorders>
              <w:top w:val="nil"/>
              <w:left w:val="nil"/>
              <w:bottom w:val="single" w:sz="4" w:space="0" w:color="2F5496" w:themeColor="accent1" w:themeShade="BF"/>
              <w:right w:val="nil"/>
            </w:tcBorders>
          </w:tcPr>
          <w:p w14:paraId="091663CE" w14:textId="77777777" w:rsidR="00CC7AB9" w:rsidRPr="008652EC" w:rsidRDefault="00CC7AB9" w:rsidP="00CC7AB9">
            <w:pPr>
              <w:jc w:val="both"/>
              <w:rPr>
                <w:rFonts w:ascii="Verdana" w:hAnsi="Verdana" w:cs="Arial"/>
                <w:color w:val="2F5496" w:themeColor="accent1" w:themeShade="BF"/>
                <w:sz w:val="18"/>
                <w:szCs w:val="18"/>
                <w:lang w:val="el-GR"/>
              </w:rPr>
            </w:pPr>
          </w:p>
        </w:tc>
        <w:tc>
          <w:tcPr>
            <w:tcW w:w="2325" w:type="dxa"/>
            <w:tcBorders>
              <w:top w:val="nil"/>
              <w:left w:val="nil"/>
              <w:bottom w:val="single" w:sz="4" w:space="0" w:color="2F5496" w:themeColor="accent1" w:themeShade="BF"/>
              <w:right w:val="nil"/>
            </w:tcBorders>
            <w:vAlign w:val="center"/>
          </w:tcPr>
          <w:p w14:paraId="3AFF7C93" w14:textId="77777777" w:rsidR="00CC7AB9" w:rsidRPr="008652EC" w:rsidRDefault="00CC7AB9" w:rsidP="00CC7AB9">
            <w:pPr>
              <w:ind w:right="907"/>
              <w:jc w:val="right"/>
              <w:rPr>
                <w:rFonts w:ascii="Verdana" w:hAnsi="Verdana" w:cs="Arial"/>
                <w:color w:val="2F5496" w:themeColor="accent1" w:themeShade="BF"/>
                <w:sz w:val="18"/>
                <w:szCs w:val="18"/>
                <w:lang w:val="el-GR"/>
              </w:rPr>
            </w:pPr>
          </w:p>
        </w:tc>
        <w:tc>
          <w:tcPr>
            <w:tcW w:w="2438" w:type="dxa"/>
            <w:tcBorders>
              <w:top w:val="nil"/>
              <w:left w:val="nil"/>
              <w:bottom w:val="single" w:sz="4" w:space="0" w:color="2F5496" w:themeColor="accent1" w:themeShade="BF"/>
              <w:right w:val="nil"/>
            </w:tcBorders>
            <w:vAlign w:val="center"/>
          </w:tcPr>
          <w:p w14:paraId="765AE9B7" w14:textId="77777777" w:rsidR="00CC7AB9" w:rsidRPr="008652EC" w:rsidRDefault="00CC7AB9" w:rsidP="00CC7AB9">
            <w:pPr>
              <w:ind w:right="964"/>
              <w:jc w:val="right"/>
              <w:rPr>
                <w:rFonts w:ascii="Verdana" w:hAnsi="Verdana" w:cs="Arial"/>
                <w:color w:val="2F5496" w:themeColor="accent1" w:themeShade="BF"/>
                <w:sz w:val="18"/>
                <w:szCs w:val="18"/>
                <w:lang w:val="el-GR"/>
              </w:rPr>
            </w:pPr>
          </w:p>
        </w:tc>
      </w:tr>
    </w:tbl>
    <w:p w14:paraId="243608BA" w14:textId="77777777" w:rsidR="00020D24" w:rsidRDefault="00020D24">
      <w:pPr>
        <w:rPr>
          <w:rFonts w:ascii="Verdana" w:eastAsia="Malgun Gothic" w:hAnsi="Verdana" w:cs="Arial"/>
          <w:b/>
          <w:u w:val="single"/>
          <w:lang w:val="el-GR"/>
        </w:rPr>
      </w:pPr>
      <w:r>
        <w:rPr>
          <w:rFonts w:ascii="Verdana" w:eastAsia="Malgun Gothic" w:hAnsi="Verdana" w:cs="Arial"/>
          <w:b/>
          <w:u w:val="single"/>
          <w:lang w:val="el-GR"/>
        </w:rPr>
        <w:br w:type="page"/>
      </w:r>
    </w:p>
    <w:p w14:paraId="4AB09FF9" w14:textId="24D54147" w:rsidR="00761E3A" w:rsidRPr="00A12E81" w:rsidRDefault="00761E3A" w:rsidP="00761E3A">
      <w:pPr>
        <w:tabs>
          <w:tab w:val="left" w:pos="1080"/>
          <w:tab w:val="left" w:pos="6840"/>
        </w:tabs>
        <w:jc w:val="center"/>
        <w:rPr>
          <w:rFonts w:ascii="Verdana" w:eastAsia="Malgun Gothic" w:hAnsi="Verdana" w:cs="Arial"/>
          <w:b/>
          <w:u w:val="single"/>
          <w:lang w:val="el-GR"/>
        </w:rPr>
      </w:pPr>
      <w:r w:rsidRPr="00A12E81">
        <w:rPr>
          <w:rFonts w:ascii="Verdana" w:eastAsia="Malgun Gothic" w:hAnsi="Verdana" w:cs="Arial"/>
          <w:b/>
          <w:u w:val="single"/>
          <w:lang w:val="el-GR"/>
        </w:rPr>
        <w:lastRenderedPageBreak/>
        <w:t>ΜΕΘΟΔΟΛΟΓΙΚΕΣ ΠΛΗΡΟΦΟΡΙΕΣ</w:t>
      </w:r>
    </w:p>
    <w:p w14:paraId="44F47C1A" w14:textId="7249D3E6" w:rsidR="00761E3A" w:rsidRDefault="00761E3A" w:rsidP="000E4CB0">
      <w:pPr>
        <w:jc w:val="both"/>
        <w:rPr>
          <w:rFonts w:ascii="Verdana" w:hAnsi="Verdana" w:cs="Arial"/>
          <w:sz w:val="18"/>
          <w:szCs w:val="18"/>
          <w:lang w:val="el-GR"/>
        </w:rPr>
      </w:pPr>
    </w:p>
    <w:p w14:paraId="5E396342" w14:textId="77777777" w:rsidR="008A036B" w:rsidRPr="008A036B" w:rsidRDefault="008A036B" w:rsidP="008A036B">
      <w:pPr>
        <w:jc w:val="both"/>
        <w:rPr>
          <w:rFonts w:ascii="Verdana" w:hAnsi="Verdana" w:cs="Arial"/>
          <w:b/>
          <w:bCs/>
          <w:sz w:val="18"/>
          <w:szCs w:val="18"/>
          <w:u w:val="single"/>
          <w:lang w:val="el-GR"/>
        </w:rPr>
      </w:pPr>
      <w:r w:rsidRPr="008A036B">
        <w:rPr>
          <w:rFonts w:ascii="Verdana" w:hAnsi="Verdana" w:cs="Arial"/>
          <w:b/>
          <w:bCs/>
          <w:sz w:val="18"/>
          <w:szCs w:val="18"/>
          <w:u w:val="single"/>
          <w:lang w:val="el-GR"/>
        </w:rPr>
        <w:t>Σκοπός</w:t>
      </w:r>
    </w:p>
    <w:p w14:paraId="5AA1BD82" w14:textId="77777777" w:rsidR="008A036B" w:rsidRPr="008A036B" w:rsidRDefault="008A036B" w:rsidP="008A036B">
      <w:pPr>
        <w:jc w:val="both"/>
        <w:rPr>
          <w:rFonts w:ascii="Verdana" w:hAnsi="Verdana" w:cs="Arial"/>
          <w:sz w:val="18"/>
          <w:szCs w:val="18"/>
          <w:lang w:val="el-GR"/>
        </w:rPr>
      </w:pPr>
    </w:p>
    <w:p w14:paraId="09EFF899" w14:textId="3B2BA312"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Ο σκοπός της προκαταρκτικής εκτίμησης του ΑΕΠ είναι να παρέχει μια πρώτη εικόνα της</w:t>
      </w:r>
      <w:r w:rsidR="003B0BAC" w:rsidRPr="003B0BAC">
        <w:rPr>
          <w:rFonts w:ascii="Verdana" w:hAnsi="Verdana" w:cs="Arial"/>
          <w:sz w:val="18"/>
          <w:szCs w:val="18"/>
          <w:lang w:val="el-GR"/>
        </w:rPr>
        <w:t xml:space="preserve"> </w:t>
      </w:r>
      <w:r w:rsidRPr="008A036B">
        <w:rPr>
          <w:rFonts w:ascii="Verdana" w:hAnsi="Verdana" w:cs="Arial"/>
          <w:sz w:val="18"/>
          <w:szCs w:val="18"/>
          <w:lang w:val="el-GR"/>
        </w:rPr>
        <w:t>ανάπτυξης της κυπριακής οικονομίας με βάση προκαταρκτικά στοιχεία, 45 ημέρες μετά το τέλος του τριμήνου, χρησιμοποιώντας λιγότερες διαθέσιμες πηγές πληροφόρησης σε σύγκριση με αυτές που χρησιμοποιούνται στην παραγωγή των εκτιμήσεων των Τριμηνιαίων Εθνικών Λογαριασμών 2 μήνες μετά το τέλος του τριμήνου αναφοράς.</w:t>
      </w:r>
    </w:p>
    <w:p w14:paraId="5620CD4A" w14:textId="77777777" w:rsidR="008A036B" w:rsidRPr="008A036B" w:rsidRDefault="008A036B" w:rsidP="008A036B">
      <w:pPr>
        <w:jc w:val="both"/>
        <w:rPr>
          <w:rFonts w:ascii="Verdana" w:hAnsi="Verdana" w:cs="Arial"/>
          <w:sz w:val="18"/>
          <w:szCs w:val="18"/>
          <w:lang w:val="el-GR"/>
        </w:rPr>
      </w:pPr>
    </w:p>
    <w:p w14:paraId="43706334" w14:textId="7FA96C9A" w:rsidR="008A036B" w:rsidRPr="008A036B" w:rsidRDefault="008A036B" w:rsidP="008A036B">
      <w:pPr>
        <w:jc w:val="both"/>
        <w:rPr>
          <w:rFonts w:ascii="Verdana" w:hAnsi="Verdana" w:cs="Arial"/>
          <w:b/>
          <w:bCs/>
          <w:sz w:val="18"/>
          <w:szCs w:val="18"/>
          <w:u w:val="single"/>
          <w:lang w:val="el-GR"/>
        </w:rPr>
      </w:pPr>
      <w:r w:rsidRPr="008A036B">
        <w:rPr>
          <w:rFonts w:ascii="Verdana" w:hAnsi="Verdana" w:cs="Arial"/>
          <w:b/>
          <w:bCs/>
          <w:sz w:val="18"/>
          <w:szCs w:val="18"/>
          <w:u w:val="single"/>
          <w:lang w:val="el-GR"/>
        </w:rPr>
        <w:t xml:space="preserve">Υπολογισμός και </w:t>
      </w:r>
      <w:r>
        <w:rPr>
          <w:rFonts w:ascii="Verdana" w:hAnsi="Verdana" w:cs="Arial"/>
          <w:b/>
          <w:bCs/>
          <w:sz w:val="18"/>
          <w:szCs w:val="18"/>
          <w:u w:val="single"/>
          <w:lang w:val="el-GR"/>
        </w:rPr>
        <w:t>Μ</w:t>
      </w:r>
      <w:r w:rsidRPr="008A036B">
        <w:rPr>
          <w:rFonts w:ascii="Verdana" w:hAnsi="Verdana" w:cs="Arial"/>
          <w:b/>
          <w:bCs/>
          <w:sz w:val="18"/>
          <w:szCs w:val="18"/>
          <w:u w:val="single"/>
          <w:lang w:val="el-GR"/>
        </w:rPr>
        <w:t>εθοδολογία</w:t>
      </w:r>
    </w:p>
    <w:p w14:paraId="499A9B21" w14:textId="77777777" w:rsidR="008A036B" w:rsidRPr="008A036B" w:rsidRDefault="008A036B" w:rsidP="008A036B">
      <w:pPr>
        <w:jc w:val="both"/>
        <w:rPr>
          <w:rFonts w:ascii="Verdana" w:hAnsi="Verdana" w:cs="Arial"/>
          <w:sz w:val="18"/>
          <w:szCs w:val="18"/>
          <w:lang w:val="el-GR"/>
        </w:rPr>
      </w:pPr>
    </w:p>
    <w:p w14:paraId="4B3E27A4" w14:textId="60092D24"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Οι Τριμηνιαίοι Εθνικοί Λογαριασμοί παράγονται με τη χρήση έμμεσης προσέγγισης, η οποία βασίζεται σε βραχυπρόθεσμους δείκτες που παρέχουν πληροφορίες για την εξέλιξη των υπό μελέτη φαινομένων. Επιπλέον, η τεχνική προσέγγισης “</w:t>
      </w:r>
      <w:proofErr w:type="spellStart"/>
      <w:r w:rsidRPr="008A036B">
        <w:rPr>
          <w:rFonts w:ascii="Verdana" w:hAnsi="Verdana" w:cs="Arial"/>
          <w:sz w:val="18"/>
          <w:szCs w:val="18"/>
          <w:lang w:val="el-GR"/>
        </w:rPr>
        <w:t>Chow-Lin</w:t>
      </w:r>
      <w:proofErr w:type="spellEnd"/>
      <w:r w:rsidRPr="008A036B">
        <w:rPr>
          <w:rFonts w:ascii="Verdana" w:hAnsi="Verdana" w:cs="Arial"/>
          <w:sz w:val="18"/>
          <w:szCs w:val="18"/>
          <w:lang w:val="el-GR"/>
        </w:rPr>
        <w:t>” χρησιμοποιείται για τη χρονική διάσπαση των στοιχείων.</w:t>
      </w:r>
    </w:p>
    <w:p w14:paraId="2A839293" w14:textId="77777777" w:rsidR="008A036B" w:rsidRPr="008A036B" w:rsidRDefault="008A036B" w:rsidP="008A036B">
      <w:pPr>
        <w:jc w:val="both"/>
        <w:rPr>
          <w:rFonts w:ascii="Verdana" w:hAnsi="Verdana" w:cs="Arial"/>
          <w:sz w:val="18"/>
          <w:szCs w:val="18"/>
          <w:lang w:val="el-GR"/>
        </w:rPr>
      </w:pPr>
    </w:p>
    <w:p w14:paraId="149ADCA2" w14:textId="5366E296"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Το επίπεδο του ΑΕΠ στην Κύπρο καθορίζεται από τις προσεγγίσεις παραγωγής και δαπανών</w:t>
      </w:r>
      <w:r w:rsidR="00C742C8">
        <w:rPr>
          <w:rFonts w:ascii="Verdana" w:hAnsi="Verdana" w:cs="Arial"/>
          <w:sz w:val="18"/>
          <w:szCs w:val="18"/>
          <w:lang w:val="el-GR"/>
        </w:rPr>
        <w:t xml:space="preserve">, </w:t>
      </w:r>
      <w:r w:rsidRPr="008A036B">
        <w:rPr>
          <w:rFonts w:ascii="Verdana" w:hAnsi="Verdana" w:cs="Arial"/>
          <w:sz w:val="18"/>
          <w:szCs w:val="18"/>
          <w:lang w:val="el-GR"/>
        </w:rPr>
        <w:t>ενώ για την προσέγγιση εισοδήματος πραγματοποιείται έμμεσος υπολογισμός.</w:t>
      </w:r>
    </w:p>
    <w:p w14:paraId="140EF46B" w14:textId="77777777" w:rsidR="008A036B" w:rsidRPr="008A036B" w:rsidRDefault="008A036B" w:rsidP="008A036B">
      <w:pPr>
        <w:jc w:val="both"/>
        <w:rPr>
          <w:rFonts w:ascii="Verdana" w:hAnsi="Verdana" w:cs="Arial"/>
          <w:sz w:val="18"/>
          <w:szCs w:val="18"/>
          <w:lang w:val="el-GR"/>
        </w:rPr>
      </w:pPr>
    </w:p>
    <w:p w14:paraId="1CC35DE0" w14:textId="5E01FEEA"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xml:space="preserve">Οι Τριμηνιαίοι Εθνικοί Λογαριασμοί παράγονται σε τρέχουσες τιμές, τιμές όγκου και τιμές προηγούμενου έτους, δημοσιεύονται και διαβιβάζονται στη </w:t>
      </w:r>
      <w:proofErr w:type="spellStart"/>
      <w:r w:rsidRPr="008A036B">
        <w:rPr>
          <w:rFonts w:ascii="Verdana" w:hAnsi="Verdana" w:cs="Arial"/>
          <w:sz w:val="18"/>
          <w:szCs w:val="18"/>
          <w:lang w:val="el-GR"/>
        </w:rPr>
        <w:t>Eurostat</w:t>
      </w:r>
      <w:proofErr w:type="spellEnd"/>
      <w:r w:rsidRPr="008A036B">
        <w:rPr>
          <w:rFonts w:ascii="Verdana" w:hAnsi="Verdana" w:cs="Arial"/>
          <w:sz w:val="18"/>
          <w:szCs w:val="18"/>
          <w:lang w:val="el-GR"/>
        </w:rPr>
        <w:t xml:space="preserve"> </w:t>
      </w:r>
      <w:r w:rsidR="000A351B">
        <w:rPr>
          <w:rFonts w:ascii="Verdana" w:hAnsi="Verdana" w:cs="Arial"/>
          <w:sz w:val="18"/>
          <w:szCs w:val="18"/>
          <w:lang w:val="el-GR"/>
        </w:rPr>
        <w:t>δυο</w:t>
      </w:r>
      <w:r w:rsidRPr="008A036B">
        <w:rPr>
          <w:rFonts w:ascii="Verdana" w:hAnsi="Verdana" w:cs="Arial"/>
          <w:sz w:val="18"/>
          <w:szCs w:val="18"/>
          <w:lang w:val="el-GR"/>
        </w:rPr>
        <w:t xml:space="preserve"> μήνες μετά το τέλος του τριμήνου αναφοράς (t+2)</w:t>
      </w:r>
      <w:r w:rsidR="000A351B">
        <w:rPr>
          <w:rFonts w:ascii="Verdana" w:hAnsi="Verdana" w:cs="Arial"/>
          <w:sz w:val="18"/>
          <w:szCs w:val="18"/>
          <w:lang w:val="el-GR"/>
        </w:rPr>
        <w:t xml:space="preserve">. </w:t>
      </w:r>
      <w:r w:rsidRPr="008A036B">
        <w:rPr>
          <w:rFonts w:ascii="Verdana" w:hAnsi="Verdana" w:cs="Arial"/>
          <w:sz w:val="18"/>
          <w:szCs w:val="18"/>
          <w:lang w:val="el-GR"/>
        </w:rPr>
        <w:t xml:space="preserve">Η προκαταρκτική εκτίμηση λαμβάνεται εκτελώντας την ίδια διαδικασία εκτίμησης με αυτή που εφαρμόζεται για τον υπολογισμό στους t+2 μήνες, ωστόσο, με λιγότερες διαθέσιμες πηγές πληροφόρησης. Υπολογίζεται σε όρους όγκου 45 ημέρες μετά το τέλος του τριμήνου αναφοράς, δημοσιεύεται και διαβιβάζεται επίσης στη </w:t>
      </w:r>
      <w:proofErr w:type="spellStart"/>
      <w:r w:rsidRPr="008A036B">
        <w:rPr>
          <w:rFonts w:ascii="Verdana" w:hAnsi="Verdana" w:cs="Arial"/>
          <w:sz w:val="18"/>
          <w:szCs w:val="18"/>
          <w:lang w:val="el-GR"/>
        </w:rPr>
        <w:t>Eurostat</w:t>
      </w:r>
      <w:proofErr w:type="spellEnd"/>
      <w:r w:rsidRPr="008A036B">
        <w:rPr>
          <w:rFonts w:ascii="Verdana" w:hAnsi="Verdana" w:cs="Arial"/>
          <w:sz w:val="18"/>
          <w:szCs w:val="18"/>
          <w:lang w:val="el-GR"/>
        </w:rPr>
        <w:t>.</w:t>
      </w:r>
    </w:p>
    <w:p w14:paraId="0DF52C46"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xml:space="preserve"> </w:t>
      </w:r>
    </w:p>
    <w:p w14:paraId="11B0415D"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Οι Τριμηνιαίοι Εθνικοί Λογαριασμοί καταρτίζονται σύμφωνα με το Ευρωπαϊκό Σύστημα Λογαριασμών (ΕΣΛ 2010) όπως ορίζεται στον κανονισμό (ΕΕ) αριθ. 549/2013 του Ευρωπαϊκού Κοινοβουλίου και του Συμβουλίου της 21ης Μαΐου 2013.</w:t>
      </w:r>
    </w:p>
    <w:p w14:paraId="31C84EA6" w14:textId="77777777" w:rsidR="008A036B" w:rsidRPr="008A036B" w:rsidRDefault="008A036B" w:rsidP="008A036B">
      <w:pPr>
        <w:jc w:val="both"/>
        <w:rPr>
          <w:rFonts w:ascii="Verdana" w:hAnsi="Verdana" w:cs="Arial"/>
          <w:sz w:val="18"/>
          <w:szCs w:val="18"/>
          <w:lang w:val="el-GR"/>
        </w:rPr>
      </w:pPr>
    </w:p>
    <w:p w14:paraId="6C7E032E" w14:textId="456F244E" w:rsidR="008A036B" w:rsidRPr="008A036B" w:rsidRDefault="008A036B" w:rsidP="008A036B">
      <w:pPr>
        <w:jc w:val="both"/>
        <w:rPr>
          <w:rFonts w:ascii="Verdana" w:hAnsi="Verdana" w:cs="Arial"/>
          <w:b/>
          <w:bCs/>
          <w:sz w:val="18"/>
          <w:szCs w:val="18"/>
          <w:u w:val="single"/>
          <w:lang w:val="el-GR"/>
        </w:rPr>
      </w:pPr>
      <w:r w:rsidRPr="008A036B">
        <w:rPr>
          <w:rFonts w:ascii="Verdana" w:hAnsi="Verdana" w:cs="Arial"/>
          <w:b/>
          <w:bCs/>
          <w:sz w:val="18"/>
          <w:szCs w:val="18"/>
          <w:u w:val="single"/>
          <w:lang w:val="el-GR"/>
        </w:rPr>
        <w:t xml:space="preserve">Πηγή </w:t>
      </w:r>
      <w:r>
        <w:rPr>
          <w:rFonts w:ascii="Verdana" w:hAnsi="Verdana" w:cs="Arial"/>
          <w:b/>
          <w:bCs/>
          <w:sz w:val="18"/>
          <w:szCs w:val="18"/>
          <w:u w:val="single"/>
          <w:lang w:val="el-GR"/>
        </w:rPr>
        <w:t>Σ</w:t>
      </w:r>
      <w:r w:rsidRPr="008A036B">
        <w:rPr>
          <w:rFonts w:ascii="Verdana" w:hAnsi="Verdana" w:cs="Arial"/>
          <w:b/>
          <w:bCs/>
          <w:sz w:val="18"/>
          <w:szCs w:val="18"/>
          <w:u w:val="single"/>
          <w:lang w:val="el-GR"/>
        </w:rPr>
        <w:t>τοιχείων</w:t>
      </w:r>
    </w:p>
    <w:p w14:paraId="394CE37D" w14:textId="77777777" w:rsidR="008A036B" w:rsidRPr="008A036B" w:rsidRDefault="008A036B" w:rsidP="008A036B">
      <w:pPr>
        <w:jc w:val="both"/>
        <w:rPr>
          <w:rFonts w:ascii="Verdana" w:hAnsi="Verdana" w:cs="Arial"/>
          <w:sz w:val="18"/>
          <w:szCs w:val="18"/>
          <w:lang w:val="el-GR"/>
        </w:rPr>
      </w:pPr>
    </w:p>
    <w:p w14:paraId="55BFFBEA"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Για την παραγωγή εκτιμήσεων των Τριμηνιαίων Εθνικών Λογαριασμών, τα ακόλουθα δεδομένα εισάγονται στο σύστημα υπολογισμού:</w:t>
      </w:r>
    </w:p>
    <w:p w14:paraId="4130211D"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βραχυπρόθεσμοι οικονομικοί δείκτες κατά οικονομική δραστηριότητα,</w:t>
      </w:r>
    </w:p>
    <w:p w14:paraId="6E733EF5"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διοικητικά δεδομένα,</w:t>
      </w:r>
    </w:p>
    <w:p w14:paraId="56432CA5"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τριμηνιαία στοιχεία απασχόλησης,</w:t>
      </w:r>
    </w:p>
    <w:p w14:paraId="15531252" w14:textId="6A14A8A8" w:rsidR="00761E3A" w:rsidRDefault="008A036B" w:rsidP="008A036B">
      <w:pPr>
        <w:jc w:val="both"/>
        <w:rPr>
          <w:rFonts w:ascii="Verdana" w:hAnsi="Verdana" w:cs="Arial"/>
          <w:sz w:val="18"/>
          <w:szCs w:val="18"/>
          <w:lang w:val="el-GR"/>
        </w:rPr>
      </w:pPr>
      <w:r w:rsidRPr="008A036B">
        <w:rPr>
          <w:rFonts w:ascii="Verdana" w:hAnsi="Verdana" w:cs="Arial"/>
          <w:sz w:val="18"/>
          <w:szCs w:val="18"/>
          <w:lang w:val="el-GR"/>
        </w:rPr>
        <w:t>- δείκτες τιμών.</w:t>
      </w:r>
    </w:p>
    <w:p w14:paraId="2CE52337" w14:textId="6D84CD9E" w:rsidR="00761E3A" w:rsidRDefault="00761E3A" w:rsidP="000E4CB0">
      <w:pPr>
        <w:jc w:val="both"/>
        <w:rPr>
          <w:rFonts w:ascii="Verdana" w:hAnsi="Verdana" w:cs="Arial"/>
          <w:sz w:val="18"/>
          <w:szCs w:val="18"/>
          <w:lang w:val="el-GR"/>
        </w:rPr>
      </w:pPr>
    </w:p>
    <w:p w14:paraId="1BFF6CD1" w14:textId="30FE4958" w:rsidR="00761E3A" w:rsidRDefault="00761E3A" w:rsidP="000E4CB0">
      <w:pPr>
        <w:jc w:val="both"/>
        <w:rPr>
          <w:rFonts w:ascii="Verdana" w:hAnsi="Verdana" w:cs="Arial"/>
          <w:sz w:val="18"/>
          <w:szCs w:val="18"/>
          <w:lang w:val="el-GR"/>
        </w:rPr>
      </w:pPr>
    </w:p>
    <w:p w14:paraId="1F7B5FEA" w14:textId="77777777" w:rsidR="00761E3A" w:rsidRDefault="00761E3A" w:rsidP="00761E3A">
      <w:pPr>
        <w:jc w:val="both"/>
        <w:rPr>
          <w:rFonts w:ascii="Verdana" w:hAnsi="Verdana"/>
          <w:b/>
          <w:bCs/>
          <w:i/>
          <w:iCs/>
          <w:sz w:val="18"/>
          <w:szCs w:val="18"/>
          <w:lang w:val="el-GR"/>
        </w:rPr>
      </w:pPr>
      <w:r>
        <w:rPr>
          <w:rFonts w:ascii="Verdana" w:hAnsi="Verdana"/>
          <w:b/>
          <w:bCs/>
          <w:i/>
          <w:iCs/>
          <w:sz w:val="18"/>
          <w:szCs w:val="18"/>
          <w:lang w:val="el-GR"/>
        </w:rPr>
        <w:t>Για περισσότερες πληροφορίες:</w:t>
      </w:r>
    </w:p>
    <w:p w14:paraId="73023DBA" w14:textId="77777777" w:rsidR="008A036B" w:rsidRPr="00573F8E" w:rsidRDefault="008A036B" w:rsidP="008A036B">
      <w:pPr>
        <w:rPr>
          <w:rFonts w:ascii="Verdana" w:hAnsi="Verdana"/>
          <w:sz w:val="18"/>
          <w:szCs w:val="18"/>
          <w:lang w:val="el-GR"/>
        </w:rPr>
      </w:pPr>
      <w:r w:rsidRPr="00573F8E">
        <w:rPr>
          <w:rFonts w:ascii="Verdana" w:hAnsi="Verdana"/>
          <w:sz w:val="18"/>
          <w:szCs w:val="18"/>
          <w:lang w:val="el-GR"/>
        </w:rPr>
        <w:t xml:space="preserve">Πύλη Στατιστικής Υπηρεσίας, υπόθεμα </w:t>
      </w:r>
      <w:hyperlink r:id="rId9" w:history="1">
        <w:r w:rsidRPr="00573F8E">
          <w:rPr>
            <w:rStyle w:val="Hyperlink"/>
            <w:rFonts w:ascii="Verdana" w:hAnsi="Verdana"/>
            <w:sz w:val="18"/>
            <w:szCs w:val="18"/>
            <w:lang w:val="el-GR"/>
          </w:rPr>
          <w:t>Εθνικοί Λογαριασμοί</w:t>
        </w:r>
      </w:hyperlink>
    </w:p>
    <w:p w14:paraId="38070A46" w14:textId="77777777" w:rsidR="008A036B" w:rsidRDefault="00000000" w:rsidP="008A036B">
      <w:pPr>
        <w:rPr>
          <w:rFonts w:ascii="Verdana" w:hAnsi="Verdana"/>
          <w:sz w:val="18"/>
          <w:szCs w:val="18"/>
          <w:lang w:val="el-GR"/>
        </w:rPr>
      </w:pPr>
      <w:hyperlink r:id="rId10" w:history="1">
        <w:r w:rsidR="008A036B" w:rsidRPr="00573F8E">
          <w:rPr>
            <w:rStyle w:val="Hyperlink"/>
            <w:rFonts w:ascii="Verdana" w:hAnsi="Verdana"/>
            <w:sz w:val="18"/>
            <w:szCs w:val="18"/>
          </w:rPr>
          <w:t>CYSTAT</w:t>
        </w:r>
        <w:r w:rsidR="008A036B" w:rsidRPr="00573F8E">
          <w:rPr>
            <w:rStyle w:val="Hyperlink"/>
            <w:rFonts w:ascii="Verdana" w:hAnsi="Verdana"/>
            <w:sz w:val="18"/>
            <w:szCs w:val="18"/>
            <w:lang w:val="el-GR"/>
          </w:rPr>
          <w:t>-</w:t>
        </w:r>
        <w:r w:rsidR="008A036B" w:rsidRPr="00573F8E">
          <w:rPr>
            <w:rStyle w:val="Hyperlink"/>
            <w:rFonts w:ascii="Verdana" w:hAnsi="Verdana"/>
            <w:sz w:val="18"/>
            <w:szCs w:val="18"/>
          </w:rPr>
          <w:t>DB</w:t>
        </w:r>
      </w:hyperlink>
      <w:r w:rsidR="008A036B" w:rsidRPr="00573F8E">
        <w:rPr>
          <w:rFonts w:ascii="Verdana" w:hAnsi="Verdana"/>
          <w:sz w:val="18"/>
          <w:szCs w:val="18"/>
          <w:lang w:val="el-GR"/>
        </w:rPr>
        <w:t xml:space="preserve"> (Βάση Δεδομένων)</w:t>
      </w:r>
    </w:p>
    <w:p w14:paraId="0121E318" w14:textId="77777777" w:rsidR="008A036B" w:rsidRPr="00573F8E" w:rsidRDefault="00000000" w:rsidP="008A036B">
      <w:pPr>
        <w:rPr>
          <w:rFonts w:ascii="Verdana" w:hAnsi="Verdana"/>
          <w:sz w:val="18"/>
          <w:szCs w:val="18"/>
          <w:lang w:val="el-GR"/>
        </w:rPr>
      </w:pPr>
      <w:hyperlink r:id="rId11" w:history="1">
        <w:r w:rsidR="008A036B" w:rsidRPr="008A036B">
          <w:rPr>
            <w:rStyle w:val="Hyperlink"/>
            <w:rFonts w:ascii="Verdana" w:hAnsi="Verdana"/>
            <w:sz w:val="18"/>
            <w:szCs w:val="18"/>
            <w:lang w:val="el-GR"/>
          </w:rPr>
          <w:t>Προκαθορισμένοι Πίνακες</w:t>
        </w:r>
      </w:hyperlink>
      <w:r w:rsidR="008A036B" w:rsidRPr="008A036B">
        <w:rPr>
          <w:lang w:val="el-GR"/>
        </w:rPr>
        <w:t xml:space="preserve"> </w:t>
      </w:r>
      <w:r w:rsidR="008A036B" w:rsidRPr="00032633">
        <w:rPr>
          <w:lang w:val="el-GR"/>
        </w:rPr>
        <w:t>(</w:t>
      </w:r>
      <w:r w:rsidR="008A036B">
        <w:t>Excel</w:t>
      </w:r>
      <w:r w:rsidR="008A036B" w:rsidRPr="00032633">
        <w:rPr>
          <w:lang w:val="el-GR"/>
        </w:rPr>
        <w:t>)</w:t>
      </w:r>
    </w:p>
    <w:p w14:paraId="26509062" w14:textId="77777777" w:rsidR="00761E3A" w:rsidRDefault="00761E3A" w:rsidP="000E4CB0">
      <w:pPr>
        <w:jc w:val="both"/>
        <w:rPr>
          <w:rFonts w:ascii="Verdana" w:hAnsi="Verdana" w:cs="Arial"/>
          <w:sz w:val="18"/>
          <w:szCs w:val="18"/>
          <w:lang w:val="el-GR"/>
        </w:rPr>
      </w:pPr>
    </w:p>
    <w:p w14:paraId="63D498E7" w14:textId="34C81A10" w:rsidR="008A036B" w:rsidRPr="00032633" w:rsidRDefault="008A036B" w:rsidP="008A036B">
      <w:pPr>
        <w:jc w:val="both"/>
        <w:rPr>
          <w:rFonts w:ascii="Verdana" w:eastAsia="Times New Roman" w:hAnsi="Verdana"/>
          <w:b/>
          <w:bCs/>
          <w:sz w:val="18"/>
          <w:szCs w:val="18"/>
          <w:lang w:val="el-GR"/>
        </w:rPr>
      </w:pPr>
      <w:r w:rsidRPr="00032633">
        <w:rPr>
          <w:rFonts w:ascii="Verdana" w:eastAsia="Times New Roman" w:hAnsi="Verdana"/>
          <w:b/>
          <w:bCs/>
          <w:sz w:val="18"/>
          <w:szCs w:val="18"/>
          <w:lang w:val="el-GR"/>
        </w:rPr>
        <w:t xml:space="preserve">Οι </w:t>
      </w:r>
      <w:r w:rsidRPr="00032633">
        <w:rPr>
          <w:rFonts w:ascii="Verdana" w:eastAsia="Times New Roman" w:hAnsi="Verdana"/>
          <w:b/>
          <w:bCs/>
          <w:sz w:val="18"/>
          <w:szCs w:val="18"/>
          <w:u w:val="single"/>
          <w:lang w:val="el-GR"/>
        </w:rPr>
        <w:t>Προκαθορισμένοι Πίνακες</w:t>
      </w:r>
      <w:r w:rsidRPr="00032633">
        <w:rPr>
          <w:rFonts w:ascii="Verdana" w:eastAsia="Times New Roman" w:hAnsi="Verdana"/>
          <w:b/>
          <w:bCs/>
          <w:sz w:val="18"/>
          <w:szCs w:val="18"/>
          <w:lang w:val="el-GR"/>
        </w:rPr>
        <w:t xml:space="preserve"> σε μορφή Excel περιλαμβάνουν στοιχεία μέχρι και το τέταρτο</w:t>
      </w:r>
      <w:r>
        <w:rPr>
          <w:rFonts w:ascii="Verdana" w:eastAsia="Times New Roman" w:hAnsi="Verdana"/>
          <w:b/>
          <w:bCs/>
          <w:sz w:val="18"/>
          <w:szCs w:val="18"/>
          <w:lang w:val="el-GR"/>
        </w:rPr>
        <w:t xml:space="preserve"> </w:t>
      </w:r>
      <w:r w:rsidRPr="00032633">
        <w:rPr>
          <w:rFonts w:ascii="Verdana" w:eastAsia="Times New Roman" w:hAnsi="Verdana"/>
          <w:b/>
          <w:bCs/>
          <w:sz w:val="18"/>
          <w:szCs w:val="18"/>
          <w:lang w:val="el-GR"/>
        </w:rPr>
        <w:t>τρίμηνο του 2022. Για το πρώτο τρίμηνο του 2023 και μετέπειτα, η ενημέρωση θα γίνεται μόνο</w:t>
      </w:r>
      <w:r>
        <w:rPr>
          <w:rFonts w:ascii="Verdana" w:eastAsia="Times New Roman" w:hAnsi="Verdana"/>
          <w:b/>
          <w:bCs/>
          <w:sz w:val="18"/>
          <w:szCs w:val="18"/>
          <w:lang w:val="el-GR"/>
        </w:rPr>
        <w:t xml:space="preserve"> </w:t>
      </w:r>
      <w:r w:rsidRPr="00032633">
        <w:rPr>
          <w:rFonts w:ascii="Verdana" w:eastAsia="Times New Roman" w:hAnsi="Verdana"/>
          <w:b/>
          <w:bCs/>
          <w:sz w:val="18"/>
          <w:szCs w:val="18"/>
          <w:lang w:val="el-GR"/>
        </w:rPr>
        <w:t>στη Βάση Δεδομένων CYSTAT-DB.</w:t>
      </w:r>
    </w:p>
    <w:p w14:paraId="6DFAC988" w14:textId="77777777" w:rsidR="008A036B" w:rsidRPr="00573F8E" w:rsidRDefault="008A036B" w:rsidP="008A036B">
      <w:pPr>
        <w:jc w:val="both"/>
        <w:rPr>
          <w:rFonts w:ascii="Verdana" w:hAnsi="Verdana"/>
          <w:b/>
          <w:bCs/>
          <w:sz w:val="18"/>
          <w:szCs w:val="18"/>
          <w:lang w:val="el-GR"/>
        </w:rPr>
      </w:pPr>
    </w:p>
    <w:p w14:paraId="49124AA9" w14:textId="77777777" w:rsidR="008A036B" w:rsidRPr="00573F8E" w:rsidRDefault="008A036B" w:rsidP="008A036B">
      <w:pPr>
        <w:ind w:right="-79"/>
        <w:jc w:val="both"/>
        <w:rPr>
          <w:rFonts w:ascii="Verdana" w:hAnsi="Verdana"/>
          <w:sz w:val="18"/>
          <w:szCs w:val="18"/>
          <w:lang w:val="el-GR"/>
        </w:rPr>
      </w:pPr>
      <w:r w:rsidRPr="00573F8E">
        <w:rPr>
          <w:rFonts w:ascii="Verdana" w:hAnsi="Verdana"/>
          <w:i/>
          <w:sz w:val="18"/>
          <w:szCs w:val="18"/>
          <w:u w:val="single"/>
          <w:lang w:val="el-GR"/>
        </w:rPr>
        <w:t>Επικοινωνία</w:t>
      </w:r>
      <w:r w:rsidRPr="00573F8E">
        <w:rPr>
          <w:rFonts w:ascii="Verdana" w:hAnsi="Verdana"/>
          <w:sz w:val="18"/>
          <w:szCs w:val="18"/>
          <w:lang w:val="el-GR"/>
        </w:rPr>
        <w:t xml:space="preserve"> </w:t>
      </w:r>
    </w:p>
    <w:p w14:paraId="5DC710BB" w14:textId="77777777" w:rsidR="008A036B" w:rsidRPr="00573F8E" w:rsidRDefault="008A036B" w:rsidP="008A036B">
      <w:pPr>
        <w:tabs>
          <w:tab w:val="left" w:pos="1080"/>
          <w:tab w:val="left" w:pos="7088"/>
        </w:tabs>
        <w:jc w:val="both"/>
        <w:rPr>
          <w:rFonts w:ascii="Verdana" w:eastAsia="Malgun Gothic" w:hAnsi="Verdana" w:cs="Arial"/>
          <w:color w:val="0000FF"/>
          <w:sz w:val="18"/>
          <w:szCs w:val="18"/>
          <w:u w:val="single"/>
          <w:lang w:val="el-GR"/>
        </w:rPr>
      </w:pPr>
      <w:r>
        <w:rPr>
          <w:rFonts w:ascii="Verdana" w:eastAsia="Malgun Gothic" w:hAnsi="Verdana" w:cs="Arial"/>
          <w:color w:val="000000"/>
          <w:sz w:val="18"/>
          <w:szCs w:val="18"/>
          <w:lang w:val="el-GR"/>
        </w:rPr>
        <w:t>Κωνσταντίνου Μαρία</w:t>
      </w:r>
      <w:r w:rsidRPr="00573F8E">
        <w:rPr>
          <w:rFonts w:ascii="Verdana" w:eastAsia="Malgun Gothic" w:hAnsi="Verdana" w:cs="Arial"/>
          <w:color w:val="000000"/>
          <w:sz w:val="18"/>
          <w:szCs w:val="18"/>
          <w:lang w:val="el-GR"/>
        </w:rPr>
        <w:t xml:space="preserve">: </w:t>
      </w:r>
      <w:proofErr w:type="spellStart"/>
      <w:r w:rsidRPr="00573F8E">
        <w:rPr>
          <w:rFonts w:ascii="Verdana" w:eastAsia="Malgun Gothic" w:hAnsi="Verdana" w:cs="Arial"/>
          <w:color w:val="000000"/>
          <w:sz w:val="18"/>
          <w:szCs w:val="18"/>
          <w:lang w:val="el-GR"/>
        </w:rPr>
        <w:t>Τηλ</w:t>
      </w:r>
      <w:proofErr w:type="spellEnd"/>
      <w:r w:rsidRPr="00573F8E">
        <w:rPr>
          <w:rFonts w:ascii="Verdana" w:eastAsia="Malgun Gothic" w:hAnsi="Verdana" w:cs="Arial"/>
          <w:color w:val="000000"/>
          <w:sz w:val="18"/>
          <w:szCs w:val="18"/>
          <w:lang w:val="el-GR"/>
        </w:rPr>
        <w:t>:+357226022</w:t>
      </w:r>
      <w:r>
        <w:rPr>
          <w:rFonts w:ascii="Verdana" w:eastAsia="Malgun Gothic" w:hAnsi="Verdana" w:cs="Arial"/>
          <w:color w:val="000000"/>
          <w:sz w:val="18"/>
          <w:szCs w:val="18"/>
          <w:lang w:val="el-GR"/>
        </w:rPr>
        <w:t>26</w:t>
      </w:r>
      <w:r w:rsidRPr="00573F8E">
        <w:rPr>
          <w:rFonts w:ascii="Verdana" w:eastAsia="Malgun Gothic" w:hAnsi="Verdana" w:cs="Arial"/>
          <w:color w:val="000000"/>
          <w:sz w:val="18"/>
          <w:szCs w:val="18"/>
          <w:lang w:val="el-GR"/>
        </w:rPr>
        <w:t xml:space="preserve">, Ηλεκτρ. </w:t>
      </w:r>
      <w:proofErr w:type="spellStart"/>
      <w:r w:rsidRPr="00573F8E">
        <w:rPr>
          <w:rFonts w:ascii="Verdana" w:eastAsia="Malgun Gothic" w:hAnsi="Verdana" w:cs="Arial"/>
          <w:color w:val="000000"/>
          <w:sz w:val="18"/>
          <w:szCs w:val="18"/>
          <w:lang w:val="el-GR"/>
        </w:rPr>
        <w:t>Ταχ</w:t>
      </w:r>
      <w:proofErr w:type="spellEnd"/>
      <w:r w:rsidRPr="00573F8E">
        <w:rPr>
          <w:rFonts w:ascii="Verdana" w:eastAsia="Malgun Gothic" w:hAnsi="Verdana" w:cs="Arial"/>
          <w:color w:val="000000"/>
          <w:sz w:val="18"/>
          <w:szCs w:val="18"/>
          <w:lang w:val="el-GR"/>
        </w:rPr>
        <w:t xml:space="preserve">.: </w:t>
      </w:r>
      <w:hyperlink r:id="rId12" w:history="1">
        <w:r w:rsidRPr="005E1F3C">
          <w:rPr>
            <w:rStyle w:val="Hyperlink"/>
            <w:rFonts w:ascii="Verdana" w:hAnsi="Verdana"/>
            <w:sz w:val="18"/>
            <w:szCs w:val="18"/>
          </w:rPr>
          <w:t>mconstantinou</w:t>
        </w:r>
        <w:r w:rsidRPr="005E1F3C">
          <w:rPr>
            <w:rStyle w:val="Hyperlink"/>
            <w:rFonts w:ascii="Verdana" w:eastAsia="Malgun Gothic" w:hAnsi="Verdana" w:cs="Arial"/>
            <w:sz w:val="18"/>
            <w:szCs w:val="18"/>
            <w:lang w:val="pt-PT"/>
          </w:rPr>
          <w:t>@cystat.mof.gov.cy</w:t>
        </w:r>
      </w:hyperlink>
    </w:p>
    <w:p w14:paraId="38D9BFE2" w14:textId="77777777" w:rsidR="008A036B" w:rsidRPr="00573F8E" w:rsidRDefault="008A036B" w:rsidP="008A036B">
      <w:pPr>
        <w:jc w:val="both"/>
        <w:rPr>
          <w:rFonts w:ascii="Verdana" w:hAnsi="Verdana" w:cs="Arial"/>
          <w:sz w:val="18"/>
          <w:szCs w:val="18"/>
          <w:lang w:val="el-GR"/>
        </w:rPr>
      </w:pPr>
    </w:p>
    <w:p w14:paraId="7EB41036" w14:textId="77777777" w:rsidR="008A036B" w:rsidRDefault="008A036B" w:rsidP="000E4CB0">
      <w:pPr>
        <w:jc w:val="both"/>
        <w:rPr>
          <w:rFonts w:ascii="Verdana" w:hAnsi="Verdana" w:cs="Arial"/>
          <w:sz w:val="18"/>
          <w:szCs w:val="18"/>
          <w:lang w:val="el-GR"/>
        </w:rPr>
      </w:pPr>
    </w:p>
    <w:p w14:paraId="1D817A37" w14:textId="0B3A5C30" w:rsidR="001712CF" w:rsidRDefault="001712CF" w:rsidP="000E4CB0">
      <w:pPr>
        <w:jc w:val="both"/>
        <w:rPr>
          <w:rFonts w:ascii="Verdana" w:hAnsi="Verdana" w:cs="Arial"/>
          <w:sz w:val="18"/>
          <w:szCs w:val="18"/>
          <w:lang w:val="el-GR"/>
        </w:rPr>
      </w:pPr>
    </w:p>
    <w:p w14:paraId="58EF467F" w14:textId="6E7064A7" w:rsidR="001712CF" w:rsidRDefault="001712CF" w:rsidP="000E4CB0">
      <w:pPr>
        <w:jc w:val="both"/>
        <w:rPr>
          <w:rFonts w:ascii="Verdana" w:hAnsi="Verdana" w:cs="Arial"/>
          <w:sz w:val="18"/>
          <w:szCs w:val="18"/>
          <w:lang w:val="el-GR"/>
        </w:rPr>
      </w:pPr>
    </w:p>
    <w:p w14:paraId="68D257CC" w14:textId="687F1422" w:rsidR="001712CF" w:rsidRDefault="001712CF" w:rsidP="000E4CB0">
      <w:pPr>
        <w:jc w:val="both"/>
        <w:rPr>
          <w:rFonts w:ascii="Verdana" w:hAnsi="Verdana" w:cs="Arial"/>
          <w:sz w:val="18"/>
          <w:szCs w:val="18"/>
          <w:lang w:val="el-GR"/>
        </w:rPr>
      </w:pPr>
    </w:p>
    <w:p w14:paraId="6E34532F" w14:textId="6868356C"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113A8F">
      <w:headerReference w:type="even" r:id="rId13"/>
      <w:headerReference w:type="default" r:id="rId14"/>
      <w:footerReference w:type="even"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45138" w14:textId="77777777" w:rsidR="0068717B" w:rsidRDefault="0068717B" w:rsidP="00FB398F">
      <w:r>
        <w:separator/>
      </w:r>
    </w:p>
  </w:endnote>
  <w:endnote w:type="continuationSeparator" w:id="0">
    <w:p w14:paraId="05E4318D" w14:textId="77777777" w:rsidR="0068717B" w:rsidRDefault="0068717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1A452" w14:textId="77777777" w:rsidR="004845C3" w:rsidRDefault="00484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5764B1">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r w:rsidR="00000000">
      <w:fldChar w:fldCharType="begin"/>
    </w:r>
    <w:r w:rsidR="00000000">
      <w:instrText>HYPERLINK</w:instrText>
    </w:r>
    <w:r w:rsidR="00000000" w:rsidRPr="008652EC">
      <w:rPr>
        <w:lang w:val="el-GR"/>
      </w:rPr>
      <w:instrText xml:space="preserve"> "</w:instrText>
    </w:r>
    <w:r w:rsidR="00000000">
      <w:instrText>mailto</w:instrText>
    </w:r>
    <w:r w:rsidR="00000000" w:rsidRPr="008652EC">
      <w:rPr>
        <w:lang w:val="el-GR"/>
      </w:rPr>
      <w:instrText>:</w:instrText>
    </w:r>
    <w:r w:rsidR="00000000">
      <w:instrText>enquiries</w:instrText>
    </w:r>
    <w:r w:rsidR="00000000" w:rsidRPr="008652EC">
      <w:rPr>
        <w:lang w:val="el-GR"/>
      </w:rPr>
      <w:instrText>@</w:instrText>
    </w:r>
    <w:r w:rsidR="00000000">
      <w:instrText>cystat</w:instrText>
    </w:r>
    <w:r w:rsidR="00000000" w:rsidRPr="008652EC">
      <w:rPr>
        <w:lang w:val="el-GR"/>
      </w:rPr>
      <w:instrText>.</w:instrText>
    </w:r>
    <w:r w:rsidR="00000000">
      <w:instrText>mof</w:instrText>
    </w:r>
    <w:r w:rsidR="00000000" w:rsidRPr="008652EC">
      <w:rPr>
        <w:lang w:val="el-GR"/>
      </w:rPr>
      <w:instrText>.</w:instrText>
    </w:r>
    <w:r w:rsidR="00000000">
      <w:instrText>gov</w:instrText>
    </w:r>
    <w:r w:rsidR="00000000" w:rsidRPr="008652EC">
      <w:rPr>
        <w:lang w:val="el-GR"/>
      </w:rPr>
      <w:instrText>.</w:instrText>
    </w:r>
    <w:r w:rsidR="00000000">
      <w:instrText>cy</w:instrText>
    </w:r>
    <w:r w:rsidR="00000000" w:rsidRPr="008652EC">
      <w:rPr>
        <w:lang w:val="el-GR"/>
      </w:rPr>
      <w:instrText>"</w:instrText>
    </w:r>
    <w:r w:rsidR="00000000">
      <w:fldChar w:fldCharType="separate"/>
    </w:r>
    <w:r w:rsidRPr="00233FBF">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1"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69153" w14:textId="77777777" w:rsidR="0068717B" w:rsidRDefault="0068717B" w:rsidP="00FB398F">
      <w:r>
        <w:separator/>
      </w:r>
    </w:p>
  </w:footnote>
  <w:footnote w:type="continuationSeparator" w:id="0">
    <w:p w14:paraId="0665B40D" w14:textId="77777777" w:rsidR="0068717B" w:rsidRDefault="0068717B"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2864" w14:textId="77777777" w:rsidR="004845C3" w:rsidRDefault="00484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483BC0B8"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126458543">
    <w:abstractNumId w:val="4"/>
  </w:num>
  <w:num w:numId="2" w16cid:durableId="1168256243">
    <w:abstractNumId w:val="1"/>
  </w:num>
  <w:num w:numId="3" w16cid:durableId="900672289">
    <w:abstractNumId w:val="2"/>
  </w:num>
  <w:num w:numId="4" w16cid:durableId="407272452">
    <w:abstractNumId w:val="3"/>
  </w:num>
  <w:num w:numId="5" w16cid:durableId="1919055165">
    <w:abstractNumId w:val="0"/>
  </w:num>
  <w:num w:numId="6" w16cid:durableId="1461875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E40"/>
    <w:rsid w:val="000161B1"/>
    <w:rsid w:val="00020D24"/>
    <w:rsid w:val="00025A39"/>
    <w:rsid w:val="00027853"/>
    <w:rsid w:val="00030E18"/>
    <w:rsid w:val="00031D32"/>
    <w:rsid w:val="0003603D"/>
    <w:rsid w:val="00045088"/>
    <w:rsid w:val="00045A06"/>
    <w:rsid w:val="00050391"/>
    <w:rsid w:val="00054AE7"/>
    <w:rsid w:val="00055291"/>
    <w:rsid w:val="000563D3"/>
    <w:rsid w:val="00057E44"/>
    <w:rsid w:val="00061299"/>
    <w:rsid w:val="00070576"/>
    <w:rsid w:val="000752BB"/>
    <w:rsid w:val="00081ADF"/>
    <w:rsid w:val="00084A02"/>
    <w:rsid w:val="00084BF7"/>
    <w:rsid w:val="000870E9"/>
    <w:rsid w:val="000932CF"/>
    <w:rsid w:val="00096ED8"/>
    <w:rsid w:val="000A1A88"/>
    <w:rsid w:val="000A1CBA"/>
    <w:rsid w:val="000A2B5C"/>
    <w:rsid w:val="000A351B"/>
    <w:rsid w:val="000A3601"/>
    <w:rsid w:val="000A5BAE"/>
    <w:rsid w:val="000A6FA8"/>
    <w:rsid w:val="000C1070"/>
    <w:rsid w:val="000C4E72"/>
    <w:rsid w:val="000D1E7A"/>
    <w:rsid w:val="000D572B"/>
    <w:rsid w:val="000E24B1"/>
    <w:rsid w:val="000E2735"/>
    <w:rsid w:val="000E32D6"/>
    <w:rsid w:val="000E4CB0"/>
    <w:rsid w:val="000E57F2"/>
    <w:rsid w:val="000E72A7"/>
    <w:rsid w:val="000F1162"/>
    <w:rsid w:val="000F3467"/>
    <w:rsid w:val="000F38DE"/>
    <w:rsid w:val="000F532A"/>
    <w:rsid w:val="000F5D6C"/>
    <w:rsid w:val="00106852"/>
    <w:rsid w:val="00110D15"/>
    <w:rsid w:val="00110F9D"/>
    <w:rsid w:val="00113A8F"/>
    <w:rsid w:val="00114A67"/>
    <w:rsid w:val="001253B6"/>
    <w:rsid w:val="001262C3"/>
    <w:rsid w:val="00127320"/>
    <w:rsid w:val="00127456"/>
    <w:rsid w:val="001312D8"/>
    <w:rsid w:val="0013137B"/>
    <w:rsid w:val="0015118B"/>
    <w:rsid w:val="001519CE"/>
    <w:rsid w:val="00160792"/>
    <w:rsid w:val="00161CF3"/>
    <w:rsid w:val="00162C00"/>
    <w:rsid w:val="001639EF"/>
    <w:rsid w:val="0016589F"/>
    <w:rsid w:val="001712CF"/>
    <w:rsid w:val="001763B8"/>
    <w:rsid w:val="00176F5C"/>
    <w:rsid w:val="0017769A"/>
    <w:rsid w:val="00183DFC"/>
    <w:rsid w:val="00184384"/>
    <w:rsid w:val="00186717"/>
    <w:rsid w:val="00187FFC"/>
    <w:rsid w:val="0019391C"/>
    <w:rsid w:val="0019790B"/>
    <w:rsid w:val="001A2018"/>
    <w:rsid w:val="001B2C39"/>
    <w:rsid w:val="001B3675"/>
    <w:rsid w:val="001B5E10"/>
    <w:rsid w:val="001B6AB3"/>
    <w:rsid w:val="001B73D5"/>
    <w:rsid w:val="001C0681"/>
    <w:rsid w:val="001C62B3"/>
    <w:rsid w:val="001C7C8C"/>
    <w:rsid w:val="001D0D6A"/>
    <w:rsid w:val="001D20A4"/>
    <w:rsid w:val="001E00D1"/>
    <w:rsid w:val="001E0E58"/>
    <w:rsid w:val="001E14F3"/>
    <w:rsid w:val="001E15ED"/>
    <w:rsid w:val="001E61AA"/>
    <w:rsid w:val="0020309E"/>
    <w:rsid w:val="002045E7"/>
    <w:rsid w:val="00210B58"/>
    <w:rsid w:val="00222423"/>
    <w:rsid w:val="00225B28"/>
    <w:rsid w:val="00226891"/>
    <w:rsid w:val="00230D9B"/>
    <w:rsid w:val="002313AC"/>
    <w:rsid w:val="00235FB2"/>
    <w:rsid w:val="00237BC1"/>
    <w:rsid w:val="002430B4"/>
    <w:rsid w:val="002447D0"/>
    <w:rsid w:val="002454C5"/>
    <w:rsid w:val="00245E19"/>
    <w:rsid w:val="00246AEB"/>
    <w:rsid w:val="00250005"/>
    <w:rsid w:val="0025254F"/>
    <w:rsid w:val="0025566D"/>
    <w:rsid w:val="0025595C"/>
    <w:rsid w:val="00257149"/>
    <w:rsid w:val="002576E7"/>
    <w:rsid w:val="00260357"/>
    <w:rsid w:val="00264F04"/>
    <w:rsid w:val="00267554"/>
    <w:rsid w:val="00270BEE"/>
    <w:rsid w:val="0028338F"/>
    <w:rsid w:val="002915C4"/>
    <w:rsid w:val="00297E6B"/>
    <w:rsid w:val="002A1D1C"/>
    <w:rsid w:val="002A34DC"/>
    <w:rsid w:val="002A4D64"/>
    <w:rsid w:val="002B0090"/>
    <w:rsid w:val="002B4969"/>
    <w:rsid w:val="002B6554"/>
    <w:rsid w:val="002D05F0"/>
    <w:rsid w:val="002D2829"/>
    <w:rsid w:val="002D7D4A"/>
    <w:rsid w:val="002E3846"/>
    <w:rsid w:val="002E3F78"/>
    <w:rsid w:val="002F400C"/>
    <w:rsid w:val="002F4D76"/>
    <w:rsid w:val="002F6D26"/>
    <w:rsid w:val="0030231E"/>
    <w:rsid w:val="003042C4"/>
    <w:rsid w:val="00304CB4"/>
    <w:rsid w:val="00313F37"/>
    <w:rsid w:val="003141D0"/>
    <w:rsid w:val="003168C1"/>
    <w:rsid w:val="00322314"/>
    <w:rsid w:val="00322FBE"/>
    <w:rsid w:val="00325632"/>
    <w:rsid w:val="00327549"/>
    <w:rsid w:val="003342A5"/>
    <w:rsid w:val="00334616"/>
    <w:rsid w:val="00336C36"/>
    <w:rsid w:val="00343815"/>
    <w:rsid w:val="00350FC8"/>
    <w:rsid w:val="003522BB"/>
    <w:rsid w:val="00352F6C"/>
    <w:rsid w:val="003556EA"/>
    <w:rsid w:val="00386FC7"/>
    <w:rsid w:val="00390A32"/>
    <w:rsid w:val="003A1E91"/>
    <w:rsid w:val="003A40F2"/>
    <w:rsid w:val="003A50D1"/>
    <w:rsid w:val="003A57EC"/>
    <w:rsid w:val="003B0BAC"/>
    <w:rsid w:val="003B196D"/>
    <w:rsid w:val="003B2710"/>
    <w:rsid w:val="003B4608"/>
    <w:rsid w:val="003C2392"/>
    <w:rsid w:val="003C5174"/>
    <w:rsid w:val="003C5240"/>
    <w:rsid w:val="003C76E6"/>
    <w:rsid w:val="003D14E0"/>
    <w:rsid w:val="003D1EA5"/>
    <w:rsid w:val="003D3348"/>
    <w:rsid w:val="003D4E63"/>
    <w:rsid w:val="003D6822"/>
    <w:rsid w:val="003D724C"/>
    <w:rsid w:val="003E0CE2"/>
    <w:rsid w:val="003F49E4"/>
    <w:rsid w:val="003F4D2F"/>
    <w:rsid w:val="003F5E32"/>
    <w:rsid w:val="003F75F6"/>
    <w:rsid w:val="00404670"/>
    <w:rsid w:val="00414CA0"/>
    <w:rsid w:val="00422F54"/>
    <w:rsid w:val="00431516"/>
    <w:rsid w:val="004361B3"/>
    <w:rsid w:val="0044249D"/>
    <w:rsid w:val="0044379F"/>
    <w:rsid w:val="00444FCC"/>
    <w:rsid w:val="00446FB1"/>
    <w:rsid w:val="00452753"/>
    <w:rsid w:val="0046078F"/>
    <w:rsid w:val="00463214"/>
    <w:rsid w:val="0046434D"/>
    <w:rsid w:val="004656FA"/>
    <w:rsid w:val="00471D77"/>
    <w:rsid w:val="00475587"/>
    <w:rsid w:val="00480BC2"/>
    <w:rsid w:val="004845C3"/>
    <w:rsid w:val="004929C2"/>
    <w:rsid w:val="00493FDD"/>
    <w:rsid w:val="0049586B"/>
    <w:rsid w:val="004A3E44"/>
    <w:rsid w:val="004B2018"/>
    <w:rsid w:val="004B2896"/>
    <w:rsid w:val="004B38E9"/>
    <w:rsid w:val="004B3FBA"/>
    <w:rsid w:val="004B6599"/>
    <w:rsid w:val="004C6A35"/>
    <w:rsid w:val="004C6CA7"/>
    <w:rsid w:val="004D4357"/>
    <w:rsid w:val="004D4950"/>
    <w:rsid w:val="004E2393"/>
    <w:rsid w:val="004E3745"/>
    <w:rsid w:val="004E42BE"/>
    <w:rsid w:val="004E4F42"/>
    <w:rsid w:val="004E63D5"/>
    <w:rsid w:val="004F03FD"/>
    <w:rsid w:val="004F52F0"/>
    <w:rsid w:val="004F6250"/>
    <w:rsid w:val="004F677C"/>
    <w:rsid w:val="004F6D8F"/>
    <w:rsid w:val="00500385"/>
    <w:rsid w:val="00505503"/>
    <w:rsid w:val="0051107B"/>
    <w:rsid w:val="00512F9C"/>
    <w:rsid w:val="00527CDB"/>
    <w:rsid w:val="005341C9"/>
    <w:rsid w:val="005369CA"/>
    <w:rsid w:val="00536DE9"/>
    <w:rsid w:val="00541E08"/>
    <w:rsid w:val="00554FE0"/>
    <w:rsid w:val="0055789A"/>
    <w:rsid w:val="00560952"/>
    <w:rsid w:val="00563653"/>
    <w:rsid w:val="005652D1"/>
    <w:rsid w:val="005660A0"/>
    <w:rsid w:val="00566A4F"/>
    <w:rsid w:val="00567D64"/>
    <w:rsid w:val="005764B1"/>
    <w:rsid w:val="005978D4"/>
    <w:rsid w:val="005A23FA"/>
    <w:rsid w:val="005B2A67"/>
    <w:rsid w:val="005B3DCD"/>
    <w:rsid w:val="005B4AD4"/>
    <w:rsid w:val="005C2798"/>
    <w:rsid w:val="005C36C3"/>
    <w:rsid w:val="005C56EE"/>
    <w:rsid w:val="005D1714"/>
    <w:rsid w:val="005D7638"/>
    <w:rsid w:val="005F12F5"/>
    <w:rsid w:val="005F7C7D"/>
    <w:rsid w:val="006044B7"/>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643E"/>
    <w:rsid w:val="00667E07"/>
    <w:rsid w:val="00671785"/>
    <w:rsid w:val="00672BA9"/>
    <w:rsid w:val="00673005"/>
    <w:rsid w:val="006804BE"/>
    <w:rsid w:val="0068434A"/>
    <w:rsid w:val="0068717B"/>
    <w:rsid w:val="0069008E"/>
    <w:rsid w:val="0069087E"/>
    <w:rsid w:val="006925C4"/>
    <w:rsid w:val="006A02A1"/>
    <w:rsid w:val="006A02B7"/>
    <w:rsid w:val="006A7019"/>
    <w:rsid w:val="006B46D5"/>
    <w:rsid w:val="006B46F4"/>
    <w:rsid w:val="006C7AF3"/>
    <w:rsid w:val="006D0B9D"/>
    <w:rsid w:val="006D53CD"/>
    <w:rsid w:val="006D6548"/>
    <w:rsid w:val="006E0E20"/>
    <w:rsid w:val="006E4256"/>
    <w:rsid w:val="006E4BBA"/>
    <w:rsid w:val="006E5F43"/>
    <w:rsid w:val="006E60A6"/>
    <w:rsid w:val="006F0F69"/>
    <w:rsid w:val="006F116B"/>
    <w:rsid w:val="006F117F"/>
    <w:rsid w:val="006F13DF"/>
    <w:rsid w:val="006F2780"/>
    <w:rsid w:val="00702ECB"/>
    <w:rsid w:val="00702F26"/>
    <w:rsid w:val="0070313E"/>
    <w:rsid w:val="00703799"/>
    <w:rsid w:val="00705C5C"/>
    <w:rsid w:val="00711475"/>
    <w:rsid w:val="0072548A"/>
    <w:rsid w:val="007277A6"/>
    <w:rsid w:val="007437AB"/>
    <w:rsid w:val="00745425"/>
    <w:rsid w:val="00745978"/>
    <w:rsid w:val="007534F8"/>
    <w:rsid w:val="007545AD"/>
    <w:rsid w:val="00761E3A"/>
    <w:rsid w:val="00763722"/>
    <w:rsid w:val="00764BC1"/>
    <w:rsid w:val="00770869"/>
    <w:rsid w:val="007738AA"/>
    <w:rsid w:val="00780A62"/>
    <w:rsid w:val="00783241"/>
    <w:rsid w:val="00784BDC"/>
    <w:rsid w:val="00792F28"/>
    <w:rsid w:val="007935CA"/>
    <w:rsid w:val="0079543F"/>
    <w:rsid w:val="00795880"/>
    <w:rsid w:val="007A4367"/>
    <w:rsid w:val="007B0867"/>
    <w:rsid w:val="007B1AC1"/>
    <w:rsid w:val="007B5A08"/>
    <w:rsid w:val="007B693D"/>
    <w:rsid w:val="007C4CDC"/>
    <w:rsid w:val="007E041B"/>
    <w:rsid w:val="007E199A"/>
    <w:rsid w:val="007E1AED"/>
    <w:rsid w:val="007E2415"/>
    <w:rsid w:val="007E39F3"/>
    <w:rsid w:val="007E405E"/>
    <w:rsid w:val="007E68F4"/>
    <w:rsid w:val="007E6DE2"/>
    <w:rsid w:val="007F31BA"/>
    <w:rsid w:val="007F4078"/>
    <w:rsid w:val="0080014B"/>
    <w:rsid w:val="0080066A"/>
    <w:rsid w:val="00801793"/>
    <w:rsid w:val="00803642"/>
    <w:rsid w:val="00806EA2"/>
    <w:rsid w:val="00812A2B"/>
    <w:rsid w:val="00814A4C"/>
    <w:rsid w:val="00831AAB"/>
    <w:rsid w:val="00833BCD"/>
    <w:rsid w:val="00834B82"/>
    <w:rsid w:val="0083574E"/>
    <w:rsid w:val="0083640C"/>
    <w:rsid w:val="008374E3"/>
    <w:rsid w:val="0084157B"/>
    <w:rsid w:val="00842BFB"/>
    <w:rsid w:val="008460C7"/>
    <w:rsid w:val="00846B85"/>
    <w:rsid w:val="00847DC3"/>
    <w:rsid w:val="00847F49"/>
    <w:rsid w:val="008535C5"/>
    <w:rsid w:val="00853765"/>
    <w:rsid w:val="0085516F"/>
    <w:rsid w:val="008652EC"/>
    <w:rsid w:val="00867186"/>
    <w:rsid w:val="00870AF6"/>
    <w:rsid w:val="00877452"/>
    <w:rsid w:val="00881268"/>
    <w:rsid w:val="0088394A"/>
    <w:rsid w:val="008860BD"/>
    <w:rsid w:val="008861A8"/>
    <w:rsid w:val="00887399"/>
    <w:rsid w:val="0088779E"/>
    <w:rsid w:val="008912AF"/>
    <w:rsid w:val="00892114"/>
    <w:rsid w:val="00892CB9"/>
    <w:rsid w:val="008935CB"/>
    <w:rsid w:val="008A036B"/>
    <w:rsid w:val="008B0E7E"/>
    <w:rsid w:val="008B65BD"/>
    <w:rsid w:val="008B7900"/>
    <w:rsid w:val="008C4711"/>
    <w:rsid w:val="008C71BF"/>
    <w:rsid w:val="008C7FE0"/>
    <w:rsid w:val="008D5717"/>
    <w:rsid w:val="008E223D"/>
    <w:rsid w:val="008E44A9"/>
    <w:rsid w:val="008E6B4D"/>
    <w:rsid w:val="008E6BFF"/>
    <w:rsid w:val="008F21AF"/>
    <w:rsid w:val="008F2400"/>
    <w:rsid w:val="008F61BA"/>
    <w:rsid w:val="008F6E3C"/>
    <w:rsid w:val="008F7C55"/>
    <w:rsid w:val="00904415"/>
    <w:rsid w:val="00914A23"/>
    <w:rsid w:val="00930754"/>
    <w:rsid w:val="00934F68"/>
    <w:rsid w:val="009355AC"/>
    <w:rsid w:val="00935F38"/>
    <w:rsid w:val="00937586"/>
    <w:rsid w:val="00947889"/>
    <w:rsid w:val="009478BD"/>
    <w:rsid w:val="00960E98"/>
    <w:rsid w:val="00963A82"/>
    <w:rsid w:val="00972912"/>
    <w:rsid w:val="00973BFC"/>
    <w:rsid w:val="00976D1F"/>
    <w:rsid w:val="00981C81"/>
    <w:rsid w:val="009907CE"/>
    <w:rsid w:val="009A2D24"/>
    <w:rsid w:val="009A456C"/>
    <w:rsid w:val="009B00E0"/>
    <w:rsid w:val="009B292A"/>
    <w:rsid w:val="009B76D5"/>
    <w:rsid w:val="009C165D"/>
    <w:rsid w:val="009C3CEA"/>
    <w:rsid w:val="009C583D"/>
    <w:rsid w:val="009D2611"/>
    <w:rsid w:val="009D79D2"/>
    <w:rsid w:val="009E247C"/>
    <w:rsid w:val="009E31BA"/>
    <w:rsid w:val="009F0528"/>
    <w:rsid w:val="009F0806"/>
    <w:rsid w:val="009F233B"/>
    <w:rsid w:val="00A05D16"/>
    <w:rsid w:val="00A0659F"/>
    <w:rsid w:val="00A079BA"/>
    <w:rsid w:val="00A14E8C"/>
    <w:rsid w:val="00A20C70"/>
    <w:rsid w:val="00A320F2"/>
    <w:rsid w:val="00A33875"/>
    <w:rsid w:val="00A360A1"/>
    <w:rsid w:val="00A402B3"/>
    <w:rsid w:val="00A45724"/>
    <w:rsid w:val="00A5249A"/>
    <w:rsid w:val="00A544B7"/>
    <w:rsid w:val="00A618CF"/>
    <w:rsid w:val="00A62770"/>
    <w:rsid w:val="00A62EEB"/>
    <w:rsid w:val="00A660FF"/>
    <w:rsid w:val="00A73395"/>
    <w:rsid w:val="00A771E3"/>
    <w:rsid w:val="00A82B4C"/>
    <w:rsid w:val="00A93A4C"/>
    <w:rsid w:val="00A94D5D"/>
    <w:rsid w:val="00AA1D9B"/>
    <w:rsid w:val="00AA2543"/>
    <w:rsid w:val="00AA3804"/>
    <w:rsid w:val="00AA55C2"/>
    <w:rsid w:val="00AB0ACA"/>
    <w:rsid w:val="00AB1D41"/>
    <w:rsid w:val="00AC5E9A"/>
    <w:rsid w:val="00AC704B"/>
    <w:rsid w:val="00AD553E"/>
    <w:rsid w:val="00AD5848"/>
    <w:rsid w:val="00AE10E6"/>
    <w:rsid w:val="00AE5ADA"/>
    <w:rsid w:val="00AF6145"/>
    <w:rsid w:val="00B01386"/>
    <w:rsid w:val="00B01915"/>
    <w:rsid w:val="00B01BB5"/>
    <w:rsid w:val="00B026CC"/>
    <w:rsid w:val="00B04AF4"/>
    <w:rsid w:val="00B05214"/>
    <w:rsid w:val="00B30D97"/>
    <w:rsid w:val="00B31074"/>
    <w:rsid w:val="00B3181A"/>
    <w:rsid w:val="00B35A7C"/>
    <w:rsid w:val="00B44ECD"/>
    <w:rsid w:val="00B450D1"/>
    <w:rsid w:val="00B47216"/>
    <w:rsid w:val="00B53D47"/>
    <w:rsid w:val="00B54A25"/>
    <w:rsid w:val="00B618C3"/>
    <w:rsid w:val="00B63652"/>
    <w:rsid w:val="00B668B0"/>
    <w:rsid w:val="00B70F5C"/>
    <w:rsid w:val="00B71873"/>
    <w:rsid w:val="00B75AE5"/>
    <w:rsid w:val="00B800C0"/>
    <w:rsid w:val="00B8132B"/>
    <w:rsid w:val="00B84C5A"/>
    <w:rsid w:val="00B858F5"/>
    <w:rsid w:val="00B93668"/>
    <w:rsid w:val="00B96158"/>
    <w:rsid w:val="00BA68C6"/>
    <w:rsid w:val="00BB12F1"/>
    <w:rsid w:val="00BB276E"/>
    <w:rsid w:val="00BB3FEE"/>
    <w:rsid w:val="00BB5EB0"/>
    <w:rsid w:val="00BC245A"/>
    <w:rsid w:val="00BD16FA"/>
    <w:rsid w:val="00BD41C3"/>
    <w:rsid w:val="00BD488B"/>
    <w:rsid w:val="00BD7CCC"/>
    <w:rsid w:val="00BE002A"/>
    <w:rsid w:val="00BE0283"/>
    <w:rsid w:val="00BE1BC9"/>
    <w:rsid w:val="00BE5CDA"/>
    <w:rsid w:val="00BE608F"/>
    <w:rsid w:val="00BF23BB"/>
    <w:rsid w:val="00BF33DD"/>
    <w:rsid w:val="00BF5755"/>
    <w:rsid w:val="00BF684B"/>
    <w:rsid w:val="00C016F3"/>
    <w:rsid w:val="00C15193"/>
    <w:rsid w:val="00C15609"/>
    <w:rsid w:val="00C15F6A"/>
    <w:rsid w:val="00C23EA7"/>
    <w:rsid w:val="00C256F3"/>
    <w:rsid w:val="00C270A2"/>
    <w:rsid w:val="00C315B5"/>
    <w:rsid w:val="00C33970"/>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742C8"/>
    <w:rsid w:val="00C83027"/>
    <w:rsid w:val="00C84B8A"/>
    <w:rsid w:val="00C85E65"/>
    <w:rsid w:val="00C87CA1"/>
    <w:rsid w:val="00C911B4"/>
    <w:rsid w:val="00C91B3B"/>
    <w:rsid w:val="00C94262"/>
    <w:rsid w:val="00C976E1"/>
    <w:rsid w:val="00CA148E"/>
    <w:rsid w:val="00CA3A9A"/>
    <w:rsid w:val="00CB6BC1"/>
    <w:rsid w:val="00CB7021"/>
    <w:rsid w:val="00CC7AB9"/>
    <w:rsid w:val="00CD3294"/>
    <w:rsid w:val="00CD4524"/>
    <w:rsid w:val="00CD784D"/>
    <w:rsid w:val="00CE087B"/>
    <w:rsid w:val="00CF3A1C"/>
    <w:rsid w:val="00CF40F8"/>
    <w:rsid w:val="00D008DA"/>
    <w:rsid w:val="00D0416F"/>
    <w:rsid w:val="00D05851"/>
    <w:rsid w:val="00D10FED"/>
    <w:rsid w:val="00D11736"/>
    <w:rsid w:val="00D12EE8"/>
    <w:rsid w:val="00D14CDF"/>
    <w:rsid w:val="00D15FF1"/>
    <w:rsid w:val="00D167F4"/>
    <w:rsid w:val="00D2092A"/>
    <w:rsid w:val="00D2216D"/>
    <w:rsid w:val="00D31A6F"/>
    <w:rsid w:val="00D353D1"/>
    <w:rsid w:val="00D367DB"/>
    <w:rsid w:val="00D36E05"/>
    <w:rsid w:val="00D44F27"/>
    <w:rsid w:val="00D45304"/>
    <w:rsid w:val="00D46165"/>
    <w:rsid w:val="00D461C7"/>
    <w:rsid w:val="00D50424"/>
    <w:rsid w:val="00D525C9"/>
    <w:rsid w:val="00D57D3E"/>
    <w:rsid w:val="00D76249"/>
    <w:rsid w:val="00DA7D12"/>
    <w:rsid w:val="00DC23CF"/>
    <w:rsid w:val="00DC6562"/>
    <w:rsid w:val="00DE130D"/>
    <w:rsid w:val="00DE24CF"/>
    <w:rsid w:val="00DE407C"/>
    <w:rsid w:val="00DE67CB"/>
    <w:rsid w:val="00DE7C7D"/>
    <w:rsid w:val="00DF2992"/>
    <w:rsid w:val="00DF2D0C"/>
    <w:rsid w:val="00DF3F02"/>
    <w:rsid w:val="00E00058"/>
    <w:rsid w:val="00E01B9D"/>
    <w:rsid w:val="00E0468F"/>
    <w:rsid w:val="00E04F5E"/>
    <w:rsid w:val="00E0522E"/>
    <w:rsid w:val="00E120F4"/>
    <w:rsid w:val="00E15969"/>
    <w:rsid w:val="00E17172"/>
    <w:rsid w:val="00E20B95"/>
    <w:rsid w:val="00E3181C"/>
    <w:rsid w:val="00E3280A"/>
    <w:rsid w:val="00E34A8C"/>
    <w:rsid w:val="00E372AF"/>
    <w:rsid w:val="00E37D68"/>
    <w:rsid w:val="00E40EAE"/>
    <w:rsid w:val="00E436AC"/>
    <w:rsid w:val="00E44F7A"/>
    <w:rsid w:val="00E44FF8"/>
    <w:rsid w:val="00E5066A"/>
    <w:rsid w:val="00E52CF9"/>
    <w:rsid w:val="00E63F34"/>
    <w:rsid w:val="00E63FEA"/>
    <w:rsid w:val="00E6715A"/>
    <w:rsid w:val="00E75DC9"/>
    <w:rsid w:val="00E81610"/>
    <w:rsid w:val="00E84910"/>
    <w:rsid w:val="00E85B28"/>
    <w:rsid w:val="00E91976"/>
    <w:rsid w:val="00E947A6"/>
    <w:rsid w:val="00E97FC7"/>
    <w:rsid w:val="00EA0690"/>
    <w:rsid w:val="00EA3956"/>
    <w:rsid w:val="00EA7136"/>
    <w:rsid w:val="00EB325A"/>
    <w:rsid w:val="00EC02A5"/>
    <w:rsid w:val="00EC176B"/>
    <w:rsid w:val="00EC33CD"/>
    <w:rsid w:val="00EC5BE5"/>
    <w:rsid w:val="00ED2650"/>
    <w:rsid w:val="00ED721A"/>
    <w:rsid w:val="00EE393D"/>
    <w:rsid w:val="00EF01CF"/>
    <w:rsid w:val="00EF1CD6"/>
    <w:rsid w:val="00EF6A47"/>
    <w:rsid w:val="00EF7AF9"/>
    <w:rsid w:val="00F00952"/>
    <w:rsid w:val="00F01495"/>
    <w:rsid w:val="00F10138"/>
    <w:rsid w:val="00F13F92"/>
    <w:rsid w:val="00F22ECA"/>
    <w:rsid w:val="00F240E8"/>
    <w:rsid w:val="00F244FA"/>
    <w:rsid w:val="00F32034"/>
    <w:rsid w:val="00F366A2"/>
    <w:rsid w:val="00F44F43"/>
    <w:rsid w:val="00F450E1"/>
    <w:rsid w:val="00F50DF4"/>
    <w:rsid w:val="00F57AFE"/>
    <w:rsid w:val="00F6278E"/>
    <w:rsid w:val="00F63C41"/>
    <w:rsid w:val="00F63E96"/>
    <w:rsid w:val="00F701E3"/>
    <w:rsid w:val="00F71008"/>
    <w:rsid w:val="00F71F8C"/>
    <w:rsid w:val="00F74943"/>
    <w:rsid w:val="00F86AD4"/>
    <w:rsid w:val="00FA0113"/>
    <w:rsid w:val="00FA12B2"/>
    <w:rsid w:val="00FA7610"/>
    <w:rsid w:val="00FB02BD"/>
    <w:rsid w:val="00FB398F"/>
    <w:rsid w:val="00FB4EF8"/>
    <w:rsid w:val="00FB54AE"/>
    <w:rsid w:val="00FB709A"/>
    <w:rsid w:val="00FB78DD"/>
    <w:rsid w:val="00FC3EF3"/>
    <w:rsid w:val="00FC5D35"/>
    <w:rsid w:val="00FD2049"/>
    <w:rsid w:val="00FD2140"/>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8A03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onstantinou@cystat.mof.gov.c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National%20Accounts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l/SubthemeStatistics?s=45"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el-GR" sz="1100" b="1">
                <a:solidFill>
                  <a:sysClr val="windowText" lastClr="000000"/>
                </a:solidFill>
                <a:latin typeface="Verdana" panose="020B0604030504040204" pitchFamily="34" charset="0"/>
                <a:ea typeface="Verdana" panose="020B0604030504040204" pitchFamily="34" charset="0"/>
              </a:rPr>
              <a:t>Ρυθμός Μεταβολής του ΑΕΠ σε Μετρήσεις Όγκου</a:t>
            </a:r>
            <a:endParaRPr lang="en-US" sz="1100" b="1">
              <a:solidFill>
                <a:sysClr val="windowText" lastClr="000000"/>
              </a:solidFill>
              <a:latin typeface="Verdana" panose="020B0604030504040204" pitchFamily="34" charset="0"/>
              <a:ea typeface="Verdana" panose="020B0604030504040204" pitchFamily="34" charset="0"/>
            </a:endParaRPr>
          </a:p>
          <a:p>
            <a:pPr>
              <a:defRPr sz="1100" b="1">
                <a:solidFill>
                  <a:sysClr val="windowText" lastClr="000000"/>
                </a:solidFill>
                <a:latin typeface="Verdana" panose="020B0604030504040204" pitchFamily="34" charset="0"/>
                <a:ea typeface="Verdana" panose="020B0604030504040204" pitchFamily="34" charset="0"/>
              </a:defRPr>
            </a:pPr>
            <a:r>
              <a:rPr lang="el-GR" sz="1100" b="0">
                <a:solidFill>
                  <a:sysClr val="windowText" lastClr="000000"/>
                </a:solidFill>
                <a:latin typeface="Verdana" panose="020B0604030504040204" pitchFamily="34" charset="0"/>
                <a:ea typeface="Verdana" panose="020B0604030504040204" pitchFamily="34" charset="0"/>
              </a:rPr>
              <a:t>Σύγκριση με το αντίστοιχο τρίμηνο του προηγούμενου έτους</a:t>
            </a:r>
            <a:endParaRPr lang="en-US" sz="1100" b="0">
              <a:solidFill>
                <a:sysClr val="windowText" lastClr="000000"/>
              </a:solidFill>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en-CY"/>
        </a:p>
      </c:txPr>
    </c:title>
    <c:autoTitleDeleted val="0"/>
    <c:plotArea>
      <c:layout>
        <c:manualLayout>
          <c:layoutTarget val="inner"/>
          <c:xMode val="edge"/>
          <c:yMode val="edge"/>
          <c:x val="0.1062321719588973"/>
          <c:y val="0.13707777155338313"/>
          <c:w val="0.86034659393066049"/>
          <c:h val="0.69285251002955117"/>
        </c:manualLayout>
      </c:layout>
      <c:barChart>
        <c:barDir val="col"/>
        <c:grouping val="clustered"/>
        <c:varyColors val="0"/>
        <c:ser>
          <c:idx val="0"/>
          <c:order val="0"/>
          <c:tx>
            <c:strRef>
              <c:f>'Graph EL'!$C$2</c:f>
              <c:strCache>
                <c:ptCount val="1"/>
                <c:pt idx="0">
                  <c:v>ΑΕΠ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 EL'!$A$8:$B$12</c:f>
              <c:multiLvlStrCache>
                <c:ptCount val="5"/>
                <c:lvl>
                  <c:pt idx="0">
                    <c:v>Τ2</c:v>
                  </c:pt>
                  <c:pt idx="1">
                    <c:v>Τ3</c:v>
                  </c:pt>
                  <c:pt idx="2">
                    <c:v>Τ4</c:v>
                  </c:pt>
                  <c:pt idx="3">
                    <c:v>Τ1</c:v>
                  </c:pt>
                  <c:pt idx="4">
                    <c:v>Τ2</c:v>
                  </c:pt>
                </c:lvl>
                <c:lvl>
                  <c:pt idx="0">
                    <c:v>2023</c:v>
                  </c:pt>
                  <c:pt idx="3">
                    <c:v>2024</c:v>
                  </c:pt>
                </c:lvl>
              </c:multiLvlStrCache>
            </c:multiLvlStrRef>
          </c:cat>
          <c:val>
            <c:numRef>
              <c:f>'Graph EL'!$C$8:$C$12</c:f>
              <c:numCache>
                <c:formatCode>0.0</c:formatCode>
                <c:ptCount val="5"/>
                <c:pt idx="0">
                  <c:v>2.2000000000000002</c:v>
                </c:pt>
                <c:pt idx="1">
                  <c:v>2.6</c:v>
                </c:pt>
                <c:pt idx="2">
                  <c:v>2.1</c:v>
                </c:pt>
                <c:pt idx="3">
                  <c:v>3.5</c:v>
                </c:pt>
                <c:pt idx="4">
                  <c:v>3.6</c:v>
                </c:pt>
              </c:numCache>
            </c:numRef>
          </c:val>
          <c:extLst>
            <c:ext xmlns:c16="http://schemas.microsoft.com/office/drawing/2014/chart" uri="{C3380CC4-5D6E-409C-BE32-E72D297353CC}">
              <c16:uniqueId val="{00000000-B0C2-43B5-A62A-BA0899A1BECD}"/>
            </c:ext>
          </c:extLst>
        </c:ser>
        <c:ser>
          <c:idx val="1"/>
          <c:order val="1"/>
          <c:tx>
            <c:strRef>
              <c:f>'Graph EL'!$D$2</c:f>
              <c:strCache>
                <c:ptCount val="1"/>
                <c:pt idx="0">
                  <c:v>ΑΕΠ (διορθωμένο ως προς τις εποχικές διακυμάνσεις και τις εργάσιμες μέρες)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 EL'!$A$8:$B$12</c:f>
              <c:multiLvlStrCache>
                <c:ptCount val="5"/>
                <c:lvl>
                  <c:pt idx="0">
                    <c:v>Τ2</c:v>
                  </c:pt>
                  <c:pt idx="1">
                    <c:v>Τ3</c:v>
                  </c:pt>
                  <c:pt idx="2">
                    <c:v>Τ4</c:v>
                  </c:pt>
                  <c:pt idx="3">
                    <c:v>Τ1</c:v>
                  </c:pt>
                  <c:pt idx="4">
                    <c:v>Τ2</c:v>
                  </c:pt>
                </c:lvl>
                <c:lvl>
                  <c:pt idx="0">
                    <c:v>2023</c:v>
                  </c:pt>
                  <c:pt idx="3">
                    <c:v>2024</c:v>
                  </c:pt>
                </c:lvl>
              </c:multiLvlStrCache>
            </c:multiLvlStrRef>
          </c:cat>
          <c:val>
            <c:numRef>
              <c:f>'Graph EL'!$D$8:$D$12</c:f>
              <c:numCache>
                <c:formatCode>0.0</c:formatCode>
                <c:ptCount val="5"/>
                <c:pt idx="0">
                  <c:v>2.4</c:v>
                </c:pt>
                <c:pt idx="1">
                  <c:v>2.4</c:v>
                </c:pt>
                <c:pt idx="2">
                  <c:v>2.2000000000000002</c:v>
                </c:pt>
                <c:pt idx="3">
                  <c:v>3.3</c:v>
                </c:pt>
                <c:pt idx="4">
                  <c:v>3.7</c:v>
                </c:pt>
              </c:numCache>
            </c:numRef>
          </c:val>
          <c:extLst>
            <c:ext xmlns:c16="http://schemas.microsoft.com/office/drawing/2014/chart" uri="{C3380CC4-5D6E-409C-BE32-E72D297353CC}">
              <c16:uniqueId val="{00000001-B0C2-43B5-A62A-BA0899A1BECD}"/>
            </c:ext>
          </c:extLst>
        </c:ser>
        <c:dLbls>
          <c:showLegendKey val="0"/>
          <c:showVal val="0"/>
          <c:showCatName val="0"/>
          <c:showSerName val="0"/>
          <c:showPercent val="0"/>
          <c:showBubbleSize val="0"/>
        </c:dLbls>
        <c:gapWidth val="219"/>
        <c:overlap val="-27"/>
        <c:axId val="702211071"/>
        <c:axId val="769022095"/>
      </c:barChart>
      <c:catAx>
        <c:axId val="702211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crossAx val="769022095"/>
        <c:crosses val="autoZero"/>
        <c:auto val="1"/>
        <c:lblAlgn val="ctr"/>
        <c:lblOffset val="60"/>
        <c:noMultiLvlLbl val="0"/>
      </c:catAx>
      <c:valAx>
        <c:axId val="769022095"/>
        <c:scaling>
          <c:orientation val="minMax"/>
          <c:min val="1.5"/>
        </c:scaling>
        <c:delete val="0"/>
        <c:axPos val="l"/>
        <c:majorGridlines>
          <c:spPr>
            <a:ln w="9525" cap="flat" cmpd="sng" algn="ctr">
              <a:solidFill>
                <a:schemeClr val="bg1">
                  <a:lumMod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sz="900" b="1">
                    <a:solidFill>
                      <a:sysClr val="windowText" lastClr="000000"/>
                    </a:solidFill>
                    <a:latin typeface="Verdana" panose="020B0604030504040204" pitchFamily="34" charset="0"/>
                    <a:ea typeface="Verdana" panose="020B0604030504040204" pitchFamily="34" charset="0"/>
                  </a:rPr>
                  <a:t>Ποσοστιαία</a:t>
                </a:r>
                <a:r>
                  <a:rPr lang="el-GR" sz="900" b="1" baseline="0">
                    <a:solidFill>
                      <a:sysClr val="windowText" lastClr="000000"/>
                    </a:solidFill>
                    <a:latin typeface="Verdana" panose="020B0604030504040204" pitchFamily="34" charset="0"/>
                    <a:ea typeface="Verdana" panose="020B0604030504040204" pitchFamily="34" charset="0"/>
                  </a:rPr>
                  <a:t> μεταβολή (%)</a:t>
                </a:r>
                <a:endParaRPr lang="en-US" sz="900" b="1">
                  <a:solidFill>
                    <a:sysClr val="windowText" lastClr="000000"/>
                  </a:solidFill>
                  <a:latin typeface="Verdana" panose="020B0604030504040204" pitchFamily="34" charset="0"/>
                  <a:ea typeface="Verdana" panose="020B0604030504040204" pitchFamily="34" charset="0"/>
                </a:endParaRPr>
              </a:p>
            </c:rich>
          </c:tx>
          <c:layout>
            <c:manualLayout>
              <c:xMode val="edge"/>
              <c:yMode val="edge"/>
              <c:x val="1.080211305489776E-2"/>
              <c:y val="0.2838800243405638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CY"/>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crossAx val="702211071"/>
        <c:crosses val="autoZero"/>
        <c:crossBetween val="between"/>
      </c:valAx>
      <c:spPr>
        <a:noFill/>
        <a:ln>
          <a:noFill/>
        </a:ln>
        <a:effectLst/>
      </c:spPr>
    </c:plotArea>
    <c:legend>
      <c:legendPos val="b"/>
      <c:layout>
        <c:manualLayout>
          <c:xMode val="edge"/>
          <c:yMode val="edge"/>
          <c:x val="8.6577269035425911E-2"/>
          <c:y val="0.92519421437915172"/>
          <c:w val="0.86239105354183954"/>
          <c:h val="6.5377916404009639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558ED5">
          <a:alpha val="50000"/>
        </a:srgbClr>
      </a:solidFill>
      <a:round/>
    </a:ln>
    <a:effectLst/>
  </c:spPr>
  <c:txPr>
    <a:bodyPr/>
    <a:lstStyle/>
    <a:p>
      <a:pPr>
        <a:defRPr/>
      </a:pPr>
      <a:endParaRPr lang="en-CY"/>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9E912-11BB-4DF8-8703-98D9AB8F4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3768</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6</cp:revision>
  <cp:lastPrinted>2024-08-09T11:00:00Z</cp:lastPrinted>
  <dcterms:created xsi:type="dcterms:W3CDTF">2024-08-02T07:09:00Z</dcterms:created>
  <dcterms:modified xsi:type="dcterms:W3CDTF">2024-08-14T08:50:00Z</dcterms:modified>
</cp:coreProperties>
</file>