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204D" w14:textId="77777777" w:rsidR="00DF2F99" w:rsidRDefault="00DF2F99" w:rsidP="00DF2F99">
      <w:pPr>
        <w:jc w:val="both"/>
        <w:rPr>
          <w:rFonts w:ascii="Verdana" w:hAnsi="Verdana" w:cs="Arial"/>
          <w:sz w:val="18"/>
          <w:szCs w:val="18"/>
        </w:rPr>
      </w:pPr>
    </w:p>
    <w:p w14:paraId="11A6DDAC" w14:textId="008DCF9B" w:rsidR="00DF2F99" w:rsidRPr="00DF2F99" w:rsidRDefault="00DF2F99" w:rsidP="00DF2F99">
      <w:pPr>
        <w:jc w:val="right"/>
        <w:rPr>
          <w:rFonts w:ascii="Verdana" w:hAnsi="Verdana" w:cs="Arial"/>
          <w:sz w:val="18"/>
          <w:szCs w:val="18"/>
        </w:rPr>
      </w:pPr>
      <w:r w:rsidRPr="00DF2F99">
        <w:rPr>
          <w:rFonts w:ascii="Verdana" w:hAnsi="Verdana" w:cs="Arial"/>
          <w:sz w:val="18"/>
          <w:szCs w:val="18"/>
        </w:rPr>
        <w:t>1</w:t>
      </w:r>
      <w:r w:rsidR="0066639B" w:rsidRPr="00423AA5">
        <w:rPr>
          <w:rFonts w:ascii="Verdana" w:hAnsi="Verdana" w:cs="Arial"/>
          <w:sz w:val="18"/>
          <w:szCs w:val="18"/>
        </w:rPr>
        <w:t>4</w:t>
      </w:r>
      <w:r w:rsidR="003C0393">
        <w:rPr>
          <w:rFonts w:ascii="Verdana" w:hAnsi="Verdana" w:cs="Arial"/>
          <w:sz w:val="18"/>
          <w:szCs w:val="18"/>
        </w:rPr>
        <w:t xml:space="preserve"> </w:t>
      </w:r>
      <w:r w:rsidR="0066639B">
        <w:rPr>
          <w:rFonts w:ascii="Verdana" w:hAnsi="Verdana" w:cs="Arial"/>
          <w:sz w:val="18"/>
          <w:szCs w:val="18"/>
        </w:rPr>
        <w:t>August</w:t>
      </w:r>
      <w:r w:rsidRPr="00DF2F99">
        <w:rPr>
          <w:rFonts w:ascii="Verdana" w:hAnsi="Verdana" w:cs="Arial"/>
          <w:sz w:val="18"/>
          <w:szCs w:val="18"/>
        </w:rPr>
        <w:t>, 202</w:t>
      </w:r>
      <w:r w:rsidR="007B5128">
        <w:rPr>
          <w:rFonts w:ascii="Verdana" w:hAnsi="Verdana" w:cs="Arial"/>
          <w:sz w:val="18"/>
          <w:szCs w:val="18"/>
        </w:rPr>
        <w:t>4</w:t>
      </w:r>
    </w:p>
    <w:p w14:paraId="4992D3F8" w14:textId="77777777" w:rsidR="00DF2F99" w:rsidRDefault="00DF2F99" w:rsidP="00DF2F99">
      <w:pPr>
        <w:jc w:val="both"/>
        <w:rPr>
          <w:rFonts w:ascii="Verdana" w:hAnsi="Verdana" w:cs="Arial"/>
          <w:sz w:val="18"/>
          <w:szCs w:val="18"/>
        </w:rPr>
      </w:pPr>
    </w:p>
    <w:p w14:paraId="32641545" w14:textId="77777777" w:rsidR="00DF2F99" w:rsidRPr="00DF2F99" w:rsidRDefault="00DF2F99" w:rsidP="00DF2F99">
      <w:pPr>
        <w:jc w:val="both"/>
        <w:rPr>
          <w:rFonts w:ascii="Verdana" w:hAnsi="Verdana" w:cs="Arial"/>
          <w:sz w:val="18"/>
          <w:szCs w:val="18"/>
        </w:rPr>
      </w:pPr>
    </w:p>
    <w:p w14:paraId="20DAABAF" w14:textId="77777777" w:rsidR="00DF2F99" w:rsidRPr="00DF2F99" w:rsidRDefault="00DF2F99" w:rsidP="00DF2F99">
      <w:pPr>
        <w:jc w:val="center"/>
        <w:rPr>
          <w:rFonts w:ascii="Verdana" w:hAnsi="Verdana" w:cs="Arial"/>
          <w:b/>
          <w:bCs/>
          <w:sz w:val="24"/>
          <w:szCs w:val="24"/>
        </w:rPr>
      </w:pPr>
      <w:r w:rsidRPr="00DF2F99">
        <w:rPr>
          <w:rFonts w:ascii="Verdana" w:hAnsi="Verdana" w:cs="Arial"/>
          <w:b/>
          <w:bCs/>
          <w:sz w:val="24"/>
          <w:szCs w:val="24"/>
        </w:rPr>
        <w:t>PRESS RELEASE</w:t>
      </w:r>
    </w:p>
    <w:p w14:paraId="7FF92333" w14:textId="77777777" w:rsidR="00DF2F99" w:rsidRDefault="00DF2F99" w:rsidP="00DF2F99">
      <w:pPr>
        <w:jc w:val="both"/>
        <w:rPr>
          <w:rFonts w:ascii="Verdana" w:hAnsi="Verdana" w:cs="Arial"/>
          <w:sz w:val="18"/>
          <w:szCs w:val="18"/>
        </w:rPr>
      </w:pPr>
    </w:p>
    <w:p w14:paraId="01F14D0B" w14:textId="315091A0" w:rsidR="00DF2F99" w:rsidRPr="00DF2F99" w:rsidRDefault="00DF2F99" w:rsidP="00DF2F99">
      <w:pPr>
        <w:jc w:val="both"/>
        <w:rPr>
          <w:rFonts w:ascii="Verdana" w:hAnsi="Verdana" w:cs="Arial"/>
          <w:sz w:val="18"/>
          <w:szCs w:val="18"/>
        </w:rPr>
      </w:pPr>
    </w:p>
    <w:p w14:paraId="13C85870" w14:textId="3CDD896E" w:rsidR="00DF2F99" w:rsidRPr="00DF2F99" w:rsidRDefault="0035337D" w:rsidP="000B3528">
      <w:pPr>
        <w:jc w:val="both"/>
        <w:rPr>
          <w:rFonts w:ascii="Verdana" w:hAnsi="Verdana" w:cs="Arial"/>
          <w:u w:val="single"/>
        </w:rPr>
      </w:pPr>
      <w:r w:rsidRPr="0035337D">
        <w:rPr>
          <w:rFonts w:ascii="Verdana" w:hAnsi="Verdana" w:cs="Arial"/>
          <w:u w:val="single"/>
        </w:rPr>
        <w:t>GDP GROWTH RATE</w:t>
      </w:r>
      <w:r w:rsidR="00DF2F99" w:rsidRPr="00DF2F99">
        <w:rPr>
          <w:rFonts w:ascii="Verdana" w:hAnsi="Verdana" w:cs="Arial"/>
          <w:u w:val="single"/>
        </w:rPr>
        <w:t xml:space="preserve">: </w:t>
      </w:r>
      <w:r w:rsidR="0066639B">
        <w:rPr>
          <w:rFonts w:ascii="Verdana" w:hAnsi="Verdana" w:cs="Arial"/>
          <w:b/>
          <w:bCs/>
          <w:u w:val="single"/>
        </w:rPr>
        <w:t>2nd</w:t>
      </w:r>
      <w:r w:rsidR="00DF2F99" w:rsidRPr="00DF2F99">
        <w:rPr>
          <w:rFonts w:ascii="Verdana" w:hAnsi="Verdana" w:cs="Arial"/>
          <w:b/>
          <w:bCs/>
          <w:u w:val="single"/>
        </w:rPr>
        <w:t xml:space="preserve"> QUARTER 202</w:t>
      </w:r>
      <w:r w:rsidR="00FF6FF6">
        <w:rPr>
          <w:rFonts w:ascii="Verdana" w:hAnsi="Verdana" w:cs="Arial"/>
          <w:b/>
          <w:bCs/>
          <w:u w:val="single"/>
        </w:rPr>
        <w:t>4</w:t>
      </w:r>
      <w:r w:rsidR="00DF2F99" w:rsidRPr="00DF2F99">
        <w:rPr>
          <w:rFonts w:ascii="Verdana" w:hAnsi="Verdana" w:cs="Arial"/>
          <w:u w:val="single"/>
        </w:rPr>
        <w:t xml:space="preserve"> (</w:t>
      </w:r>
      <w:r w:rsidRPr="00DF2F99">
        <w:rPr>
          <w:rFonts w:ascii="Verdana" w:hAnsi="Verdana" w:cs="Arial"/>
          <w:u w:val="single"/>
        </w:rPr>
        <w:t>FLASH ESTIMATE</w:t>
      </w:r>
      <w:r w:rsidR="00DF2F99" w:rsidRPr="00DF2F99">
        <w:rPr>
          <w:rFonts w:ascii="Verdana" w:hAnsi="Verdana" w:cs="Arial"/>
          <w:u w:val="single"/>
        </w:rPr>
        <w:t>)</w:t>
      </w:r>
    </w:p>
    <w:p w14:paraId="07F56C60" w14:textId="77777777" w:rsidR="00DF2F99" w:rsidRDefault="00DF2F99" w:rsidP="00DF2F99">
      <w:pPr>
        <w:jc w:val="both"/>
        <w:rPr>
          <w:rFonts w:ascii="Verdana" w:hAnsi="Verdana" w:cs="Arial"/>
          <w:sz w:val="18"/>
          <w:szCs w:val="18"/>
        </w:rPr>
      </w:pPr>
    </w:p>
    <w:p w14:paraId="31F62552" w14:textId="5579CF5B" w:rsidR="00DF2F99" w:rsidRPr="00A8257D" w:rsidRDefault="00DF2F99" w:rsidP="00DF2F99">
      <w:pPr>
        <w:jc w:val="center"/>
        <w:rPr>
          <w:rFonts w:ascii="Verdana" w:hAnsi="Verdana" w:cs="Arial"/>
          <w:b/>
          <w:bCs/>
        </w:rPr>
      </w:pPr>
      <w:r w:rsidRPr="00DF2F99">
        <w:rPr>
          <w:rFonts w:ascii="Verdana" w:hAnsi="Verdana" w:cs="Arial"/>
          <w:b/>
          <w:bCs/>
        </w:rPr>
        <w:t xml:space="preserve">Growth Rate </w:t>
      </w:r>
      <w:r w:rsidR="00B7050B">
        <w:rPr>
          <w:rFonts w:ascii="Verdana" w:hAnsi="Verdana" w:cs="Arial"/>
          <w:b/>
          <w:bCs/>
        </w:rPr>
        <w:t>3</w:t>
      </w:r>
      <w:r w:rsidRPr="00DF2F99">
        <w:rPr>
          <w:rFonts w:ascii="Verdana" w:hAnsi="Verdana" w:cs="Arial"/>
          <w:b/>
          <w:bCs/>
        </w:rPr>
        <w:t>,</w:t>
      </w:r>
      <w:r w:rsidR="00423AA5">
        <w:rPr>
          <w:rFonts w:ascii="Verdana" w:hAnsi="Verdana" w:cs="Arial"/>
          <w:b/>
          <w:bCs/>
        </w:rPr>
        <w:t>6</w:t>
      </w:r>
      <w:r w:rsidRPr="00DF2F99">
        <w:rPr>
          <w:rFonts w:ascii="Verdana" w:hAnsi="Verdana" w:cs="Arial"/>
          <w:b/>
          <w:bCs/>
        </w:rPr>
        <w:t>%</w:t>
      </w:r>
    </w:p>
    <w:p w14:paraId="398EBE62" w14:textId="77777777" w:rsidR="00DF2F99" w:rsidRDefault="00DF2F99" w:rsidP="00DF2F99">
      <w:pPr>
        <w:jc w:val="both"/>
        <w:rPr>
          <w:rFonts w:ascii="Verdana" w:hAnsi="Verdana" w:cs="Arial"/>
          <w:sz w:val="18"/>
          <w:szCs w:val="18"/>
        </w:rPr>
      </w:pPr>
    </w:p>
    <w:p w14:paraId="5C557BAF" w14:textId="77777777" w:rsidR="00DF2F99" w:rsidRPr="00DF2F99" w:rsidRDefault="00DF2F99" w:rsidP="00DF2F99">
      <w:pPr>
        <w:jc w:val="both"/>
        <w:rPr>
          <w:rFonts w:ascii="Verdana" w:hAnsi="Verdana" w:cs="Arial"/>
          <w:sz w:val="18"/>
          <w:szCs w:val="18"/>
        </w:rPr>
      </w:pPr>
    </w:p>
    <w:p w14:paraId="6D4B4E61" w14:textId="47AF838B" w:rsidR="00DF2F99" w:rsidRDefault="00DF2F99" w:rsidP="00DF2F99">
      <w:pPr>
        <w:jc w:val="both"/>
        <w:rPr>
          <w:rFonts w:ascii="Verdana" w:hAnsi="Verdana" w:cs="Arial"/>
          <w:sz w:val="18"/>
          <w:szCs w:val="18"/>
        </w:rPr>
      </w:pPr>
      <w:r w:rsidRPr="00DF2F99">
        <w:rPr>
          <w:rFonts w:ascii="Verdana" w:hAnsi="Verdana" w:cs="Arial"/>
          <w:sz w:val="18"/>
          <w:szCs w:val="18"/>
        </w:rPr>
        <w:t xml:space="preserve">The GDP </w:t>
      </w:r>
      <w:bookmarkStart w:id="0" w:name="_Hlk134712300"/>
      <w:r w:rsidRPr="00DF2F99">
        <w:rPr>
          <w:rFonts w:ascii="Verdana" w:hAnsi="Verdana" w:cs="Arial"/>
          <w:sz w:val="18"/>
          <w:szCs w:val="18"/>
        </w:rPr>
        <w:t xml:space="preserve">growth rate </w:t>
      </w:r>
      <w:bookmarkEnd w:id="0"/>
      <w:r w:rsidR="0022346F" w:rsidRPr="0022346F">
        <w:rPr>
          <w:rFonts w:ascii="Verdana" w:hAnsi="Verdana" w:cs="Arial"/>
          <w:sz w:val="18"/>
          <w:szCs w:val="18"/>
        </w:rPr>
        <w:t xml:space="preserve">in real terms during the </w:t>
      </w:r>
      <w:r w:rsidR="0066639B">
        <w:rPr>
          <w:rFonts w:ascii="Verdana" w:hAnsi="Verdana" w:cs="Arial"/>
          <w:sz w:val="18"/>
          <w:szCs w:val="18"/>
        </w:rPr>
        <w:t>second</w:t>
      </w:r>
      <w:r w:rsidR="0022346F" w:rsidRPr="0022346F">
        <w:rPr>
          <w:rFonts w:ascii="Verdana" w:hAnsi="Verdana" w:cs="Arial"/>
          <w:sz w:val="18"/>
          <w:szCs w:val="18"/>
        </w:rPr>
        <w:t xml:space="preserve"> quarter of 202</w:t>
      </w:r>
      <w:r w:rsidR="00FF6FF6">
        <w:rPr>
          <w:rFonts w:ascii="Verdana" w:hAnsi="Verdana" w:cs="Arial"/>
          <w:sz w:val="18"/>
          <w:szCs w:val="18"/>
        </w:rPr>
        <w:t>4</w:t>
      </w:r>
      <w:r w:rsidR="0022346F" w:rsidRPr="0022346F">
        <w:rPr>
          <w:rFonts w:ascii="Verdana" w:hAnsi="Verdana" w:cs="Arial"/>
          <w:sz w:val="18"/>
          <w:szCs w:val="18"/>
        </w:rPr>
        <w:t xml:space="preserve"> is positive and it is estimated at </w:t>
      </w:r>
      <w:r w:rsidR="00B7050B">
        <w:rPr>
          <w:rFonts w:ascii="Verdana" w:hAnsi="Verdana" w:cs="Arial"/>
          <w:sz w:val="18"/>
          <w:szCs w:val="18"/>
        </w:rPr>
        <w:t>3</w:t>
      </w:r>
      <w:r w:rsidR="0022346F">
        <w:rPr>
          <w:rFonts w:ascii="Verdana" w:hAnsi="Verdana" w:cs="Arial"/>
          <w:sz w:val="18"/>
          <w:szCs w:val="18"/>
        </w:rPr>
        <w:t>,</w:t>
      </w:r>
      <w:r w:rsidR="00CC7316">
        <w:rPr>
          <w:rFonts w:ascii="Verdana" w:hAnsi="Verdana" w:cs="Arial"/>
          <w:sz w:val="18"/>
          <w:szCs w:val="18"/>
        </w:rPr>
        <w:t>6</w:t>
      </w:r>
      <w:r w:rsidR="0022346F" w:rsidRPr="0022346F">
        <w:rPr>
          <w:rFonts w:ascii="Verdana" w:hAnsi="Verdana" w:cs="Arial"/>
          <w:sz w:val="18"/>
          <w:szCs w:val="18"/>
        </w:rPr>
        <w:t>% over the corresponding quarter of 202</w:t>
      </w:r>
      <w:r w:rsidR="00FF6FF6">
        <w:rPr>
          <w:rFonts w:ascii="Verdana" w:hAnsi="Verdana" w:cs="Arial"/>
          <w:sz w:val="18"/>
          <w:szCs w:val="18"/>
        </w:rPr>
        <w:t>3</w:t>
      </w:r>
      <w:r w:rsidR="0022346F" w:rsidRPr="0022346F">
        <w:rPr>
          <w:rFonts w:ascii="Verdana" w:hAnsi="Verdana" w:cs="Arial"/>
          <w:sz w:val="18"/>
          <w:szCs w:val="18"/>
        </w:rPr>
        <w:t xml:space="preserve">. Based on seasonally and working day adjusted data, GDP growth rate in real terms is estimated at </w:t>
      </w:r>
      <w:r w:rsidR="00B7050B">
        <w:rPr>
          <w:rFonts w:ascii="Verdana" w:hAnsi="Verdana" w:cs="Arial"/>
          <w:sz w:val="18"/>
          <w:szCs w:val="18"/>
        </w:rPr>
        <w:t>3</w:t>
      </w:r>
      <w:r w:rsidR="0022346F">
        <w:rPr>
          <w:rFonts w:ascii="Verdana" w:hAnsi="Verdana" w:cs="Arial"/>
          <w:sz w:val="18"/>
          <w:szCs w:val="18"/>
        </w:rPr>
        <w:t>,</w:t>
      </w:r>
      <w:r w:rsidR="00711A05">
        <w:rPr>
          <w:rFonts w:ascii="Verdana" w:hAnsi="Verdana" w:cs="Arial"/>
          <w:sz w:val="18"/>
          <w:szCs w:val="18"/>
        </w:rPr>
        <w:t>7</w:t>
      </w:r>
      <w:r w:rsidR="0022346F" w:rsidRPr="0022346F">
        <w:rPr>
          <w:rFonts w:ascii="Verdana" w:hAnsi="Verdana" w:cs="Arial"/>
          <w:sz w:val="18"/>
          <w:szCs w:val="18"/>
        </w:rPr>
        <w:t>%.</w:t>
      </w:r>
    </w:p>
    <w:p w14:paraId="341F685E" w14:textId="77777777" w:rsidR="00DF2F99" w:rsidRPr="00DF2F99" w:rsidRDefault="00DF2F99" w:rsidP="00DF2F99">
      <w:pPr>
        <w:jc w:val="both"/>
        <w:rPr>
          <w:rFonts w:ascii="Verdana" w:hAnsi="Verdana" w:cs="Arial"/>
          <w:sz w:val="18"/>
          <w:szCs w:val="18"/>
        </w:rPr>
      </w:pPr>
    </w:p>
    <w:p w14:paraId="77EE8272" w14:textId="75BF0301" w:rsidR="007437AB" w:rsidRPr="00DF2F99" w:rsidRDefault="00DF2F99" w:rsidP="00DF2F99">
      <w:pPr>
        <w:jc w:val="both"/>
        <w:rPr>
          <w:rFonts w:ascii="Verdana" w:hAnsi="Verdana" w:cs="Arial"/>
          <w:sz w:val="18"/>
          <w:szCs w:val="18"/>
        </w:rPr>
      </w:pPr>
      <w:r w:rsidRPr="00DF2F99">
        <w:rPr>
          <w:rFonts w:ascii="Verdana" w:hAnsi="Verdana" w:cs="Arial"/>
          <w:sz w:val="18"/>
          <w:szCs w:val="18"/>
        </w:rPr>
        <w:t>The positive GDP growth rate is mainly</w:t>
      </w:r>
      <w:r w:rsidR="0022346F" w:rsidRPr="0022346F">
        <w:rPr>
          <w:rFonts w:ascii="Verdana" w:hAnsi="Verdana" w:cs="Arial"/>
          <w:sz w:val="18"/>
          <w:szCs w:val="18"/>
        </w:rPr>
        <w:t xml:space="preserve"> attributed to the sectors: "Hotels and Restaurants",</w:t>
      </w:r>
      <w:r w:rsidR="000B2076">
        <w:rPr>
          <w:rFonts w:ascii="Verdana" w:hAnsi="Verdana" w:cs="Arial"/>
          <w:sz w:val="18"/>
          <w:szCs w:val="18"/>
        </w:rPr>
        <w:t xml:space="preserve"> </w:t>
      </w:r>
      <w:r w:rsidR="000B2076" w:rsidRPr="0022346F">
        <w:rPr>
          <w:rFonts w:ascii="Verdana" w:hAnsi="Verdana" w:cs="Arial"/>
          <w:sz w:val="18"/>
          <w:szCs w:val="18"/>
        </w:rPr>
        <w:t>"Wholesale and Retail Trade, Repair of Motor Vehicles"</w:t>
      </w:r>
      <w:r w:rsidR="000B2076">
        <w:rPr>
          <w:rFonts w:ascii="Verdana" w:hAnsi="Verdana" w:cs="Arial"/>
          <w:sz w:val="18"/>
          <w:szCs w:val="18"/>
        </w:rPr>
        <w:t xml:space="preserve">, </w:t>
      </w:r>
      <w:r w:rsidR="0022346F" w:rsidRPr="0022346F">
        <w:rPr>
          <w:rFonts w:ascii="Verdana" w:hAnsi="Verdana" w:cs="Arial"/>
          <w:sz w:val="18"/>
          <w:szCs w:val="18"/>
        </w:rPr>
        <w:t>"Information and Communication"</w:t>
      </w:r>
      <w:r w:rsidR="00825529" w:rsidRPr="00825529">
        <w:rPr>
          <w:rFonts w:ascii="Verdana" w:hAnsi="Verdana" w:cs="Arial"/>
          <w:sz w:val="18"/>
          <w:szCs w:val="18"/>
        </w:rPr>
        <w:t xml:space="preserve"> </w:t>
      </w:r>
      <w:r w:rsidR="00825529">
        <w:rPr>
          <w:rFonts w:ascii="Verdana" w:hAnsi="Verdana" w:cs="Arial"/>
          <w:sz w:val="18"/>
          <w:szCs w:val="18"/>
        </w:rPr>
        <w:t>and</w:t>
      </w:r>
      <w:r w:rsidR="0022346F" w:rsidRPr="0022346F">
        <w:rPr>
          <w:rFonts w:ascii="Verdana" w:hAnsi="Verdana" w:cs="Arial"/>
          <w:sz w:val="18"/>
          <w:szCs w:val="18"/>
        </w:rPr>
        <w:t xml:space="preserve"> </w:t>
      </w:r>
      <w:r w:rsidR="000B2076" w:rsidRPr="0022346F">
        <w:rPr>
          <w:rFonts w:ascii="Verdana" w:hAnsi="Verdana" w:cs="Arial"/>
          <w:sz w:val="18"/>
          <w:szCs w:val="18"/>
        </w:rPr>
        <w:t>"</w:t>
      </w:r>
      <w:r w:rsidR="000B2076">
        <w:rPr>
          <w:rFonts w:ascii="Verdana" w:hAnsi="Verdana" w:cs="Arial"/>
          <w:sz w:val="18"/>
          <w:szCs w:val="18"/>
        </w:rPr>
        <w:t>Construction.</w:t>
      </w:r>
    </w:p>
    <w:p w14:paraId="020B4C8D" w14:textId="77777777" w:rsidR="00C434E1" w:rsidRDefault="00463214" w:rsidP="00C26329">
      <w:pPr>
        <w:jc w:val="both"/>
        <w:rPr>
          <w:rFonts w:ascii="Arial" w:hAnsi="Arial" w:cs="Arial"/>
          <w:sz w:val="20"/>
          <w:szCs w:val="20"/>
        </w:rPr>
      </w:pPr>
      <w:r w:rsidRPr="00DF2F99">
        <w:rPr>
          <w:rFonts w:ascii="Arial" w:hAnsi="Arial" w:cs="Arial"/>
          <w:sz w:val="20"/>
          <w:szCs w:val="20"/>
        </w:rPr>
        <w:tab/>
      </w:r>
    </w:p>
    <w:p w14:paraId="663F5B87" w14:textId="307E8D9B" w:rsidR="00972CA0" w:rsidRPr="00972CA0" w:rsidRDefault="00463214" w:rsidP="00C26329">
      <w:pPr>
        <w:jc w:val="both"/>
        <w:rPr>
          <w:rFonts w:ascii="Verdana" w:eastAsia="Malgun Gothic" w:hAnsi="Verdana" w:cs="Arial"/>
          <w:sz w:val="18"/>
          <w:szCs w:val="18"/>
        </w:rPr>
      </w:pPr>
      <w:r w:rsidRPr="00DF2F99">
        <w:rPr>
          <w:rFonts w:ascii="Arial" w:hAnsi="Arial" w:cs="Arial"/>
          <w:sz w:val="18"/>
          <w:szCs w:val="18"/>
        </w:rPr>
        <w:tab/>
      </w:r>
    </w:p>
    <w:p w14:paraId="27A72E99" w14:textId="2D560B91" w:rsidR="00972CA0" w:rsidRPr="00C26329" w:rsidRDefault="00711A05" w:rsidP="00C434E1">
      <w:pPr>
        <w:jc w:val="center"/>
        <w:rPr>
          <w:rFonts w:ascii="Verdana" w:eastAsia="Malgun Gothic" w:hAnsi="Verdana" w:cs="Arial"/>
          <w:sz w:val="18"/>
          <w:szCs w:val="18"/>
        </w:rPr>
      </w:pPr>
      <w:r>
        <w:rPr>
          <w:noProof/>
        </w:rPr>
        <w:drawing>
          <wp:inline distT="0" distB="0" distL="0" distR="0" wp14:anchorId="590694CA" wp14:editId="6C86E9ED">
            <wp:extent cx="6067424" cy="4391024"/>
            <wp:effectExtent l="0" t="0" r="10160" b="10160"/>
            <wp:docPr id="9" name="Chart 9">
              <a:extLst xmlns:a="http://schemas.openxmlformats.org/drawingml/2006/main">
                <a:ext uri="{FF2B5EF4-FFF2-40B4-BE49-F238E27FC236}">
                  <a16:creationId xmlns:a16="http://schemas.microsoft.com/office/drawing/2014/main" id="{4789B16D-6D90-4E65-9143-B35BA9C0E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1050D5FA" w14:textId="77777777" w:rsidR="00972CA0" w:rsidRPr="00C26329" w:rsidRDefault="00972CA0" w:rsidP="00072754">
      <w:pPr>
        <w:jc w:val="both"/>
        <w:rPr>
          <w:rFonts w:ascii="Verdana" w:eastAsia="Malgun Gothic" w:hAnsi="Verdana" w:cs="Arial"/>
          <w:sz w:val="18"/>
          <w:szCs w:val="18"/>
        </w:rPr>
      </w:pPr>
    </w:p>
    <w:p w14:paraId="082D84DB" w14:textId="77777777" w:rsidR="00972CA0" w:rsidRPr="00C26329" w:rsidRDefault="00972CA0" w:rsidP="00072754">
      <w:pPr>
        <w:jc w:val="both"/>
        <w:rPr>
          <w:rFonts w:ascii="Verdana" w:eastAsia="Malgun Gothic" w:hAnsi="Verdana" w:cs="Arial"/>
          <w:sz w:val="18"/>
          <w:szCs w:val="18"/>
        </w:rPr>
      </w:pPr>
    </w:p>
    <w:p w14:paraId="1FB9184B" w14:textId="77777777" w:rsidR="00691191" w:rsidRPr="00C26329" w:rsidRDefault="00691191" w:rsidP="00072754">
      <w:pPr>
        <w:jc w:val="both"/>
        <w:rPr>
          <w:rFonts w:ascii="Verdana" w:eastAsia="Malgun Gothic" w:hAnsi="Verdana" w:cs="Arial"/>
          <w:sz w:val="18"/>
          <w:szCs w:val="18"/>
        </w:rPr>
      </w:pPr>
    </w:p>
    <w:tbl>
      <w:tblPr>
        <w:tblStyle w:val="TableGrid"/>
        <w:tblW w:w="9749" w:type="dxa"/>
        <w:jc w:val="center"/>
        <w:tblLayout w:type="fixed"/>
        <w:tblLook w:val="04A0" w:firstRow="1" w:lastRow="0" w:firstColumn="1" w:lastColumn="0" w:noHBand="0" w:noVBand="1"/>
      </w:tblPr>
      <w:tblGrid>
        <w:gridCol w:w="786"/>
        <w:gridCol w:w="1570"/>
        <w:gridCol w:w="2423"/>
        <w:gridCol w:w="236"/>
        <w:gridCol w:w="2311"/>
        <w:gridCol w:w="2423"/>
      </w:tblGrid>
      <w:tr w:rsidR="00135925" w:rsidRPr="00A8257D" w14:paraId="22F4B30D" w14:textId="77777777" w:rsidTr="0066639B">
        <w:trPr>
          <w:trHeight w:val="284"/>
          <w:jc w:val="center"/>
        </w:trPr>
        <w:tc>
          <w:tcPr>
            <w:tcW w:w="786" w:type="dxa"/>
            <w:tcBorders>
              <w:top w:val="nil"/>
              <w:left w:val="nil"/>
              <w:bottom w:val="single" w:sz="4" w:space="0" w:color="2F5496" w:themeColor="accent1" w:themeShade="BF"/>
              <w:right w:val="nil"/>
            </w:tcBorders>
            <w:vAlign w:val="center"/>
          </w:tcPr>
          <w:p w14:paraId="31FBD459" w14:textId="0E3983F2" w:rsidR="00135925" w:rsidRPr="00A8257D" w:rsidRDefault="00135925" w:rsidP="00135925">
            <w:pPr>
              <w:rPr>
                <w:rFonts w:ascii="Verdana" w:hAnsi="Verdana" w:cs="Arial"/>
                <w:b/>
                <w:bCs/>
                <w:color w:val="2F5496" w:themeColor="accent1" w:themeShade="BF"/>
                <w:sz w:val="18"/>
                <w:szCs w:val="18"/>
              </w:rPr>
            </w:pPr>
            <w:r w:rsidRPr="00A8257D">
              <w:rPr>
                <w:rFonts w:ascii="Verdana" w:hAnsi="Verdana" w:cs="Arial"/>
                <w:b/>
                <w:bCs/>
                <w:color w:val="2F5496" w:themeColor="accent1" w:themeShade="BF"/>
                <w:sz w:val="18"/>
                <w:szCs w:val="18"/>
              </w:rPr>
              <w:lastRenderedPageBreak/>
              <w:t>Table</w:t>
            </w:r>
          </w:p>
        </w:tc>
        <w:tc>
          <w:tcPr>
            <w:tcW w:w="1570" w:type="dxa"/>
            <w:tcBorders>
              <w:top w:val="nil"/>
              <w:left w:val="nil"/>
              <w:bottom w:val="single" w:sz="4" w:space="0" w:color="2F5496" w:themeColor="accent1" w:themeShade="BF"/>
              <w:right w:val="nil"/>
            </w:tcBorders>
            <w:vAlign w:val="center"/>
          </w:tcPr>
          <w:p w14:paraId="250E3512" w14:textId="77777777" w:rsidR="00135925" w:rsidRPr="00A8257D" w:rsidRDefault="00135925" w:rsidP="00657A1B">
            <w:pPr>
              <w:jc w:val="center"/>
              <w:rPr>
                <w:rFonts w:ascii="Verdana" w:hAnsi="Verdana" w:cs="Arial"/>
                <w:b/>
                <w:bCs/>
                <w:color w:val="2F5496" w:themeColor="accent1" w:themeShade="BF"/>
                <w:sz w:val="18"/>
                <w:szCs w:val="18"/>
              </w:rPr>
            </w:pPr>
          </w:p>
        </w:tc>
        <w:tc>
          <w:tcPr>
            <w:tcW w:w="2423" w:type="dxa"/>
            <w:tcBorders>
              <w:top w:val="nil"/>
              <w:left w:val="nil"/>
              <w:bottom w:val="single" w:sz="4" w:space="0" w:color="2F5496" w:themeColor="accent1" w:themeShade="BF"/>
              <w:right w:val="nil"/>
            </w:tcBorders>
            <w:vAlign w:val="center"/>
          </w:tcPr>
          <w:p w14:paraId="2D16CC1B" w14:textId="77777777" w:rsidR="00135925" w:rsidRPr="00A8257D" w:rsidRDefault="00135925" w:rsidP="00657A1B">
            <w:pPr>
              <w:jc w:val="center"/>
              <w:rPr>
                <w:rFonts w:ascii="Verdana" w:hAnsi="Verdana" w:cs="Arial"/>
                <w:b/>
                <w:bCs/>
                <w:color w:val="2F5496" w:themeColor="accent1" w:themeShade="BF"/>
                <w:sz w:val="18"/>
                <w:szCs w:val="18"/>
                <w:lang w:val="el-GR"/>
              </w:rPr>
            </w:pPr>
          </w:p>
        </w:tc>
        <w:tc>
          <w:tcPr>
            <w:tcW w:w="236" w:type="dxa"/>
            <w:tcBorders>
              <w:top w:val="nil"/>
              <w:left w:val="nil"/>
              <w:bottom w:val="single" w:sz="4" w:space="0" w:color="2F5496" w:themeColor="accent1" w:themeShade="BF"/>
              <w:right w:val="nil"/>
            </w:tcBorders>
            <w:vAlign w:val="center"/>
          </w:tcPr>
          <w:p w14:paraId="5EA0F61B" w14:textId="77777777" w:rsidR="00135925" w:rsidRPr="00A8257D" w:rsidRDefault="00135925" w:rsidP="00657A1B">
            <w:pPr>
              <w:jc w:val="center"/>
              <w:rPr>
                <w:rFonts w:ascii="Verdana" w:hAnsi="Verdana" w:cs="Arial"/>
                <w:color w:val="2F5496" w:themeColor="accent1" w:themeShade="BF"/>
                <w:sz w:val="18"/>
                <w:szCs w:val="18"/>
                <w:lang w:val="el-GR"/>
              </w:rPr>
            </w:pPr>
          </w:p>
        </w:tc>
        <w:tc>
          <w:tcPr>
            <w:tcW w:w="4734" w:type="dxa"/>
            <w:gridSpan w:val="2"/>
            <w:tcBorders>
              <w:top w:val="nil"/>
              <w:left w:val="nil"/>
              <w:bottom w:val="single" w:sz="4" w:space="0" w:color="2F5496" w:themeColor="accent1" w:themeShade="BF"/>
              <w:right w:val="nil"/>
            </w:tcBorders>
            <w:vAlign w:val="center"/>
          </w:tcPr>
          <w:p w14:paraId="600E62E4" w14:textId="77777777" w:rsidR="00135925" w:rsidRPr="00A8257D" w:rsidRDefault="00135925" w:rsidP="00657A1B">
            <w:pPr>
              <w:jc w:val="center"/>
              <w:rPr>
                <w:rFonts w:ascii="Verdana" w:hAnsi="Verdana" w:cs="Arial"/>
                <w:b/>
                <w:bCs/>
                <w:color w:val="2F5496" w:themeColor="accent1" w:themeShade="BF"/>
                <w:sz w:val="18"/>
                <w:szCs w:val="18"/>
                <w:lang w:val="el-GR"/>
              </w:rPr>
            </w:pPr>
          </w:p>
        </w:tc>
      </w:tr>
      <w:tr w:rsidR="00DF2F99" w:rsidRPr="00A8257D" w14:paraId="653B913B" w14:textId="77777777" w:rsidTr="0066639B">
        <w:trPr>
          <w:trHeight w:val="1021"/>
          <w:jc w:val="center"/>
        </w:trPr>
        <w:tc>
          <w:tcPr>
            <w:tcW w:w="786" w:type="dxa"/>
            <w:vMerge w:val="restart"/>
            <w:tcBorders>
              <w:top w:val="single" w:sz="4" w:space="0" w:color="2F5496" w:themeColor="accent1" w:themeShade="BF"/>
              <w:left w:val="nil"/>
              <w:bottom w:val="single" w:sz="4" w:space="0" w:color="2F5496" w:themeColor="accent1" w:themeShade="BF"/>
              <w:right w:val="nil"/>
            </w:tcBorders>
            <w:vAlign w:val="center"/>
          </w:tcPr>
          <w:p w14:paraId="216565EF" w14:textId="7271110C" w:rsidR="00DF2F99" w:rsidRPr="00A8257D" w:rsidRDefault="00C64B80" w:rsidP="00657A1B">
            <w:pPr>
              <w:jc w:val="center"/>
              <w:rPr>
                <w:rFonts w:ascii="Verdana" w:hAnsi="Verdana" w:cs="Arial"/>
                <w:b/>
                <w:bCs/>
                <w:color w:val="2F5496" w:themeColor="accent1" w:themeShade="BF"/>
                <w:sz w:val="18"/>
                <w:szCs w:val="18"/>
              </w:rPr>
            </w:pPr>
            <w:r w:rsidRPr="00A8257D">
              <w:rPr>
                <w:rFonts w:ascii="Verdana" w:hAnsi="Verdana" w:cs="Arial"/>
                <w:b/>
                <w:bCs/>
                <w:color w:val="2F5496" w:themeColor="accent1" w:themeShade="BF"/>
                <w:sz w:val="18"/>
                <w:szCs w:val="18"/>
              </w:rPr>
              <w:t>YEAR</w:t>
            </w:r>
          </w:p>
        </w:tc>
        <w:tc>
          <w:tcPr>
            <w:tcW w:w="1570" w:type="dxa"/>
            <w:vMerge w:val="restart"/>
            <w:tcBorders>
              <w:top w:val="single" w:sz="4" w:space="0" w:color="2F5496" w:themeColor="accent1" w:themeShade="BF"/>
              <w:left w:val="nil"/>
              <w:bottom w:val="single" w:sz="4" w:space="0" w:color="2F5496" w:themeColor="accent1" w:themeShade="BF"/>
              <w:right w:val="nil"/>
            </w:tcBorders>
            <w:vAlign w:val="center"/>
          </w:tcPr>
          <w:p w14:paraId="4A044137" w14:textId="5DF51AD5" w:rsidR="00DF2F99" w:rsidRPr="00A8257D" w:rsidRDefault="00C64B80" w:rsidP="00657A1B">
            <w:pPr>
              <w:jc w:val="center"/>
              <w:rPr>
                <w:rFonts w:ascii="Verdana" w:hAnsi="Verdana" w:cs="Arial"/>
                <w:b/>
                <w:bCs/>
                <w:color w:val="2F5496" w:themeColor="accent1" w:themeShade="BF"/>
                <w:sz w:val="18"/>
                <w:szCs w:val="18"/>
                <w:lang w:val="el-GR"/>
              </w:rPr>
            </w:pPr>
            <w:r w:rsidRPr="00A8257D">
              <w:rPr>
                <w:rFonts w:ascii="Verdana" w:hAnsi="Verdana" w:cs="Arial"/>
                <w:b/>
                <w:bCs/>
                <w:color w:val="2F5496" w:themeColor="accent1" w:themeShade="BF"/>
                <w:sz w:val="18"/>
                <w:szCs w:val="18"/>
              </w:rPr>
              <w:t>QUARTER</w:t>
            </w:r>
          </w:p>
        </w:tc>
        <w:tc>
          <w:tcPr>
            <w:tcW w:w="2423" w:type="dxa"/>
            <w:tcBorders>
              <w:top w:val="single" w:sz="4" w:space="0" w:color="2F5496" w:themeColor="accent1" w:themeShade="BF"/>
              <w:left w:val="nil"/>
              <w:bottom w:val="single" w:sz="4" w:space="0" w:color="2F5496" w:themeColor="accent1" w:themeShade="BF"/>
              <w:right w:val="nil"/>
            </w:tcBorders>
            <w:vAlign w:val="center"/>
          </w:tcPr>
          <w:p w14:paraId="2046A815" w14:textId="7627E6ED" w:rsidR="00DF2F99" w:rsidRPr="00A8257D" w:rsidRDefault="00B33C2E" w:rsidP="00657A1B">
            <w:pPr>
              <w:jc w:val="center"/>
              <w:rPr>
                <w:rFonts w:ascii="Verdana" w:hAnsi="Verdana" w:cs="Arial"/>
                <w:b/>
                <w:bCs/>
                <w:color w:val="2F5496" w:themeColor="accent1" w:themeShade="BF"/>
                <w:sz w:val="18"/>
                <w:szCs w:val="18"/>
                <w:lang w:val="el-GR"/>
              </w:rPr>
            </w:pPr>
            <w:r w:rsidRPr="00A8257D">
              <w:rPr>
                <w:rFonts w:ascii="Verdana" w:hAnsi="Verdana" w:cs="Arial"/>
                <w:b/>
                <w:bCs/>
                <w:color w:val="2F5496" w:themeColor="accent1" w:themeShade="BF"/>
                <w:sz w:val="18"/>
                <w:szCs w:val="18"/>
                <w:lang w:val="el-GR"/>
              </w:rPr>
              <w:t>Gross Domestic Product (GDP)</w:t>
            </w:r>
          </w:p>
        </w:tc>
        <w:tc>
          <w:tcPr>
            <w:tcW w:w="236" w:type="dxa"/>
            <w:tcBorders>
              <w:top w:val="single" w:sz="4" w:space="0" w:color="2F5496" w:themeColor="accent1" w:themeShade="BF"/>
              <w:left w:val="nil"/>
              <w:bottom w:val="nil"/>
              <w:right w:val="nil"/>
            </w:tcBorders>
            <w:vAlign w:val="center"/>
          </w:tcPr>
          <w:p w14:paraId="51AB03F2" w14:textId="77777777" w:rsidR="00DF2F99" w:rsidRPr="00A8257D" w:rsidRDefault="00DF2F99" w:rsidP="00657A1B">
            <w:pPr>
              <w:jc w:val="center"/>
              <w:rPr>
                <w:rFonts w:ascii="Verdana" w:hAnsi="Verdana" w:cs="Arial"/>
                <w:color w:val="2F5496" w:themeColor="accent1" w:themeShade="BF"/>
                <w:sz w:val="18"/>
                <w:szCs w:val="18"/>
                <w:lang w:val="el-GR"/>
              </w:rPr>
            </w:pPr>
          </w:p>
        </w:tc>
        <w:tc>
          <w:tcPr>
            <w:tcW w:w="4734" w:type="dxa"/>
            <w:gridSpan w:val="2"/>
            <w:tcBorders>
              <w:top w:val="single" w:sz="4" w:space="0" w:color="2F5496" w:themeColor="accent1" w:themeShade="BF"/>
              <w:left w:val="nil"/>
              <w:bottom w:val="single" w:sz="4" w:space="0" w:color="2F5496" w:themeColor="accent1" w:themeShade="BF"/>
              <w:right w:val="nil"/>
            </w:tcBorders>
            <w:vAlign w:val="center"/>
          </w:tcPr>
          <w:p w14:paraId="28C33E58" w14:textId="12D978DC" w:rsidR="00DF2F99" w:rsidRPr="00A8257D" w:rsidRDefault="00B33C2E" w:rsidP="00657A1B">
            <w:pPr>
              <w:jc w:val="center"/>
              <w:rPr>
                <w:rFonts w:ascii="Verdana" w:hAnsi="Verdana" w:cs="Arial"/>
                <w:b/>
                <w:bCs/>
                <w:color w:val="2F5496" w:themeColor="accent1" w:themeShade="BF"/>
                <w:sz w:val="18"/>
                <w:szCs w:val="18"/>
              </w:rPr>
            </w:pPr>
            <w:r w:rsidRPr="00A8257D">
              <w:rPr>
                <w:rFonts w:ascii="Verdana" w:hAnsi="Verdana" w:cs="Arial"/>
                <w:b/>
                <w:bCs/>
                <w:color w:val="2F5496" w:themeColor="accent1" w:themeShade="BF"/>
                <w:sz w:val="18"/>
                <w:szCs w:val="18"/>
              </w:rPr>
              <w:t xml:space="preserve">GDP Seasonally and Working Day Adjusted) </w:t>
            </w:r>
          </w:p>
        </w:tc>
      </w:tr>
      <w:tr w:rsidR="00B33C2E" w:rsidRPr="00A8257D" w14:paraId="453388F4" w14:textId="77777777" w:rsidTr="0066639B">
        <w:trPr>
          <w:trHeight w:val="1021"/>
          <w:jc w:val="center"/>
        </w:trPr>
        <w:tc>
          <w:tcPr>
            <w:tcW w:w="786" w:type="dxa"/>
            <w:vMerge/>
            <w:tcBorders>
              <w:top w:val="nil"/>
              <w:left w:val="nil"/>
              <w:bottom w:val="single" w:sz="4" w:space="0" w:color="2F5496" w:themeColor="accent1" w:themeShade="BF"/>
              <w:right w:val="nil"/>
            </w:tcBorders>
            <w:vAlign w:val="center"/>
          </w:tcPr>
          <w:p w14:paraId="393F676A" w14:textId="77777777" w:rsidR="00B33C2E" w:rsidRPr="00A8257D" w:rsidRDefault="00B33C2E" w:rsidP="00B33C2E">
            <w:pPr>
              <w:jc w:val="center"/>
              <w:rPr>
                <w:rFonts w:ascii="Verdana" w:hAnsi="Verdana" w:cs="Arial"/>
                <w:color w:val="2F5496" w:themeColor="accent1" w:themeShade="BF"/>
                <w:sz w:val="18"/>
                <w:szCs w:val="18"/>
              </w:rPr>
            </w:pPr>
          </w:p>
        </w:tc>
        <w:tc>
          <w:tcPr>
            <w:tcW w:w="1570" w:type="dxa"/>
            <w:vMerge/>
            <w:tcBorders>
              <w:top w:val="nil"/>
              <w:left w:val="nil"/>
              <w:bottom w:val="single" w:sz="4" w:space="0" w:color="2F5496" w:themeColor="accent1" w:themeShade="BF"/>
              <w:right w:val="nil"/>
            </w:tcBorders>
            <w:vAlign w:val="center"/>
          </w:tcPr>
          <w:p w14:paraId="506F2553" w14:textId="77777777" w:rsidR="00B33C2E" w:rsidRPr="00A8257D" w:rsidRDefault="00B33C2E" w:rsidP="00B33C2E">
            <w:pPr>
              <w:jc w:val="center"/>
              <w:rPr>
                <w:rFonts w:ascii="Verdana" w:hAnsi="Verdana" w:cs="Arial"/>
                <w:color w:val="2F5496" w:themeColor="accent1" w:themeShade="BF"/>
                <w:sz w:val="18"/>
                <w:szCs w:val="18"/>
              </w:rPr>
            </w:pPr>
          </w:p>
        </w:tc>
        <w:tc>
          <w:tcPr>
            <w:tcW w:w="2423" w:type="dxa"/>
            <w:tcBorders>
              <w:top w:val="single" w:sz="4" w:space="0" w:color="2F5496" w:themeColor="accent1" w:themeShade="BF"/>
              <w:left w:val="nil"/>
              <w:bottom w:val="single" w:sz="4" w:space="0" w:color="2F5496" w:themeColor="accent1" w:themeShade="BF"/>
              <w:right w:val="nil"/>
            </w:tcBorders>
            <w:vAlign w:val="center"/>
          </w:tcPr>
          <w:p w14:paraId="32D76A6A" w14:textId="77777777" w:rsidR="00B33C2E" w:rsidRPr="00A8257D" w:rsidRDefault="00B33C2E" w:rsidP="00B33C2E">
            <w:pPr>
              <w:jc w:val="center"/>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Compared to the Same Quarter of the Previous Year</w:t>
            </w:r>
          </w:p>
          <w:p w14:paraId="0420FBB5" w14:textId="63905345" w:rsidR="00B33C2E" w:rsidRPr="00A8257D" w:rsidRDefault="00B33C2E" w:rsidP="00B33C2E">
            <w:pPr>
              <w:jc w:val="center"/>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 change)</w:t>
            </w:r>
          </w:p>
        </w:tc>
        <w:tc>
          <w:tcPr>
            <w:tcW w:w="236" w:type="dxa"/>
            <w:tcBorders>
              <w:top w:val="nil"/>
              <w:left w:val="nil"/>
              <w:bottom w:val="single" w:sz="4" w:space="0" w:color="2F5496" w:themeColor="accent1" w:themeShade="BF"/>
              <w:right w:val="nil"/>
            </w:tcBorders>
            <w:vAlign w:val="center"/>
          </w:tcPr>
          <w:p w14:paraId="006512DE" w14:textId="77777777" w:rsidR="00B33C2E" w:rsidRPr="00A8257D" w:rsidRDefault="00B33C2E" w:rsidP="00B33C2E">
            <w:pPr>
              <w:jc w:val="center"/>
              <w:rPr>
                <w:rFonts w:ascii="Verdana" w:hAnsi="Verdana" w:cs="Arial"/>
                <w:color w:val="2F5496" w:themeColor="accent1" w:themeShade="BF"/>
                <w:sz w:val="18"/>
                <w:szCs w:val="18"/>
              </w:rPr>
            </w:pPr>
          </w:p>
        </w:tc>
        <w:tc>
          <w:tcPr>
            <w:tcW w:w="2311" w:type="dxa"/>
            <w:tcBorders>
              <w:top w:val="single" w:sz="4" w:space="0" w:color="2F5496" w:themeColor="accent1" w:themeShade="BF"/>
              <w:left w:val="nil"/>
              <w:bottom w:val="single" w:sz="4" w:space="0" w:color="2F5496" w:themeColor="accent1" w:themeShade="BF"/>
              <w:right w:val="nil"/>
            </w:tcBorders>
            <w:vAlign w:val="center"/>
          </w:tcPr>
          <w:p w14:paraId="611D728C" w14:textId="77777777" w:rsidR="00B33C2E" w:rsidRPr="00A8257D" w:rsidRDefault="00B33C2E" w:rsidP="00B33C2E">
            <w:pPr>
              <w:jc w:val="center"/>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 xml:space="preserve">Compared to the Previous Quarter </w:t>
            </w:r>
          </w:p>
          <w:p w14:paraId="40918665" w14:textId="4622C1F1" w:rsidR="00B33C2E" w:rsidRPr="00A8257D" w:rsidRDefault="00B33C2E" w:rsidP="00B33C2E">
            <w:pPr>
              <w:jc w:val="center"/>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 change)</w:t>
            </w:r>
          </w:p>
        </w:tc>
        <w:tc>
          <w:tcPr>
            <w:tcW w:w="2423" w:type="dxa"/>
            <w:tcBorders>
              <w:top w:val="single" w:sz="4" w:space="0" w:color="2F5496" w:themeColor="accent1" w:themeShade="BF"/>
              <w:left w:val="nil"/>
              <w:bottom w:val="single" w:sz="4" w:space="0" w:color="2F5496" w:themeColor="accent1" w:themeShade="BF"/>
              <w:right w:val="nil"/>
            </w:tcBorders>
            <w:vAlign w:val="center"/>
          </w:tcPr>
          <w:p w14:paraId="0B2BED8C" w14:textId="77777777" w:rsidR="00B33C2E" w:rsidRPr="00A8257D" w:rsidRDefault="00B33C2E" w:rsidP="00B33C2E">
            <w:pPr>
              <w:jc w:val="center"/>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Compared to the Same Quarter of the Previous Year</w:t>
            </w:r>
          </w:p>
          <w:p w14:paraId="38B2FA27" w14:textId="2F44D353" w:rsidR="00B33C2E" w:rsidRPr="00A8257D" w:rsidRDefault="00B33C2E" w:rsidP="00B33C2E">
            <w:pPr>
              <w:jc w:val="center"/>
              <w:rPr>
                <w:rFonts w:ascii="Verdana" w:hAnsi="Verdana" w:cs="Arial"/>
                <w:color w:val="2F5496" w:themeColor="accent1" w:themeShade="BF"/>
                <w:sz w:val="18"/>
                <w:szCs w:val="18"/>
                <w:lang w:val="el-GR"/>
              </w:rPr>
            </w:pPr>
            <w:r w:rsidRPr="00A8257D">
              <w:rPr>
                <w:rFonts w:ascii="Verdana" w:hAnsi="Verdana" w:cs="Arial"/>
                <w:color w:val="2F5496" w:themeColor="accent1" w:themeShade="BF"/>
                <w:sz w:val="18"/>
                <w:szCs w:val="18"/>
              </w:rPr>
              <w:t>(% change)</w:t>
            </w:r>
          </w:p>
        </w:tc>
      </w:tr>
      <w:tr w:rsidR="00711A05" w:rsidRPr="00A8257D" w14:paraId="19F1347F" w14:textId="77777777" w:rsidTr="0066639B">
        <w:trPr>
          <w:trHeight w:val="454"/>
          <w:jc w:val="center"/>
        </w:trPr>
        <w:tc>
          <w:tcPr>
            <w:tcW w:w="786" w:type="dxa"/>
            <w:tcBorders>
              <w:top w:val="single" w:sz="4" w:space="0" w:color="2F5496" w:themeColor="accent1" w:themeShade="BF"/>
              <w:left w:val="nil"/>
              <w:bottom w:val="nil"/>
              <w:right w:val="nil"/>
            </w:tcBorders>
            <w:vAlign w:val="center"/>
          </w:tcPr>
          <w:p w14:paraId="6519C9DC" w14:textId="2E5F63E3" w:rsidR="00711A05" w:rsidRPr="00A8257D" w:rsidRDefault="00711A05" w:rsidP="00711A05">
            <w:pPr>
              <w:rPr>
                <w:rFonts w:ascii="Verdana" w:hAnsi="Verdana" w:cs="Arial"/>
                <w:b/>
                <w:bCs/>
                <w:color w:val="2F5496" w:themeColor="accent1" w:themeShade="BF"/>
                <w:sz w:val="18"/>
                <w:szCs w:val="18"/>
              </w:rPr>
            </w:pPr>
            <w:r w:rsidRPr="00A8257D">
              <w:rPr>
                <w:rFonts w:ascii="Verdana" w:hAnsi="Verdana" w:cs="Arial"/>
                <w:b/>
                <w:bCs/>
                <w:color w:val="2F5496" w:themeColor="accent1" w:themeShade="BF"/>
                <w:sz w:val="18"/>
                <w:szCs w:val="18"/>
                <w:lang w:val="el-GR"/>
              </w:rPr>
              <w:t>202</w:t>
            </w:r>
            <w:r w:rsidRPr="00A8257D">
              <w:rPr>
                <w:rFonts w:ascii="Verdana" w:hAnsi="Verdana" w:cs="Arial"/>
                <w:b/>
                <w:bCs/>
                <w:color w:val="2F5496" w:themeColor="accent1" w:themeShade="BF"/>
                <w:sz w:val="18"/>
                <w:szCs w:val="18"/>
              </w:rPr>
              <w:t>3</w:t>
            </w:r>
          </w:p>
        </w:tc>
        <w:tc>
          <w:tcPr>
            <w:tcW w:w="1570" w:type="dxa"/>
            <w:tcBorders>
              <w:top w:val="single" w:sz="4" w:space="0" w:color="2F5496" w:themeColor="accent1" w:themeShade="BF"/>
              <w:left w:val="nil"/>
              <w:bottom w:val="nil"/>
              <w:right w:val="nil"/>
            </w:tcBorders>
            <w:vAlign w:val="center"/>
          </w:tcPr>
          <w:p w14:paraId="2961F93B" w14:textId="6AA29508" w:rsidR="00711A05" w:rsidRPr="00A8257D" w:rsidRDefault="00711A05" w:rsidP="00711A05">
            <w:pPr>
              <w:jc w:val="center"/>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2nd</w:t>
            </w:r>
            <w:r w:rsidRPr="00A8257D">
              <w:rPr>
                <w:rFonts w:ascii="Verdana" w:hAnsi="Verdana" w:cs="Arial"/>
                <w:bCs/>
                <w:color w:val="2F5496" w:themeColor="accent1" w:themeShade="BF"/>
                <w:sz w:val="18"/>
                <w:szCs w:val="18"/>
              </w:rPr>
              <w:t xml:space="preserve"> </w:t>
            </w:r>
            <w:r w:rsidRPr="00A8257D">
              <w:rPr>
                <w:rFonts w:ascii="Verdana" w:hAnsi="Verdana" w:cs="Arial"/>
                <w:color w:val="2F5496" w:themeColor="accent1" w:themeShade="BF"/>
                <w:sz w:val="18"/>
                <w:szCs w:val="18"/>
              </w:rPr>
              <w:t>Quarter</w:t>
            </w:r>
          </w:p>
        </w:tc>
        <w:tc>
          <w:tcPr>
            <w:tcW w:w="2423" w:type="dxa"/>
            <w:tcBorders>
              <w:top w:val="single" w:sz="4" w:space="0" w:color="2F5496" w:themeColor="accent1" w:themeShade="BF"/>
              <w:left w:val="nil"/>
              <w:bottom w:val="nil"/>
              <w:right w:val="nil"/>
            </w:tcBorders>
            <w:vAlign w:val="center"/>
          </w:tcPr>
          <w:p w14:paraId="2EA30D06" w14:textId="5CCABB2F"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2,2</w:t>
            </w:r>
          </w:p>
        </w:tc>
        <w:tc>
          <w:tcPr>
            <w:tcW w:w="236" w:type="dxa"/>
            <w:tcBorders>
              <w:top w:val="single" w:sz="4" w:space="0" w:color="2F5496" w:themeColor="accent1" w:themeShade="BF"/>
              <w:left w:val="nil"/>
              <w:bottom w:val="nil"/>
              <w:right w:val="nil"/>
            </w:tcBorders>
          </w:tcPr>
          <w:p w14:paraId="403768AF" w14:textId="77777777" w:rsidR="00711A05" w:rsidRPr="00A8257D" w:rsidRDefault="00711A05" w:rsidP="00711A05">
            <w:pPr>
              <w:jc w:val="both"/>
              <w:rPr>
                <w:rFonts w:ascii="Verdana" w:hAnsi="Verdana" w:cs="Arial"/>
                <w:b/>
                <w:bCs/>
                <w:color w:val="2F5496" w:themeColor="accent1" w:themeShade="BF"/>
                <w:sz w:val="18"/>
                <w:szCs w:val="18"/>
              </w:rPr>
            </w:pPr>
          </w:p>
        </w:tc>
        <w:tc>
          <w:tcPr>
            <w:tcW w:w="2311" w:type="dxa"/>
            <w:tcBorders>
              <w:top w:val="single" w:sz="4" w:space="0" w:color="2F5496" w:themeColor="accent1" w:themeShade="BF"/>
              <w:left w:val="nil"/>
              <w:bottom w:val="nil"/>
              <w:right w:val="nil"/>
            </w:tcBorders>
            <w:vAlign w:val="center"/>
          </w:tcPr>
          <w:p w14:paraId="28B7E2AF" w14:textId="6900B87E"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0,3</w:t>
            </w:r>
          </w:p>
        </w:tc>
        <w:tc>
          <w:tcPr>
            <w:tcW w:w="2423" w:type="dxa"/>
            <w:tcBorders>
              <w:top w:val="single" w:sz="4" w:space="0" w:color="2F5496" w:themeColor="accent1" w:themeShade="BF"/>
              <w:left w:val="nil"/>
              <w:bottom w:val="nil"/>
              <w:right w:val="nil"/>
            </w:tcBorders>
            <w:vAlign w:val="center"/>
          </w:tcPr>
          <w:p w14:paraId="318016A3" w14:textId="7E4709D9"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2,4</w:t>
            </w:r>
          </w:p>
        </w:tc>
      </w:tr>
      <w:tr w:rsidR="00711A05" w:rsidRPr="00A8257D" w14:paraId="0F15ADFF" w14:textId="77777777" w:rsidTr="0066639B">
        <w:trPr>
          <w:trHeight w:val="454"/>
          <w:jc w:val="center"/>
        </w:trPr>
        <w:tc>
          <w:tcPr>
            <w:tcW w:w="786" w:type="dxa"/>
            <w:tcBorders>
              <w:top w:val="nil"/>
              <w:left w:val="nil"/>
              <w:bottom w:val="nil"/>
              <w:right w:val="nil"/>
            </w:tcBorders>
            <w:vAlign w:val="center"/>
          </w:tcPr>
          <w:p w14:paraId="03577848" w14:textId="2D596B32" w:rsidR="00711A05" w:rsidRPr="00A8257D" w:rsidRDefault="00711A05" w:rsidP="00711A05">
            <w:pPr>
              <w:rPr>
                <w:rFonts w:ascii="Verdana" w:hAnsi="Verdana" w:cs="Arial"/>
                <w:color w:val="2F5496" w:themeColor="accent1" w:themeShade="BF"/>
                <w:sz w:val="18"/>
                <w:szCs w:val="18"/>
                <w:lang w:val="el-GR"/>
              </w:rPr>
            </w:pPr>
          </w:p>
        </w:tc>
        <w:tc>
          <w:tcPr>
            <w:tcW w:w="1570" w:type="dxa"/>
            <w:tcBorders>
              <w:top w:val="nil"/>
              <w:left w:val="nil"/>
              <w:bottom w:val="nil"/>
              <w:right w:val="nil"/>
            </w:tcBorders>
            <w:vAlign w:val="center"/>
          </w:tcPr>
          <w:p w14:paraId="4DAE1A6D" w14:textId="3BA327CA" w:rsidR="00711A05" w:rsidRPr="00A8257D" w:rsidRDefault="00711A05" w:rsidP="00711A05">
            <w:pPr>
              <w:jc w:val="center"/>
              <w:rPr>
                <w:rFonts w:ascii="Verdana" w:hAnsi="Verdana" w:cs="Arial"/>
                <w:color w:val="2F5496" w:themeColor="accent1" w:themeShade="BF"/>
                <w:sz w:val="18"/>
                <w:szCs w:val="18"/>
                <w:lang w:val="el-GR"/>
              </w:rPr>
            </w:pPr>
            <w:r w:rsidRPr="00A8257D">
              <w:rPr>
                <w:rFonts w:ascii="Verdana" w:hAnsi="Verdana" w:cs="Arial"/>
                <w:color w:val="2F5496" w:themeColor="accent1" w:themeShade="BF"/>
                <w:sz w:val="18"/>
                <w:szCs w:val="18"/>
              </w:rPr>
              <w:t>3rd Quarter</w:t>
            </w:r>
          </w:p>
        </w:tc>
        <w:tc>
          <w:tcPr>
            <w:tcW w:w="2423" w:type="dxa"/>
            <w:tcBorders>
              <w:top w:val="nil"/>
              <w:left w:val="nil"/>
              <w:bottom w:val="nil"/>
              <w:right w:val="nil"/>
            </w:tcBorders>
            <w:vAlign w:val="center"/>
          </w:tcPr>
          <w:p w14:paraId="2B38B140" w14:textId="72BF7B31"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2,6</w:t>
            </w:r>
          </w:p>
        </w:tc>
        <w:tc>
          <w:tcPr>
            <w:tcW w:w="236" w:type="dxa"/>
            <w:tcBorders>
              <w:top w:val="nil"/>
              <w:left w:val="nil"/>
              <w:bottom w:val="nil"/>
              <w:right w:val="nil"/>
            </w:tcBorders>
          </w:tcPr>
          <w:p w14:paraId="38F49C13" w14:textId="77777777" w:rsidR="00711A05" w:rsidRPr="00A8257D" w:rsidRDefault="00711A05" w:rsidP="00711A05">
            <w:pPr>
              <w:jc w:val="both"/>
              <w:rPr>
                <w:rFonts w:ascii="Verdana" w:hAnsi="Verdana" w:cs="Arial"/>
                <w:b/>
                <w:bCs/>
                <w:color w:val="2F5496" w:themeColor="accent1" w:themeShade="BF"/>
                <w:sz w:val="18"/>
                <w:szCs w:val="18"/>
                <w:lang w:val="el-GR"/>
              </w:rPr>
            </w:pPr>
          </w:p>
        </w:tc>
        <w:tc>
          <w:tcPr>
            <w:tcW w:w="2311" w:type="dxa"/>
            <w:tcBorders>
              <w:top w:val="nil"/>
              <w:left w:val="nil"/>
              <w:bottom w:val="nil"/>
              <w:right w:val="nil"/>
            </w:tcBorders>
            <w:vAlign w:val="center"/>
          </w:tcPr>
          <w:p w14:paraId="1B1444BE" w14:textId="6E42CF48"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1,1</w:t>
            </w:r>
          </w:p>
        </w:tc>
        <w:tc>
          <w:tcPr>
            <w:tcW w:w="2423" w:type="dxa"/>
            <w:tcBorders>
              <w:top w:val="nil"/>
              <w:left w:val="nil"/>
              <w:bottom w:val="nil"/>
              <w:right w:val="nil"/>
            </w:tcBorders>
            <w:vAlign w:val="center"/>
          </w:tcPr>
          <w:p w14:paraId="739DFD92" w14:textId="0AF44AB1"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2,4</w:t>
            </w:r>
          </w:p>
        </w:tc>
      </w:tr>
      <w:tr w:rsidR="00711A05" w:rsidRPr="00A8257D" w14:paraId="4C830F11" w14:textId="77777777" w:rsidTr="0066639B">
        <w:trPr>
          <w:trHeight w:val="454"/>
          <w:jc w:val="center"/>
        </w:trPr>
        <w:tc>
          <w:tcPr>
            <w:tcW w:w="786" w:type="dxa"/>
            <w:tcBorders>
              <w:top w:val="nil"/>
              <w:left w:val="nil"/>
              <w:bottom w:val="nil"/>
              <w:right w:val="nil"/>
            </w:tcBorders>
            <w:vAlign w:val="center"/>
          </w:tcPr>
          <w:p w14:paraId="4DC0CF1A" w14:textId="140FDAF3" w:rsidR="00711A05" w:rsidRPr="00A8257D" w:rsidRDefault="00711A05" w:rsidP="00711A05">
            <w:pPr>
              <w:rPr>
                <w:rFonts w:ascii="Verdana" w:hAnsi="Verdana" w:cs="Arial"/>
                <w:color w:val="2F5496" w:themeColor="accent1" w:themeShade="BF"/>
                <w:sz w:val="18"/>
                <w:szCs w:val="18"/>
                <w:lang w:val="el-GR"/>
              </w:rPr>
            </w:pPr>
          </w:p>
        </w:tc>
        <w:tc>
          <w:tcPr>
            <w:tcW w:w="1570" w:type="dxa"/>
            <w:tcBorders>
              <w:top w:val="nil"/>
              <w:left w:val="nil"/>
              <w:bottom w:val="nil"/>
              <w:right w:val="nil"/>
            </w:tcBorders>
            <w:vAlign w:val="center"/>
          </w:tcPr>
          <w:p w14:paraId="78D5EC83" w14:textId="03B6FB07" w:rsidR="00711A05" w:rsidRPr="00A8257D" w:rsidRDefault="00711A05" w:rsidP="00711A05">
            <w:pPr>
              <w:jc w:val="center"/>
              <w:rPr>
                <w:rFonts w:ascii="Verdana" w:hAnsi="Verdana" w:cs="Arial"/>
                <w:color w:val="2F5496" w:themeColor="accent1" w:themeShade="BF"/>
                <w:sz w:val="18"/>
                <w:szCs w:val="18"/>
                <w:lang w:val="el-GR"/>
              </w:rPr>
            </w:pPr>
            <w:r w:rsidRPr="00A8257D">
              <w:rPr>
                <w:rFonts w:ascii="Verdana" w:hAnsi="Verdana" w:cs="Arial"/>
                <w:color w:val="2F5496" w:themeColor="accent1" w:themeShade="BF"/>
                <w:sz w:val="18"/>
                <w:szCs w:val="18"/>
              </w:rPr>
              <w:t>4th Quarter</w:t>
            </w:r>
          </w:p>
        </w:tc>
        <w:tc>
          <w:tcPr>
            <w:tcW w:w="2423" w:type="dxa"/>
            <w:tcBorders>
              <w:top w:val="nil"/>
              <w:left w:val="nil"/>
              <w:bottom w:val="nil"/>
              <w:right w:val="nil"/>
            </w:tcBorders>
            <w:vAlign w:val="center"/>
          </w:tcPr>
          <w:p w14:paraId="41DF5626" w14:textId="316845F5"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2,1</w:t>
            </w:r>
          </w:p>
        </w:tc>
        <w:tc>
          <w:tcPr>
            <w:tcW w:w="236" w:type="dxa"/>
            <w:tcBorders>
              <w:top w:val="nil"/>
              <w:left w:val="nil"/>
              <w:bottom w:val="nil"/>
              <w:right w:val="nil"/>
            </w:tcBorders>
          </w:tcPr>
          <w:p w14:paraId="2FF8D3AF" w14:textId="77777777" w:rsidR="00711A05" w:rsidRPr="00A8257D" w:rsidRDefault="00711A05" w:rsidP="00711A05">
            <w:pPr>
              <w:jc w:val="both"/>
              <w:rPr>
                <w:rFonts w:ascii="Verdana" w:hAnsi="Verdana" w:cs="Arial"/>
                <w:b/>
                <w:bCs/>
                <w:color w:val="2F5496" w:themeColor="accent1" w:themeShade="BF"/>
                <w:sz w:val="18"/>
                <w:szCs w:val="18"/>
                <w:lang w:val="el-GR"/>
              </w:rPr>
            </w:pPr>
          </w:p>
        </w:tc>
        <w:tc>
          <w:tcPr>
            <w:tcW w:w="2311" w:type="dxa"/>
            <w:tcBorders>
              <w:top w:val="nil"/>
              <w:left w:val="nil"/>
              <w:bottom w:val="nil"/>
              <w:right w:val="nil"/>
            </w:tcBorders>
            <w:vAlign w:val="center"/>
          </w:tcPr>
          <w:p w14:paraId="77DDBF48" w14:textId="4D3F8F6B"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0,9</w:t>
            </w:r>
          </w:p>
        </w:tc>
        <w:tc>
          <w:tcPr>
            <w:tcW w:w="2423" w:type="dxa"/>
            <w:tcBorders>
              <w:top w:val="nil"/>
              <w:left w:val="nil"/>
              <w:bottom w:val="nil"/>
              <w:right w:val="nil"/>
            </w:tcBorders>
            <w:vAlign w:val="center"/>
          </w:tcPr>
          <w:p w14:paraId="11001DC7" w14:textId="76AC4350"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2,2</w:t>
            </w:r>
          </w:p>
        </w:tc>
      </w:tr>
      <w:tr w:rsidR="00711A05" w:rsidRPr="00A8257D" w14:paraId="0AF05CAC" w14:textId="77777777" w:rsidTr="0066639B">
        <w:trPr>
          <w:trHeight w:val="454"/>
          <w:jc w:val="center"/>
        </w:trPr>
        <w:tc>
          <w:tcPr>
            <w:tcW w:w="786" w:type="dxa"/>
            <w:tcBorders>
              <w:top w:val="nil"/>
              <w:left w:val="nil"/>
              <w:bottom w:val="nil"/>
              <w:right w:val="nil"/>
            </w:tcBorders>
            <w:vAlign w:val="center"/>
          </w:tcPr>
          <w:p w14:paraId="5A9323DC" w14:textId="47938217" w:rsidR="00711A05" w:rsidRPr="00A8257D" w:rsidRDefault="00711A05" w:rsidP="00711A05">
            <w:pPr>
              <w:rPr>
                <w:rFonts w:ascii="Verdana" w:hAnsi="Verdana" w:cs="Arial"/>
                <w:color w:val="2F5496" w:themeColor="accent1" w:themeShade="BF"/>
                <w:sz w:val="18"/>
                <w:szCs w:val="18"/>
                <w:lang w:val="el-GR"/>
              </w:rPr>
            </w:pPr>
            <w:r w:rsidRPr="00A8257D">
              <w:rPr>
                <w:rFonts w:ascii="Verdana" w:hAnsi="Verdana" w:cs="Arial"/>
                <w:b/>
                <w:bCs/>
                <w:color w:val="2F5496" w:themeColor="accent1" w:themeShade="BF"/>
                <w:sz w:val="18"/>
                <w:szCs w:val="18"/>
              </w:rPr>
              <w:t>2024</w:t>
            </w:r>
          </w:p>
        </w:tc>
        <w:tc>
          <w:tcPr>
            <w:tcW w:w="1570" w:type="dxa"/>
            <w:tcBorders>
              <w:top w:val="nil"/>
              <w:left w:val="nil"/>
              <w:bottom w:val="nil"/>
              <w:right w:val="nil"/>
            </w:tcBorders>
            <w:vAlign w:val="center"/>
          </w:tcPr>
          <w:p w14:paraId="59D38CA8" w14:textId="56EE615F" w:rsidR="00711A05" w:rsidRPr="00A8257D" w:rsidRDefault="00711A05" w:rsidP="00711A05">
            <w:pPr>
              <w:jc w:val="center"/>
              <w:rPr>
                <w:rFonts w:ascii="Verdana" w:hAnsi="Verdana" w:cs="Arial"/>
                <w:color w:val="2F5496" w:themeColor="accent1" w:themeShade="BF"/>
                <w:sz w:val="18"/>
                <w:szCs w:val="18"/>
                <w:lang w:val="el-GR"/>
              </w:rPr>
            </w:pPr>
            <w:r w:rsidRPr="00A8257D">
              <w:rPr>
                <w:rFonts w:ascii="Verdana" w:hAnsi="Verdana" w:cs="Arial"/>
                <w:bCs/>
                <w:color w:val="2F5496" w:themeColor="accent1" w:themeShade="BF"/>
                <w:sz w:val="18"/>
                <w:szCs w:val="18"/>
              </w:rPr>
              <w:t>1st</w:t>
            </w:r>
            <w:r w:rsidRPr="00A8257D">
              <w:rPr>
                <w:rFonts w:ascii="Verdana" w:hAnsi="Verdana" w:cs="Arial"/>
                <w:color w:val="2F5496" w:themeColor="accent1" w:themeShade="BF"/>
                <w:sz w:val="18"/>
                <w:szCs w:val="18"/>
              </w:rPr>
              <w:t xml:space="preserve"> Quarter</w:t>
            </w:r>
          </w:p>
        </w:tc>
        <w:tc>
          <w:tcPr>
            <w:tcW w:w="2423" w:type="dxa"/>
            <w:tcBorders>
              <w:top w:val="nil"/>
              <w:left w:val="nil"/>
              <w:bottom w:val="nil"/>
              <w:right w:val="nil"/>
            </w:tcBorders>
            <w:vAlign w:val="center"/>
          </w:tcPr>
          <w:p w14:paraId="23C7EBCA" w14:textId="15AEAC0D"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3,5</w:t>
            </w:r>
          </w:p>
        </w:tc>
        <w:tc>
          <w:tcPr>
            <w:tcW w:w="236" w:type="dxa"/>
            <w:tcBorders>
              <w:top w:val="nil"/>
              <w:left w:val="nil"/>
              <w:bottom w:val="nil"/>
              <w:right w:val="nil"/>
            </w:tcBorders>
          </w:tcPr>
          <w:p w14:paraId="47AD674B" w14:textId="77777777" w:rsidR="00711A05" w:rsidRPr="00A8257D" w:rsidRDefault="00711A05" w:rsidP="00711A05">
            <w:pPr>
              <w:jc w:val="both"/>
              <w:rPr>
                <w:rFonts w:ascii="Verdana" w:hAnsi="Verdana" w:cs="Arial"/>
                <w:b/>
                <w:bCs/>
                <w:color w:val="2F5496" w:themeColor="accent1" w:themeShade="BF"/>
                <w:sz w:val="18"/>
                <w:szCs w:val="18"/>
                <w:lang w:val="el-GR"/>
              </w:rPr>
            </w:pPr>
          </w:p>
        </w:tc>
        <w:tc>
          <w:tcPr>
            <w:tcW w:w="2311" w:type="dxa"/>
            <w:tcBorders>
              <w:top w:val="nil"/>
              <w:left w:val="nil"/>
              <w:bottom w:val="nil"/>
              <w:right w:val="nil"/>
            </w:tcBorders>
            <w:vAlign w:val="center"/>
          </w:tcPr>
          <w:p w14:paraId="626089F3" w14:textId="02871A79"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1,0</w:t>
            </w:r>
          </w:p>
        </w:tc>
        <w:tc>
          <w:tcPr>
            <w:tcW w:w="2423" w:type="dxa"/>
            <w:tcBorders>
              <w:top w:val="nil"/>
              <w:left w:val="nil"/>
              <w:bottom w:val="nil"/>
              <w:right w:val="nil"/>
            </w:tcBorders>
            <w:vAlign w:val="center"/>
          </w:tcPr>
          <w:p w14:paraId="2C992A16" w14:textId="0062272D" w:rsidR="00711A05" w:rsidRPr="00A8257D" w:rsidRDefault="00711A05" w:rsidP="00711A05">
            <w:pPr>
              <w:ind w:right="907"/>
              <w:jc w:val="right"/>
              <w:rPr>
                <w:rFonts w:ascii="Verdana" w:hAnsi="Verdana" w:cs="Arial"/>
                <w:color w:val="2F5496" w:themeColor="accent1" w:themeShade="BF"/>
                <w:sz w:val="18"/>
                <w:szCs w:val="18"/>
              </w:rPr>
            </w:pPr>
            <w:r w:rsidRPr="00A8257D">
              <w:rPr>
                <w:rFonts w:ascii="Verdana" w:hAnsi="Verdana" w:cs="Arial"/>
                <w:color w:val="2F5496" w:themeColor="accent1" w:themeShade="BF"/>
                <w:sz w:val="18"/>
                <w:szCs w:val="18"/>
              </w:rPr>
              <w:t>3,3</w:t>
            </w:r>
          </w:p>
        </w:tc>
      </w:tr>
      <w:tr w:rsidR="00711A05" w:rsidRPr="00A8257D" w14:paraId="2DFDE243" w14:textId="77777777" w:rsidTr="0066639B">
        <w:trPr>
          <w:trHeight w:val="454"/>
          <w:jc w:val="center"/>
        </w:trPr>
        <w:tc>
          <w:tcPr>
            <w:tcW w:w="786" w:type="dxa"/>
            <w:tcBorders>
              <w:top w:val="nil"/>
              <w:left w:val="nil"/>
              <w:bottom w:val="nil"/>
              <w:right w:val="nil"/>
            </w:tcBorders>
            <w:vAlign w:val="center"/>
          </w:tcPr>
          <w:p w14:paraId="5AE5ECB8" w14:textId="7AA5D96F" w:rsidR="00711A05" w:rsidRPr="00A8257D" w:rsidRDefault="00711A05" w:rsidP="00711A05">
            <w:pPr>
              <w:rPr>
                <w:rFonts w:ascii="Verdana" w:hAnsi="Verdana" w:cs="Arial"/>
                <w:b/>
                <w:bCs/>
                <w:color w:val="2F5496" w:themeColor="accent1" w:themeShade="BF"/>
                <w:sz w:val="18"/>
                <w:szCs w:val="18"/>
              </w:rPr>
            </w:pPr>
          </w:p>
        </w:tc>
        <w:tc>
          <w:tcPr>
            <w:tcW w:w="1570" w:type="dxa"/>
            <w:tcBorders>
              <w:top w:val="nil"/>
              <w:left w:val="nil"/>
              <w:bottom w:val="nil"/>
              <w:right w:val="nil"/>
            </w:tcBorders>
            <w:vAlign w:val="center"/>
          </w:tcPr>
          <w:p w14:paraId="41B73E1D" w14:textId="4026D5AB" w:rsidR="00711A05" w:rsidRPr="00A8257D" w:rsidRDefault="00711A05" w:rsidP="00711A05">
            <w:pPr>
              <w:jc w:val="center"/>
              <w:rPr>
                <w:rFonts w:ascii="Verdana" w:hAnsi="Verdana" w:cs="Arial"/>
                <w:b/>
                <w:bCs/>
                <w:color w:val="2F5496" w:themeColor="accent1" w:themeShade="BF"/>
                <w:sz w:val="18"/>
                <w:szCs w:val="18"/>
                <w:lang w:val="el-GR"/>
              </w:rPr>
            </w:pPr>
            <w:r w:rsidRPr="00A8257D">
              <w:rPr>
                <w:rFonts w:ascii="Verdana" w:hAnsi="Verdana" w:cs="Arial"/>
                <w:b/>
                <w:color w:val="2F5496" w:themeColor="accent1" w:themeShade="BF"/>
                <w:sz w:val="18"/>
                <w:szCs w:val="18"/>
              </w:rPr>
              <w:t>2nd</w:t>
            </w:r>
            <w:r w:rsidRPr="00A8257D">
              <w:rPr>
                <w:rFonts w:ascii="Verdana" w:hAnsi="Verdana" w:cs="Arial"/>
                <w:b/>
                <w:bCs/>
                <w:color w:val="2F5496" w:themeColor="accent1" w:themeShade="BF"/>
                <w:sz w:val="18"/>
                <w:szCs w:val="18"/>
              </w:rPr>
              <w:t xml:space="preserve"> </w:t>
            </w:r>
            <w:r w:rsidRPr="00A8257D">
              <w:rPr>
                <w:rFonts w:ascii="Verdana" w:hAnsi="Verdana" w:cs="Arial"/>
                <w:b/>
                <w:color w:val="2F5496" w:themeColor="accent1" w:themeShade="BF"/>
                <w:sz w:val="18"/>
                <w:szCs w:val="18"/>
              </w:rPr>
              <w:t>Quarter</w:t>
            </w:r>
          </w:p>
        </w:tc>
        <w:tc>
          <w:tcPr>
            <w:tcW w:w="2423" w:type="dxa"/>
            <w:tcBorders>
              <w:top w:val="nil"/>
              <w:left w:val="nil"/>
              <w:bottom w:val="nil"/>
              <w:right w:val="nil"/>
            </w:tcBorders>
            <w:vAlign w:val="center"/>
          </w:tcPr>
          <w:p w14:paraId="2DD6AE43" w14:textId="6EFA445B" w:rsidR="00711A05" w:rsidRPr="00A8257D" w:rsidRDefault="00711A05" w:rsidP="00711A05">
            <w:pPr>
              <w:ind w:right="907"/>
              <w:jc w:val="right"/>
              <w:rPr>
                <w:rFonts w:ascii="Verdana" w:hAnsi="Verdana" w:cs="Arial"/>
                <w:b/>
                <w:color w:val="2F5496" w:themeColor="accent1" w:themeShade="BF"/>
                <w:sz w:val="18"/>
                <w:szCs w:val="18"/>
              </w:rPr>
            </w:pPr>
            <w:r w:rsidRPr="00A8257D">
              <w:rPr>
                <w:rFonts w:ascii="Verdana" w:hAnsi="Verdana" w:cs="Arial"/>
                <w:b/>
                <w:color w:val="2F5496" w:themeColor="accent1" w:themeShade="BF"/>
                <w:sz w:val="18"/>
                <w:szCs w:val="18"/>
              </w:rPr>
              <w:t>3,6</w:t>
            </w:r>
          </w:p>
        </w:tc>
        <w:tc>
          <w:tcPr>
            <w:tcW w:w="236" w:type="dxa"/>
            <w:tcBorders>
              <w:top w:val="nil"/>
              <w:left w:val="nil"/>
              <w:bottom w:val="nil"/>
              <w:right w:val="nil"/>
            </w:tcBorders>
          </w:tcPr>
          <w:p w14:paraId="1FE7FE02" w14:textId="77777777" w:rsidR="00711A05" w:rsidRPr="00A8257D" w:rsidRDefault="00711A05" w:rsidP="00711A05">
            <w:pPr>
              <w:jc w:val="both"/>
              <w:rPr>
                <w:rFonts w:ascii="Verdana" w:hAnsi="Verdana" w:cs="Arial"/>
                <w:b/>
                <w:bCs/>
                <w:color w:val="2F5496" w:themeColor="accent1" w:themeShade="BF"/>
                <w:sz w:val="18"/>
                <w:szCs w:val="18"/>
                <w:lang w:val="el-GR"/>
              </w:rPr>
            </w:pPr>
          </w:p>
        </w:tc>
        <w:tc>
          <w:tcPr>
            <w:tcW w:w="2311" w:type="dxa"/>
            <w:tcBorders>
              <w:top w:val="nil"/>
              <w:left w:val="nil"/>
              <w:bottom w:val="nil"/>
              <w:right w:val="nil"/>
            </w:tcBorders>
            <w:vAlign w:val="center"/>
          </w:tcPr>
          <w:p w14:paraId="22085903" w14:textId="2B6A8586" w:rsidR="00711A05" w:rsidRPr="00A8257D" w:rsidRDefault="00711A05" w:rsidP="00711A05">
            <w:pPr>
              <w:ind w:right="907"/>
              <w:jc w:val="right"/>
              <w:rPr>
                <w:rFonts w:ascii="Verdana" w:hAnsi="Verdana" w:cs="Arial"/>
                <w:b/>
                <w:color w:val="2F5496" w:themeColor="accent1" w:themeShade="BF"/>
                <w:sz w:val="18"/>
                <w:szCs w:val="18"/>
              </w:rPr>
            </w:pPr>
            <w:r w:rsidRPr="00A8257D">
              <w:rPr>
                <w:rFonts w:ascii="Verdana" w:hAnsi="Verdana" w:cs="Arial"/>
                <w:b/>
                <w:color w:val="2F5496" w:themeColor="accent1" w:themeShade="BF"/>
                <w:sz w:val="18"/>
                <w:szCs w:val="18"/>
              </w:rPr>
              <w:t>0,7</w:t>
            </w:r>
          </w:p>
        </w:tc>
        <w:tc>
          <w:tcPr>
            <w:tcW w:w="2423" w:type="dxa"/>
            <w:tcBorders>
              <w:top w:val="nil"/>
              <w:left w:val="nil"/>
              <w:bottom w:val="nil"/>
              <w:right w:val="nil"/>
            </w:tcBorders>
            <w:vAlign w:val="center"/>
          </w:tcPr>
          <w:p w14:paraId="354B8A1A" w14:textId="303A43B3" w:rsidR="00711A05" w:rsidRPr="00A8257D" w:rsidRDefault="00711A05" w:rsidP="00711A05">
            <w:pPr>
              <w:ind w:right="907"/>
              <w:jc w:val="right"/>
              <w:rPr>
                <w:rFonts w:ascii="Verdana" w:hAnsi="Verdana" w:cs="Arial"/>
                <w:b/>
                <w:color w:val="2F5496" w:themeColor="accent1" w:themeShade="BF"/>
                <w:sz w:val="18"/>
                <w:szCs w:val="18"/>
              </w:rPr>
            </w:pPr>
            <w:r w:rsidRPr="00A8257D">
              <w:rPr>
                <w:rFonts w:ascii="Verdana" w:hAnsi="Verdana" w:cs="Arial"/>
                <w:b/>
                <w:color w:val="2F5496" w:themeColor="accent1" w:themeShade="BF"/>
                <w:sz w:val="18"/>
                <w:szCs w:val="18"/>
              </w:rPr>
              <w:t>3,7</w:t>
            </w:r>
          </w:p>
        </w:tc>
      </w:tr>
      <w:tr w:rsidR="00146F9C" w:rsidRPr="00A8257D" w14:paraId="2E22F656" w14:textId="77777777" w:rsidTr="0066639B">
        <w:trPr>
          <w:jc w:val="center"/>
        </w:trPr>
        <w:tc>
          <w:tcPr>
            <w:tcW w:w="786" w:type="dxa"/>
            <w:tcBorders>
              <w:top w:val="nil"/>
              <w:left w:val="nil"/>
              <w:bottom w:val="single" w:sz="4" w:space="0" w:color="2F5496" w:themeColor="accent1" w:themeShade="BF"/>
              <w:right w:val="nil"/>
            </w:tcBorders>
            <w:vAlign w:val="center"/>
          </w:tcPr>
          <w:p w14:paraId="7FDDDD82" w14:textId="77777777" w:rsidR="00146F9C" w:rsidRPr="00A8257D" w:rsidRDefault="00146F9C" w:rsidP="00146F9C">
            <w:pPr>
              <w:rPr>
                <w:rFonts w:ascii="Verdana" w:hAnsi="Verdana" w:cs="Arial"/>
                <w:color w:val="2F5496" w:themeColor="accent1" w:themeShade="BF"/>
                <w:sz w:val="18"/>
                <w:szCs w:val="18"/>
                <w:lang w:val="el-GR"/>
              </w:rPr>
            </w:pPr>
          </w:p>
        </w:tc>
        <w:tc>
          <w:tcPr>
            <w:tcW w:w="1570" w:type="dxa"/>
            <w:tcBorders>
              <w:top w:val="nil"/>
              <w:left w:val="nil"/>
              <w:bottom w:val="single" w:sz="4" w:space="0" w:color="2F5496" w:themeColor="accent1" w:themeShade="BF"/>
              <w:right w:val="nil"/>
            </w:tcBorders>
            <w:vAlign w:val="center"/>
          </w:tcPr>
          <w:p w14:paraId="7D87B4C4" w14:textId="77777777" w:rsidR="00146F9C" w:rsidRPr="00A8257D" w:rsidRDefault="00146F9C" w:rsidP="00146F9C">
            <w:pPr>
              <w:jc w:val="center"/>
              <w:rPr>
                <w:rFonts w:ascii="Verdana" w:hAnsi="Verdana" w:cs="Arial"/>
                <w:color w:val="2F5496" w:themeColor="accent1" w:themeShade="BF"/>
                <w:sz w:val="18"/>
                <w:szCs w:val="18"/>
                <w:lang w:val="el-GR"/>
              </w:rPr>
            </w:pPr>
          </w:p>
        </w:tc>
        <w:tc>
          <w:tcPr>
            <w:tcW w:w="2423" w:type="dxa"/>
            <w:tcBorders>
              <w:top w:val="nil"/>
              <w:left w:val="nil"/>
              <w:bottom w:val="single" w:sz="4" w:space="0" w:color="2F5496" w:themeColor="accent1" w:themeShade="BF"/>
              <w:right w:val="nil"/>
            </w:tcBorders>
            <w:vAlign w:val="center"/>
          </w:tcPr>
          <w:p w14:paraId="5A2EBCCF" w14:textId="77777777" w:rsidR="00146F9C" w:rsidRPr="00A8257D" w:rsidRDefault="00146F9C" w:rsidP="00146F9C">
            <w:pPr>
              <w:ind w:right="964"/>
              <w:jc w:val="right"/>
              <w:rPr>
                <w:rFonts w:ascii="Verdana" w:hAnsi="Verdana" w:cs="Arial"/>
                <w:color w:val="2F5496" w:themeColor="accent1" w:themeShade="BF"/>
                <w:sz w:val="18"/>
                <w:szCs w:val="18"/>
                <w:lang w:val="el-GR"/>
              </w:rPr>
            </w:pPr>
          </w:p>
        </w:tc>
        <w:tc>
          <w:tcPr>
            <w:tcW w:w="236" w:type="dxa"/>
            <w:tcBorders>
              <w:top w:val="nil"/>
              <w:left w:val="nil"/>
              <w:bottom w:val="single" w:sz="4" w:space="0" w:color="2F5496" w:themeColor="accent1" w:themeShade="BF"/>
              <w:right w:val="nil"/>
            </w:tcBorders>
          </w:tcPr>
          <w:p w14:paraId="4E0E49E8" w14:textId="77777777" w:rsidR="00146F9C" w:rsidRPr="00A8257D" w:rsidRDefault="00146F9C" w:rsidP="00146F9C">
            <w:pPr>
              <w:jc w:val="both"/>
              <w:rPr>
                <w:rFonts w:ascii="Verdana" w:hAnsi="Verdana" w:cs="Arial"/>
                <w:color w:val="2F5496" w:themeColor="accent1" w:themeShade="BF"/>
                <w:sz w:val="18"/>
                <w:szCs w:val="18"/>
                <w:lang w:val="el-GR"/>
              </w:rPr>
            </w:pPr>
          </w:p>
        </w:tc>
        <w:tc>
          <w:tcPr>
            <w:tcW w:w="2311" w:type="dxa"/>
            <w:tcBorders>
              <w:top w:val="nil"/>
              <w:left w:val="nil"/>
              <w:bottom w:val="single" w:sz="4" w:space="0" w:color="2F5496" w:themeColor="accent1" w:themeShade="BF"/>
              <w:right w:val="nil"/>
            </w:tcBorders>
            <w:vAlign w:val="center"/>
          </w:tcPr>
          <w:p w14:paraId="15363B06" w14:textId="77777777" w:rsidR="00146F9C" w:rsidRPr="00A8257D" w:rsidRDefault="00146F9C" w:rsidP="00146F9C">
            <w:pPr>
              <w:ind w:right="907"/>
              <w:jc w:val="right"/>
              <w:rPr>
                <w:rFonts w:ascii="Verdana" w:hAnsi="Verdana" w:cs="Arial"/>
                <w:color w:val="2F5496" w:themeColor="accent1" w:themeShade="BF"/>
                <w:sz w:val="18"/>
                <w:szCs w:val="18"/>
                <w:lang w:val="el-GR"/>
              </w:rPr>
            </w:pPr>
          </w:p>
        </w:tc>
        <w:tc>
          <w:tcPr>
            <w:tcW w:w="2423" w:type="dxa"/>
            <w:tcBorders>
              <w:top w:val="nil"/>
              <w:left w:val="nil"/>
              <w:bottom w:val="single" w:sz="4" w:space="0" w:color="2F5496" w:themeColor="accent1" w:themeShade="BF"/>
              <w:right w:val="nil"/>
            </w:tcBorders>
            <w:vAlign w:val="center"/>
          </w:tcPr>
          <w:p w14:paraId="5C8324AD" w14:textId="77777777" w:rsidR="00146F9C" w:rsidRPr="00A8257D" w:rsidRDefault="00146F9C" w:rsidP="00146F9C">
            <w:pPr>
              <w:ind w:right="964"/>
              <w:jc w:val="right"/>
              <w:rPr>
                <w:rFonts w:ascii="Verdana" w:hAnsi="Verdana" w:cs="Arial"/>
                <w:color w:val="2F5496" w:themeColor="accent1" w:themeShade="BF"/>
                <w:sz w:val="18"/>
                <w:szCs w:val="18"/>
                <w:lang w:val="el-GR"/>
              </w:rPr>
            </w:pPr>
          </w:p>
        </w:tc>
      </w:tr>
    </w:tbl>
    <w:p w14:paraId="4A4CAE7E" w14:textId="77777777" w:rsidR="00DF2F99" w:rsidRDefault="00DF2F99" w:rsidP="00072754">
      <w:pPr>
        <w:jc w:val="both"/>
        <w:rPr>
          <w:rFonts w:ascii="Verdana" w:eastAsia="Malgun Gothic" w:hAnsi="Verdana" w:cs="Arial"/>
          <w:sz w:val="18"/>
          <w:szCs w:val="18"/>
        </w:rPr>
      </w:pPr>
    </w:p>
    <w:p w14:paraId="3C3A54D5" w14:textId="77777777" w:rsidR="0022346F" w:rsidRDefault="0022346F">
      <w:pPr>
        <w:rPr>
          <w:rFonts w:ascii="Verdana" w:eastAsia="Malgun Gothic" w:hAnsi="Verdana" w:cs="Arial"/>
          <w:b/>
          <w:u w:val="single"/>
        </w:rPr>
      </w:pPr>
      <w:r>
        <w:rPr>
          <w:rFonts w:ascii="Verdana" w:eastAsia="Malgun Gothic" w:hAnsi="Verdana" w:cs="Arial"/>
          <w:b/>
          <w:u w:val="single"/>
        </w:rPr>
        <w:br w:type="page"/>
      </w:r>
    </w:p>
    <w:p w14:paraId="0200C8CE" w14:textId="606FCDE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0E42EBBE" w14:textId="385AA32D" w:rsidR="0095405B" w:rsidRDefault="0095405B" w:rsidP="00072754">
      <w:pPr>
        <w:jc w:val="both"/>
        <w:rPr>
          <w:rFonts w:ascii="Verdana" w:eastAsia="Malgun Gothic" w:hAnsi="Verdana" w:cs="Arial"/>
          <w:sz w:val="18"/>
          <w:szCs w:val="18"/>
        </w:rPr>
      </w:pPr>
    </w:p>
    <w:p w14:paraId="2A498990"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Scope</w:t>
      </w:r>
    </w:p>
    <w:p w14:paraId="622F2177" w14:textId="77777777" w:rsidR="00DF2F99" w:rsidRPr="00DF2F99" w:rsidRDefault="00DF2F99" w:rsidP="00DF2F99">
      <w:pPr>
        <w:jc w:val="both"/>
        <w:rPr>
          <w:rFonts w:ascii="Verdana" w:eastAsia="Malgun Gothic" w:hAnsi="Verdana" w:cs="Arial"/>
          <w:sz w:val="18"/>
          <w:szCs w:val="18"/>
        </w:rPr>
      </w:pPr>
    </w:p>
    <w:p w14:paraId="4523CF5C" w14:textId="2262501D"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scope of GDP Flash estimate is to provide an earl</w:t>
      </w:r>
      <w:r w:rsidR="007218C6">
        <w:rPr>
          <w:rFonts w:ascii="Verdana" w:eastAsia="Malgun Gothic" w:hAnsi="Verdana" w:cs="Arial"/>
          <w:sz w:val="18"/>
          <w:szCs w:val="18"/>
        </w:rPr>
        <w:t>y</w:t>
      </w:r>
      <w:r w:rsidRPr="00DF2F99">
        <w:rPr>
          <w:rFonts w:ascii="Verdana" w:eastAsia="Malgun Gothic" w:hAnsi="Verdana" w:cs="Arial"/>
          <w:sz w:val="18"/>
          <w:szCs w:val="18"/>
        </w:rPr>
        <w:t xml:space="preserve"> picture of the overall development of Cyprus economy based on preliminary data, 45 days after the end of the quarter, by using less input information available compared to the one used </w:t>
      </w:r>
      <w:r w:rsidR="007218C6">
        <w:rPr>
          <w:rFonts w:ascii="Verdana" w:eastAsia="Malgun Gothic" w:hAnsi="Verdana" w:cs="Arial"/>
          <w:sz w:val="18"/>
          <w:szCs w:val="18"/>
        </w:rPr>
        <w:t>for</w:t>
      </w:r>
      <w:r w:rsidRPr="00DF2F99">
        <w:rPr>
          <w:rFonts w:ascii="Verdana" w:eastAsia="Malgun Gothic" w:hAnsi="Verdana" w:cs="Arial"/>
          <w:sz w:val="18"/>
          <w:szCs w:val="18"/>
        </w:rPr>
        <w:t xml:space="preserve"> the regular Quarterly National Accounts (QNA) estimation at t+2 months.</w:t>
      </w:r>
    </w:p>
    <w:p w14:paraId="09D6E34D" w14:textId="77777777" w:rsidR="00DF2F99" w:rsidRPr="00DF2F99" w:rsidRDefault="00DF2F99" w:rsidP="00DF2F99">
      <w:pPr>
        <w:jc w:val="both"/>
        <w:rPr>
          <w:rFonts w:ascii="Verdana" w:eastAsia="Malgun Gothic" w:hAnsi="Verdana" w:cs="Arial"/>
          <w:sz w:val="18"/>
          <w:szCs w:val="18"/>
        </w:rPr>
      </w:pPr>
    </w:p>
    <w:p w14:paraId="13DAC383"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Compilation and Methodology</w:t>
      </w:r>
    </w:p>
    <w:p w14:paraId="4A8B3774" w14:textId="77777777" w:rsidR="00DF2F99" w:rsidRPr="00DF2F99" w:rsidRDefault="00DF2F99" w:rsidP="00DF2F99">
      <w:pPr>
        <w:jc w:val="both"/>
        <w:rPr>
          <w:rFonts w:ascii="Verdana" w:eastAsia="Malgun Gothic" w:hAnsi="Verdana" w:cs="Arial"/>
          <w:sz w:val="18"/>
          <w:szCs w:val="18"/>
        </w:rPr>
      </w:pPr>
    </w:p>
    <w:p w14:paraId="59DB4630"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generally constructed using an indirect approach, which is based on short-term indicators providing information on the evolution of the phenomena under study. Furthermore, Chow-Lin’s approach technique is used for temporal disaggregation. </w:t>
      </w:r>
    </w:p>
    <w:p w14:paraId="4C20929A" w14:textId="77777777" w:rsidR="00DF2F99" w:rsidRPr="00DF2F99" w:rsidRDefault="00DF2F99" w:rsidP="00DF2F99">
      <w:pPr>
        <w:jc w:val="both"/>
        <w:rPr>
          <w:rFonts w:ascii="Verdana" w:eastAsia="Malgun Gothic" w:hAnsi="Verdana" w:cs="Arial"/>
          <w:sz w:val="18"/>
          <w:szCs w:val="18"/>
        </w:rPr>
      </w:pPr>
    </w:p>
    <w:p w14:paraId="18A4FEC1" w14:textId="7DDAEB24"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GDP level in Cyprus is determined from the production and expenditure approaches, while the income approach is considered a residual item.</w:t>
      </w:r>
    </w:p>
    <w:p w14:paraId="0CCDFFAB" w14:textId="77777777" w:rsidR="00DF2F99" w:rsidRPr="00DF2F99" w:rsidRDefault="00DF2F99" w:rsidP="00DF2F99">
      <w:pPr>
        <w:jc w:val="both"/>
        <w:rPr>
          <w:rFonts w:ascii="Verdana" w:eastAsia="Malgun Gothic" w:hAnsi="Verdana" w:cs="Arial"/>
          <w:sz w:val="18"/>
          <w:szCs w:val="18"/>
        </w:rPr>
      </w:pPr>
    </w:p>
    <w:p w14:paraId="55D5F685" w14:textId="4AAD1CEF"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produced at current, volume and previous-year-prices, published and transmitted to Eurostat at t+2 months. The flash estimate is obtained by running the same estimation procedure as the one applied for the t+2 months calculation however, with less input information available. It is calculated in volume terms at t+45 days, published and transmitted to Eurostat as well. </w:t>
      </w:r>
    </w:p>
    <w:p w14:paraId="0C5F3D63"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 </w:t>
      </w:r>
    </w:p>
    <w:p w14:paraId="3CC2B61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QNA are compiled in accordance with the European System of Accounts (ESA 2010) as defined in Regulation (EU) No 549/2013 of the European Parliament and of the Council of 21 May 2013.</w:t>
      </w:r>
    </w:p>
    <w:p w14:paraId="14D14463" w14:textId="77777777" w:rsidR="00DF2F99" w:rsidRPr="00DF2F99" w:rsidRDefault="00DF2F99" w:rsidP="00DF2F99">
      <w:pPr>
        <w:jc w:val="both"/>
        <w:rPr>
          <w:rFonts w:ascii="Verdana" w:eastAsia="Malgun Gothic" w:hAnsi="Verdana" w:cs="Arial"/>
          <w:sz w:val="18"/>
          <w:szCs w:val="18"/>
        </w:rPr>
      </w:pPr>
    </w:p>
    <w:p w14:paraId="3B39593D"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Source of Data</w:t>
      </w:r>
    </w:p>
    <w:p w14:paraId="222159BF" w14:textId="77777777" w:rsidR="00DF2F99" w:rsidRPr="00DF2F99" w:rsidRDefault="00DF2F99" w:rsidP="00DF2F99">
      <w:pPr>
        <w:jc w:val="both"/>
        <w:rPr>
          <w:rFonts w:ascii="Verdana" w:eastAsia="Malgun Gothic" w:hAnsi="Verdana" w:cs="Arial"/>
          <w:sz w:val="18"/>
          <w:szCs w:val="18"/>
        </w:rPr>
      </w:pPr>
    </w:p>
    <w:p w14:paraId="747CAD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In order to produce QNA estimates, the following data are used as input to the system of calculation:</w:t>
      </w:r>
    </w:p>
    <w:p w14:paraId="6E06F2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short-term economic indicators by activity,</w:t>
      </w:r>
    </w:p>
    <w:p w14:paraId="1B800CE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administrative data,</w:t>
      </w:r>
    </w:p>
    <w:p w14:paraId="1A7CA8DB"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quarterly employment data,</w:t>
      </w:r>
    </w:p>
    <w:p w14:paraId="0832D64F" w14:textId="3B669B59" w:rsidR="0095405B"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price indices.</w:t>
      </w:r>
    </w:p>
    <w:p w14:paraId="39A0F52D" w14:textId="6EEA8ACC" w:rsidR="0095405B" w:rsidRDefault="0095405B" w:rsidP="00072754">
      <w:pPr>
        <w:jc w:val="both"/>
        <w:rPr>
          <w:rFonts w:ascii="Verdana" w:eastAsia="Malgun Gothic" w:hAnsi="Verdana" w:cs="Arial"/>
          <w:sz w:val="18"/>
          <w:szCs w:val="18"/>
        </w:rPr>
      </w:pPr>
    </w:p>
    <w:p w14:paraId="0C192367" w14:textId="3B6FD985" w:rsidR="0095405B" w:rsidRDefault="0095405B" w:rsidP="00072754">
      <w:pPr>
        <w:jc w:val="both"/>
        <w:rPr>
          <w:rFonts w:ascii="Verdana" w:eastAsia="Malgun Gothic" w:hAnsi="Verdana" w:cs="Arial"/>
          <w:sz w:val="18"/>
          <w:szCs w:val="18"/>
        </w:rPr>
      </w:pPr>
    </w:p>
    <w:p w14:paraId="2028D6DD" w14:textId="77777777" w:rsidR="0095405B" w:rsidRDefault="0095405B" w:rsidP="0095405B">
      <w:pPr>
        <w:rPr>
          <w:color w:val="000000"/>
        </w:rPr>
      </w:pPr>
      <w:r>
        <w:rPr>
          <w:rFonts w:ascii="Verdana" w:hAnsi="Verdana"/>
          <w:b/>
          <w:bCs/>
          <w:i/>
          <w:iCs/>
          <w:color w:val="000000"/>
          <w:sz w:val="18"/>
          <w:szCs w:val="18"/>
          <w:lang w:val="en-GB"/>
        </w:rPr>
        <w:t>For more information:</w:t>
      </w:r>
    </w:p>
    <w:p w14:paraId="6220942F" w14:textId="77777777" w:rsidR="00DF2F99" w:rsidRPr="00DF2F99" w:rsidRDefault="00DF2F99" w:rsidP="00DF2F99">
      <w:pPr>
        <w:rPr>
          <w:rFonts w:ascii="Verdana" w:hAnsi="Verdana"/>
          <w:sz w:val="18"/>
          <w:szCs w:val="18"/>
        </w:rPr>
      </w:pPr>
      <w:r w:rsidRPr="00DF2F99">
        <w:rPr>
          <w:rFonts w:ascii="Verdana" w:hAnsi="Verdana"/>
          <w:sz w:val="18"/>
          <w:szCs w:val="18"/>
          <w:lang w:val="en-GB"/>
        </w:rPr>
        <w:t xml:space="preserve">CYSTAT Portal, subtheme </w:t>
      </w:r>
      <w:hyperlink r:id="rId9" w:history="1">
        <w:r w:rsidRPr="00DF2F99">
          <w:rPr>
            <w:rFonts w:ascii="Verdana" w:hAnsi="Verdana"/>
            <w:color w:val="0000FF"/>
            <w:sz w:val="18"/>
            <w:szCs w:val="18"/>
            <w:u w:val="single"/>
            <w:lang w:val="en-GB"/>
          </w:rPr>
          <w:t>National Accounts</w:t>
        </w:r>
      </w:hyperlink>
    </w:p>
    <w:p w14:paraId="16E1AEB0" w14:textId="77777777" w:rsidR="00DF2F99" w:rsidRPr="00DF2F99" w:rsidRDefault="00000000" w:rsidP="00DF2F99">
      <w:pPr>
        <w:rPr>
          <w:rFonts w:ascii="Verdana" w:hAnsi="Verdana"/>
          <w:sz w:val="18"/>
          <w:szCs w:val="18"/>
        </w:rPr>
      </w:pPr>
      <w:hyperlink r:id="rId10" w:history="1">
        <w:r w:rsidR="00DF2F99" w:rsidRPr="00DF2F99">
          <w:rPr>
            <w:rFonts w:ascii="Verdana" w:hAnsi="Verdana"/>
            <w:color w:val="0000FF"/>
            <w:sz w:val="18"/>
            <w:szCs w:val="18"/>
            <w:u w:val="single"/>
          </w:rPr>
          <w:t>CYSTAT-DB</w:t>
        </w:r>
      </w:hyperlink>
      <w:r w:rsidR="00DF2F99" w:rsidRPr="00DF2F99">
        <w:rPr>
          <w:rFonts w:ascii="Verdana" w:hAnsi="Verdana"/>
          <w:sz w:val="18"/>
          <w:szCs w:val="18"/>
        </w:rPr>
        <w:t xml:space="preserve"> (Online Database) </w:t>
      </w:r>
    </w:p>
    <w:p w14:paraId="6AF740B8" w14:textId="77777777" w:rsidR="00DF2F99" w:rsidRPr="00DF2F99" w:rsidRDefault="00000000" w:rsidP="00DF2F99">
      <w:pPr>
        <w:rPr>
          <w:rFonts w:ascii="Verdana" w:hAnsi="Verdana"/>
          <w:sz w:val="18"/>
          <w:szCs w:val="18"/>
        </w:rPr>
      </w:pPr>
      <w:hyperlink r:id="rId11" w:history="1">
        <w:r w:rsidR="00DF2F99" w:rsidRPr="00DF2F99">
          <w:rPr>
            <w:rFonts w:ascii="Verdana" w:hAnsi="Verdana"/>
            <w:color w:val="0000FF"/>
            <w:sz w:val="18"/>
            <w:szCs w:val="18"/>
            <w:u w:val="single"/>
          </w:rPr>
          <w:t>Predefined Tables</w:t>
        </w:r>
      </w:hyperlink>
      <w:r w:rsidR="00DF2F99" w:rsidRPr="00DF2F99">
        <w:t xml:space="preserve"> (Excel)</w:t>
      </w:r>
    </w:p>
    <w:p w14:paraId="4CF89882" w14:textId="77777777" w:rsidR="0095405B" w:rsidRDefault="0095405B" w:rsidP="00072754">
      <w:pPr>
        <w:jc w:val="both"/>
        <w:rPr>
          <w:rFonts w:ascii="Verdana" w:eastAsia="Malgun Gothic" w:hAnsi="Verdana" w:cs="Arial"/>
          <w:sz w:val="18"/>
          <w:szCs w:val="18"/>
        </w:rPr>
      </w:pPr>
    </w:p>
    <w:p w14:paraId="7677F316" w14:textId="6D9F6D1F" w:rsidR="00C26329" w:rsidRPr="00DF2F99" w:rsidRDefault="00DF2F99" w:rsidP="00DF2F99">
      <w:pPr>
        <w:jc w:val="both"/>
        <w:rPr>
          <w:rFonts w:ascii="Verdana" w:eastAsia="Malgun Gothic" w:hAnsi="Verdana" w:cs="Arial"/>
          <w:b/>
          <w:bCs/>
          <w:sz w:val="18"/>
          <w:szCs w:val="18"/>
        </w:rPr>
      </w:pPr>
      <w:r w:rsidRPr="00DF2F99">
        <w:rPr>
          <w:rFonts w:ascii="Verdana" w:eastAsia="Malgun Gothic" w:hAnsi="Verdana" w:cs="Arial"/>
          <w:b/>
          <w:bCs/>
          <w:sz w:val="18"/>
          <w:szCs w:val="18"/>
        </w:rPr>
        <w:t xml:space="preserve">The </w:t>
      </w:r>
      <w:r w:rsidRPr="00DF2F99">
        <w:rPr>
          <w:rFonts w:ascii="Verdana" w:eastAsia="Malgun Gothic" w:hAnsi="Verdana" w:cs="Arial"/>
          <w:b/>
          <w:bCs/>
          <w:sz w:val="18"/>
          <w:szCs w:val="18"/>
          <w:u w:val="single"/>
        </w:rPr>
        <w:t>Predefined Tables</w:t>
      </w:r>
      <w:r w:rsidRPr="00DF2F99">
        <w:rPr>
          <w:rFonts w:ascii="Verdana" w:eastAsia="Malgun Gothic" w:hAnsi="Verdana" w:cs="Arial"/>
          <w:b/>
          <w:bCs/>
          <w:sz w:val="18"/>
          <w:szCs w:val="18"/>
        </w:rPr>
        <w:t>, available in Excel format, include data up to the fourth quarter of 2022.</w:t>
      </w:r>
      <w:r>
        <w:rPr>
          <w:rFonts w:ascii="Verdana" w:eastAsia="Malgun Gothic" w:hAnsi="Verdana" w:cs="Arial"/>
          <w:b/>
          <w:bCs/>
          <w:sz w:val="18"/>
          <w:szCs w:val="18"/>
        </w:rPr>
        <w:t xml:space="preserve"> </w:t>
      </w:r>
      <w:r w:rsidRPr="00DF2F99">
        <w:rPr>
          <w:rFonts w:ascii="Verdana" w:eastAsia="Malgun Gothic" w:hAnsi="Verdana" w:cs="Arial"/>
          <w:b/>
          <w:bCs/>
          <w:sz w:val="18"/>
          <w:szCs w:val="18"/>
        </w:rPr>
        <w:t>Data from the first quarter of 2023 onwards will be available only in the CYSTAT-DB Online</w:t>
      </w:r>
      <w:r>
        <w:rPr>
          <w:rFonts w:ascii="Verdana" w:eastAsia="Malgun Gothic" w:hAnsi="Verdana" w:cs="Arial"/>
          <w:b/>
          <w:bCs/>
          <w:sz w:val="18"/>
          <w:szCs w:val="18"/>
        </w:rPr>
        <w:t xml:space="preserve"> </w:t>
      </w:r>
      <w:r w:rsidRPr="00DF2F99">
        <w:rPr>
          <w:rFonts w:ascii="Verdana" w:eastAsia="Malgun Gothic" w:hAnsi="Verdana" w:cs="Arial"/>
          <w:b/>
          <w:bCs/>
          <w:sz w:val="18"/>
          <w:szCs w:val="18"/>
        </w:rPr>
        <w:t>Database.</w:t>
      </w:r>
    </w:p>
    <w:p w14:paraId="3AC5B7F2" w14:textId="4E2E99F4" w:rsidR="00C26329" w:rsidRDefault="00C26329" w:rsidP="00072754">
      <w:pPr>
        <w:jc w:val="both"/>
        <w:rPr>
          <w:rFonts w:ascii="Verdana" w:eastAsia="Malgun Gothic" w:hAnsi="Verdana" w:cs="Arial"/>
          <w:sz w:val="18"/>
          <w:szCs w:val="18"/>
        </w:rPr>
      </w:pPr>
    </w:p>
    <w:p w14:paraId="37997F6F" w14:textId="77777777" w:rsidR="00DF2F99" w:rsidRPr="00DF2F99" w:rsidRDefault="00DF2F99" w:rsidP="00DF2F99">
      <w:pPr>
        <w:jc w:val="both"/>
        <w:rPr>
          <w:rFonts w:ascii="Verdana" w:eastAsia="Malgun Gothic" w:hAnsi="Verdana" w:cs="Arial"/>
          <w:i/>
          <w:sz w:val="18"/>
          <w:szCs w:val="18"/>
          <w:lang w:val="pt-PT"/>
        </w:rPr>
      </w:pPr>
      <w:r w:rsidRPr="00DF2F99">
        <w:rPr>
          <w:rFonts w:ascii="Verdana" w:eastAsia="Malgun Gothic" w:hAnsi="Verdana" w:cs="Arial"/>
          <w:i/>
          <w:sz w:val="18"/>
          <w:szCs w:val="18"/>
          <w:u w:val="single"/>
          <w:lang w:val="pt-PT"/>
        </w:rPr>
        <w:t>Contact</w:t>
      </w:r>
      <w:r w:rsidRPr="00DF2F99">
        <w:rPr>
          <w:rFonts w:ascii="Verdana" w:eastAsia="Malgun Gothic" w:hAnsi="Verdana" w:cs="Arial"/>
          <w:i/>
          <w:sz w:val="18"/>
          <w:szCs w:val="18"/>
          <w:lang w:val="pt-PT"/>
        </w:rPr>
        <w:t xml:space="preserve"> </w:t>
      </w:r>
    </w:p>
    <w:p w14:paraId="16BA908E" w14:textId="77777777" w:rsidR="00DF2F99" w:rsidRPr="00DF2F99" w:rsidRDefault="00DF2F99" w:rsidP="00DF2F99">
      <w:pPr>
        <w:rPr>
          <w:rFonts w:ascii="Verdana" w:eastAsia="Malgun Gothic" w:hAnsi="Verdana" w:cs="Arial"/>
          <w:sz w:val="18"/>
          <w:szCs w:val="18"/>
          <w:lang w:val="pt-PT"/>
        </w:rPr>
      </w:pPr>
      <w:r w:rsidRPr="00DF2F99">
        <w:rPr>
          <w:rFonts w:ascii="Verdana" w:eastAsia="Malgun Gothic" w:hAnsi="Verdana" w:cs="Arial"/>
          <w:sz w:val="18"/>
          <w:szCs w:val="18"/>
          <w:lang w:val="pt-PT"/>
        </w:rPr>
        <w:t xml:space="preserve">Constantinou Maria: </w:t>
      </w:r>
      <w:r w:rsidRPr="00DF2F99">
        <w:rPr>
          <w:rFonts w:ascii="Verdana" w:eastAsia="Malgun Gothic" w:hAnsi="Verdana" w:cs="Arial"/>
          <w:sz w:val="18"/>
          <w:szCs w:val="18"/>
          <w:lang w:val="el-GR"/>
        </w:rPr>
        <w:t>Τ</w:t>
      </w:r>
      <w:r w:rsidRPr="00DF2F99">
        <w:rPr>
          <w:rFonts w:ascii="Verdana" w:eastAsia="Malgun Gothic" w:hAnsi="Verdana" w:cs="Arial"/>
          <w:sz w:val="18"/>
          <w:szCs w:val="18"/>
          <w:lang w:val="pt-PT"/>
        </w:rPr>
        <w:t xml:space="preserve">el: +35722602226, Email: </w:t>
      </w:r>
      <w:hyperlink r:id="rId12" w:history="1">
        <w:r w:rsidRPr="00DF2F99">
          <w:rPr>
            <w:rFonts w:ascii="Verdana" w:hAnsi="Verdana"/>
            <w:color w:val="0000FF"/>
            <w:sz w:val="18"/>
            <w:szCs w:val="18"/>
            <w:u w:val="single"/>
          </w:rPr>
          <w:t>mconstantinou</w:t>
        </w:r>
        <w:r w:rsidRPr="00DF2F99">
          <w:rPr>
            <w:rFonts w:ascii="Verdana" w:eastAsia="Malgun Gothic" w:hAnsi="Verdana" w:cs="Arial"/>
            <w:color w:val="0000FF"/>
            <w:sz w:val="18"/>
            <w:szCs w:val="18"/>
            <w:u w:val="single"/>
            <w:lang w:val="pt-PT"/>
          </w:rPr>
          <w:t>@cystat.mof.gov.cy</w:t>
        </w:r>
      </w:hyperlink>
    </w:p>
    <w:p w14:paraId="6CD4F3B7" w14:textId="409697A9" w:rsidR="00C26329" w:rsidRPr="00DF2F99" w:rsidRDefault="00C26329" w:rsidP="00072754">
      <w:pPr>
        <w:jc w:val="both"/>
        <w:rPr>
          <w:rFonts w:ascii="Verdana" w:eastAsia="Malgun Gothic" w:hAnsi="Verdana" w:cs="Arial"/>
          <w:sz w:val="18"/>
          <w:szCs w:val="18"/>
          <w:lang w:val="pt-PT"/>
        </w:rPr>
      </w:pPr>
    </w:p>
    <w:p w14:paraId="6C4502B0" w14:textId="2E85010A" w:rsidR="00C26329" w:rsidRDefault="00C26329" w:rsidP="00072754">
      <w:pPr>
        <w:jc w:val="both"/>
        <w:rPr>
          <w:rFonts w:ascii="Verdana" w:eastAsia="Malgun Gothic" w:hAnsi="Verdana" w:cs="Arial"/>
          <w:sz w:val="18"/>
          <w:szCs w:val="18"/>
        </w:rPr>
      </w:pPr>
    </w:p>
    <w:p w14:paraId="5A69251E" w14:textId="77777777" w:rsidR="00C26329" w:rsidRPr="00C26329" w:rsidRDefault="00C26329" w:rsidP="00072754">
      <w:pPr>
        <w:jc w:val="both"/>
        <w:rPr>
          <w:rFonts w:ascii="Verdana" w:eastAsia="Malgun Gothic" w:hAnsi="Verdana" w:cs="Arial"/>
          <w:sz w:val="18"/>
          <w:szCs w:val="18"/>
        </w:rPr>
      </w:pPr>
    </w:p>
    <w:sectPr w:rsidR="00C26329" w:rsidRPr="00C26329" w:rsidSect="00A31C39">
      <w:headerReference w:type="even" r:id="rId13"/>
      <w:headerReference w:type="default" r:id="rId14"/>
      <w:footerReference w:type="even"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8CA2A" w14:textId="77777777" w:rsidR="00DC61A7" w:rsidRDefault="00DC61A7" w:rsidP="00FB398F">
      <w:r>
        <w:separator/>
      </w:r>
    </w:p>
  </w:endnote>
  <w:endnote w:type="continuationSeparator" w:id="0">
    <w:p w14:paraId="680761B3" w14:textId="77777777" w:rsidR="00DC61A7" w:rsidRDefault="00DC61A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57F2F" w14:textId="77777777" w:rsidR="00540668" w:rsidRDefault="00540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2CE26"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w:t>
    </w:r>
    <w:proofErr w:type="spellStart"/>
    <w:proofErr w:type="gramStart"/>
    <w:r w:rsidRPr="00122143">
      <w:rPr>
        <w:rFonts w:ascii="Arial" w:hAnsi="Arial" w:cs="Arial"/>
        <w:i/>
        <w:iCs/>
        <w:sz w:val="16"/>
        <w:szCs w:val="16"/>
      </w:rPr>
      <w:t>Karaoli</w:t>
    </w:r>
    <w:proofErr w:type="spellEnd"/>
    <w:r w:rsidRPr="00122143">
      <w:rPr>
        <w:rFonts w:ascii="Arial" w:hAnsi="Arial" w:cs="Arial"/>
        <w:i/>
        <w:iCs/>
        <w:sz w:val="16"/>
        <w:szCs w:val="16"/>
      </w:rPr>
      <w:t xml:space="preserve">  Str.</w:t>
    </w:r>
    <w:proofErr w:type="gramEnd"/>
    <w:r w:rsidRPr="00122143">
      <w:rPr>
        <w:rFonts w:ascii="Arial" w:hAnsi="Arial" w:cs="Arial"/>
        <w:i/>
        <w:iCs/>
        <w:sz w:val="16"/>
        <w:szCs w:val="16"/>
      </w:rPr>
      <w:t>, 1444 Nicosia, Cyprus</w:t>
    </w:r>
  </w:p>
  <w:p w14:paraId="5BFB5428" w14:textId="111B6790" w:rsidR="0060256A" w:rsidRPr="00122143" w:rsidRDefault="00122143" w:rsidP="0060256A">
    <w:pPr>
      <w:pStyle w:val="Footer"/>
      <w:tabs>
        <w:tab w:val="left" w:pos="4500"/>
      </w:tabs>
      <w:jc w:val="center"/>
      <w:rPr>
        <w:rFonts w:ascii="Arial" w:hAnsi="Arial" w:cs="Arial"/>
        <w:i/>
        <w:iCs/>
        <w:sz w:val="16"/>
        <w:szCs w:val="16"/>
      </w:rPr>
    </w:pPr>
    <w:r>
      <w:rPr>
        <w:rFonts w:ascii="Arial" w:hAnsi="Arial" w:cs="Arial"/>
        <w:i/>
        <w:iCs/>
        <w:sz w:val="16"/>
        <w:szCs w:val="16"/>
      </w:rPr>
      <w:t xml:space="preserve">Tel.:  22 602129, </w:t>
    </w:r>
    <w:r w:rsidR="0060256A" w:rsidRPr="00122143">
      <w:rPr>
        <w:rFonts w:ascii="Arial" w:hAnsi="Arial" w:cs="Arial"/>
        <w:i/>
        <w:iCs/>
        <w:sz w:val="16"/>
        <w:szCs w:val="16"/>
      </w:rPr>
      <w:t>Fax: 22 661313, E-mail:  enquiries@cystat.mof.gov.cy</w:t>
    </w:r>
  </w:p>
  <w:p w14:paraId="53D85FE4"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7AF52" w14:textId="77777777" w:rsidR="00DC61A7" w:rsidRDefault="00DC61A7" w:rsidP="00FB398F">
      <w:r>
        <w:separator/>
      </w:r>
    </w:p>
  </w:footnote>
  <w:footnote w:type="continuationSeparator" w:id="0">
    <w:p w14:paraId="43186B52" w14:textId="77777777" w:rsidR="00DC61A7" w:rsidRDefault="00DC61A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A21CC" w14:textId="77777777" w:rsidR="00540668" w:rsidRDefault="00540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AC704B" w:rsidRDefault="00572BC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" stroked="f">
              <v:textbo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7A5CA03F" w14:textId="081A7E2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2361804">
    <w:abstractNumId w:val="4"/>
  </w:num>
  <w:num w:numId="2" w16cid:durableId="503470264">
    <w:abstractNumId w:val="1"/>
  </w:num>
  <w:num w:numId="3" w16cid:durableId="1107576723">
    <w:abstractNumId w:val="2"/>
  </w:num>
  <w:num w:numId="4" w16cid:durableId="917440871">
    <w:abstractNumId w:val="3"/>
  </w:num>
  <w:num w:numId="5" w16cid:durableId="862404345">
    <w:abstractNumId w:val="0"/>
  </w:num>
  <w:num w:numId="6" w16cid:durableId="449711034">
    <w:abstractNumId w:val="5"/>
  </w:num>
  <w:num w:numId="7" w16cid:durableId="2115856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6D1E"/>
    <w:rsid w:val="00025A39"/>
    <w:rsid w:val="00027853"/>
    <w:rsid w:val="00030E18"/>
    <w:rsid w:val="00031D32"/>
    <w:rsid w:val="0003603D"/>
    <w:rsid w:val="00036FA9"/>
    <w:rsid w:val="00045088"/>
    <w:rsid w:val="00045A06"/>
    <w:rsid w:val="00050391"/>
    <w:rsid w:val="00050EFB"/>
    <w:rsid w:val="00055291"/>
    <w:rsid w:val="000563D3"/>
    <w:rsid w:val="00057E44"/>
    <w:rsid w:val="00061299"/>
    <w:rsid w:val="00070576"/>
    <w:rsid w:val="00072754"/>
    <w:rsid w:val="000752BB"/>
    <w:rsid w:val="00081ADF"/>
    <w:rsid w:val="00081EB0"/>
    <w:rsid w:val="00084A02"/>
    <w:rsid w:val="00084BF7"/>
    <w:rsid w:val="000870E9"/>
    <w:rsid w:val="000932CF"/>
    <w:rsid w:val="00096ED8"/>
    <w:rsid w:val="000A1A88"/>
    <w:rsid w:val="000A2B5C"/>
    <w:rsid w:val="000A3601"/>
    <w:rsid w:val="000A6FA8"/>
    <w:rsid w:val="000B2076"/>
    <w:rsid w:val="000B3528"/>
    <w:rsid w:val="000B6F3B"/>
    <w:rsid w:val="000C4E72"/>
    <w:rsid w:val="000D1E7A"/>
    <w:rsid w:val="000E24B1"/>
    <w:rsid w:val="000E2735"/>
    <w:rsid w:val="000E32D6"/>
    <w:rsid w:val="000E57F2"/>
    <w:rsid w:val="000E72A7"/>
    <w:rsid w:val="000F1162"/>
    <w:rsid w:val="000F200F"/>
    <w:rsid w:val="000F3467"/>
    <w:rsid w:val="000F38DE"/>
    <w:rsid w:val="000F5D6C"/>
    <w:rsid w:val="00106852"/>
    <w:rsid w:val="00110F9D"/>
    <w:rsid w:val="00114A67"/>
    <w:rsid w:val="00122143"/>
    <w:rsid w:val="001253B6"/>
    <w:rsid w:val="00127320"/>
    <w:rsid w:val="00127456"/>
    <w:rsid w:val="001312D8"/>
    <w:rsid w:val="0013137B"/>
    <w:rsid w:val="00135925"/>
    <w:rsid w:val="00146F9C"/>
    <w:rsid w:val="0015118B"/>
    <w:rsid w:val="001519CE"/>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B2C39"/>
    <w:rsid w:val="001B3675"/>
    <w:rsid w:val="001B54AB"/>
    <w:rsid w:val="001B5E10"/>
    <w:rsid w:val="001B6AB3"/>
    <w:rsid w:val="001B73D5"/>
    <w:rsid w:val="001C0681"/>
    <w:rsid w:val="001C14B9"/>
    <w:rsid w:val="001C62B3"/>
    <w:rsid w:val="001C7C8C"/>
    <w:rsid w:val="001D0D6A"/>
    <w:rsid w:val="001D20A4"/>
    <w:rsid w:val="001D20E0"/>
    <w:rsid w:val="001E00D1"/>
    <w:rsid w:val="001E0E58"/>
    <w:rsid w:val="001E14F3"/>
    <w:rsid w:val="001E15ED"/>
    <w:rsid w:val="001E61AA"/>
    <w:rsid w:val="001E7D09"/>
    <w:rsid w:val="0020309E"/>
    <w:rsid w:val="00205BA0"/>
    <w:rsid w:val="00210B58"/>
    <w:rsid w:val="00222423"/>
    <w:rsid w:val="0022346F"/>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7554"/>
    <w:rsid w:val="0027122D"/>
    <w:rsid w:val="0028338F"/>
    <w:rsid w:val="00285C24"/>
    <w:rsid w:val="002915C4"/>
    <w:rsid w:val="002A1D1C"/>
    <w:rsid w:val="002A4D64"/>
    <w:rsid w:val="002B6554"/>
    <w:rsid w:val="002D05F0"/>
    <w:rsid w:val="002D7D4A"/>
    <w:rsid w:val="002E1906"/>
    <w:rsid w:val="002E3846"/>
    <w:rsid w:val="002E3F78"/>
    <w:rsid w:val="002F400C"/>
    <w:rsid w:val="002F4D76"/>
    <w:rsid w:val="002F6D26"/>
    <w:rsid w:val="0030231E"/>
    <w:rsid w:val="003042C4"/>
    <w:rsid w:val="00304CB4"/>
    <w:rsid w:val="00313F37"/>
    <w:rsid w:val="003141D0"/>
    <w:rsid w:val="003168C1"/>
    <w:rsid w:val="00322FBE"/>
    <w:rsid w:val="00325632"/>
    <w:rsid w:val="00327549"/>
    <w:rsid w:val="003342A5"/>
    <w:rsid w:val="00336C36"/>
    <w:rsid w:val="00343815"/>
    <w:rsid w:val="00347234"/>
    <w:rsid w:val="003522BB"/>
    <w:rsid w:val="00352F6C"/>
    <w:rsid w:val="0035337D"/>
    <w:rsid w:val="00353675"/>
    <w:rsid w:val="003556EA"/>
    <w:rsid w:val="00364377"/>
    <w:rsid w:val="00366B67"/>
    <w:rsid w:val="00377ABB"/>
    <w:rsid w:val="003854F5"/>
    <w:rsid w:val="00386FC7"/>
    <w:rsid w:val="00390A32"/>
    <w:rsid w:val="00396C89"/>
    <w:rsid w:val="003A40F2"/>
    <w:rsid w:val="003A50D1"/>
    <w:rsid w:val="003B196D"/>
    <w:rsid w:val="003B2710"/>
    <w:rsid w:val="003B4608"/>
    <w:rsid w:val="003C0393"/>
    <w:rsid w:val="003C1B8E"/>
    <w:rsid w:val="003C2392"/>
    <w:rsid w:val="003C5174"/>
    <w:rsid w:val="003C5240"/>
    <w:rsid w:val="003D14E0"/>
    <w:rsid w:val="003D1EA5"/>
    <w:rsid w:val="003D3348"/>
    <w:rsid w:val="003D6822"/>
    <w:rsid w:val="003D724C"/>
    <w:rsid w:val="003E0CE2"/>
    <w:rsid w:val="003F49E4"/>
    <w:rsid w:val="003F4D2F"/>
    <w:rsid w:val="003F5E32"/>
    <w:rsid w:val="003F75F6"/>
    <w:rsid w:val="00404670"/>
    <w:rsid w:val="00414CA0"/>
    <w:rsid w:val="00422F54"/>
    <w:rsid w:val="00423AA5"/>
    <w:rsid w:val="00431516"/>
    <w:rsid w:val="004361B3"/>
    <w:rsid w:val="0044249D"/>
    <w:rsid w:val="0044379F"/>
    <w:rsid w:val="00446FB1"/>
    <w:rsid w:val="0046078F"/>
    <w:rsid w:val="00463214"/>
    <w:rsid w:val="0046434D"/>
    <w:rsid w:val="004656FA"/>
    <w:rsid w:val="00471D77"/>
    <w:rsid w:val="00475587"/>
    <w:rsid w:val="00480BC2"/>
    <w:rsid w:val="00491DD0"/>
    <w:rsid w:val="004929C2"/>
    <w:rsid w:val="00493FDD"/>
    <w:rsid w:val="0049586B"/>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27CDB"/>
    <w:rsid w:val="005317FB"/>
    <w:rsid w:val="005341C9"/>
    <w:rsid w:val="005369CA"/>
    <w:rsid w:val="00536DE9"/>
    <w:rsid w:val="00540668"/>
    <w:rsid w:val="00541E08"/>
    <w:rsid w:val="0055789A"/>
    <w:rsid w:val="005652D1"/>
    <w:rsid w:val="005660A0"/>
    <w:rsid w:val="00566A4F"/>
    <w:rsid w:val="00567D64"/>
    <w:rsid w:val="00572BC2"/>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F12F5"/>
    <w:rsid w:val="005F4B4F"/>
    <w:rsid w:val="005F7C7D"/>
    <w:rsid w:val="0060256A"/>
    <w:rsid w:val="006044B7"/>
    <w:rsid w:val="006046BA"/>
    <w:rsid w:val="006071CE"/>
    <w:rsid w:val="006075B5"/>
    <w:rsid w:val="0061018C"/>
    <w:rsid w:val="0061094E"/>
    <w:rsid w:val="00613440"/>
    <w:rsid w:val="00613BE3"/>
    <w:rsid w:val="0062327B"/>
    <w:rsid w:val="00632777"/>
    <w:rsid w:val="00633750"/>
    <w:rsid w:val="00634491"/>
    <w:rsid w:val="0063679C"/>
    <w:rsid w:val="00637055"/>
    <w:rsid w:val="00641D59"/>
    <w:rsid w:val="00644507"/>
    <w:rsid w:val="00646880"/>
    <w:rsid w:val="00647D2A"/>
    <w:rsid w:val="006537BB"/>
    <w:rsid w:val="0065711B"/>
    <w:rsid w:val="0066639B"/>
    <w:rsid w:val="00671785"/>
    <w:rsid w:val="00672BA9"/>
    <w:rsid w:val="00673005"/>
    <w:rsid w:val="006804BE"/>
    <w:rsid w:val="0069008E"/>
    <w:rsid w:val="0069087E"/>
    <w:rsid w:val="00691191"/>
    <w:rsid w:val="006925C4"/>
    <w:rsid w:val="0069309C"/>
    <w:rsid w:val="006A02B7"/>
    <w:rsid w:val="006B46D5"/>
    <w:rsid w:val="006B46F4"/>
    <w:rsid w:val="006C7AF3"/>
    <w:rsid w:val="006D6548"/>
    <w:rsid w:val="006E006A"/>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11A05"/>
    <w:rsid w:val="007218C6"/>
    <w:rsid w:val="0072548A"/>
    <w:rsid w:val="00727454"/>
    <w:rsid w:val="007277A6"/>
    <w:rsid w:val="007437AB"/>
    <w:rsid w:val="007534F8"/>
    <w:rsid w:val="007545AD"/>
    <w:rsid w:val="00763722"/>
    <w:rsid w:val="00764BC1"/>
    <w:rsid w:val="00770869"/>
    <w:rsid w:val="007738AA"/>
    <w:rsid w:val="00780A62"/>
    <w:rsid w:val="00783241"/>
    <w:rsid w:val="007838EC"/>
    <w:rsid w:val="00784BDC"/>
    <w:rsid w:val="00792F28"/>
    <w:rsid w:val="0079543F"/>
    <w:rsid w:val="00795880"/>
    <w:rsid w:val="007A4367"/>
    <w:rsid w:val="007B0867"/>
    <w:rsid w:val="007B1AC1"/>
    <w:rsid w:val="007B5128"/>
    <w:rsid w:val="007B5A08"/>
    <w:rsid w:val="007B693D"/>
    <w:rsid w:val="007D0338"/>
    <w:rsid w:val="007E041B"/>
    <w:rsid w:val="007E199A"/>
    <w:rsid w:val="007E2415"/>
    <w:rsid w:val="007E39F3"/>
    <w:rsid w:val="007E68F4"/>
    <w:rsid w:val="007F31BA"/>
    <w:rsid w:val="007F4078"/>
    <w:rsid w:val="0080014B"/>
    <w:rsid w:val="00801793"/>
    <w:rsid w:val="00803642"/>
    <w:rsid w:val="00806EA2"/>
    <w:rsid w:val="00812A2B"/>
    <w:rsid w:val="00814A4C"/>
    <w:rsid w:val="00825529"/>
    <w:rsid w:val="00831AAB"/>
    <w:rsid w:val="0083574E"/>
    <w:rsid w:val="0083640C"/>
    <w:rsid w:val="0084157B"/>
    <w:rsid w:val="00842BFB"/>
    <w:rsid w:val="00846B85"/>
    <w:rsid w:val="00847DC3"/>
    <w:rsid w:val="00847F49"/>
    <w:rsid w:val="008535C5"/>
    <w:rsid w:val="00853765"/>
    <w:rsid w:val="0085516F"/>
    <w:rsid w:val="00861278"/>
    <w:rsid w:val="00867186"/>
    <w:rsid w:val="00870AF6"/>
    <w:rsid w:val="00881268"/>
    <w:rsid w:val="0088394A"/>
    <w:rsid w:val="008860BD"/>
    <w:rsid w:val="00887399"/>
    <w:rsid w:val="0088779E"/>
    <w:rsid w:val="008912AF"/>
    <w:rsid w:val="00892114"/>
    <w:rsid w:val="00892CB9"/>
    <w:rsid w:val="008935CB"/>
    <w:rsid w:val="008B0E7E"/>
    <w:rsid w:val="008B5FF0"/>
    <w:rsid w:val="008B65BD"/>
    <w:rsid w:val="008B7900"/>
    <w:rsid w:val="008C71BF"/>
    <w:rsid w:val="008C7FE0"/>
    <w:rsid w:val="008D5717"/>
    <w:rsid w:val="008E44A9"/>
    <w:rsid w:val="008E4A39"/>
    <w:rsid w:val="008E6B4D"/>
    <w:rsid w:val="008E6BFF"/>
    <w:rsid w:val="008F21AF"/>
    <w:rsid w:val="008F2400"/>
    <w:rsid w:val="008F61BA"/>
    <w:rsid w:val="008F6E3C"/>
    <w:rsid w:val="008F7C55"/>
    <w:rsid w:val="0090338C"/>
    <w:rsid w:val="00914A23"/>
    <w:rsid w:val="009226AB"/>
    <w:rsid w:val="00930754"/>
    <w:rsid w:val="00931164"/>
    <w:rsid w:val="00934F68"/>
    <w:rsid w:val="0093541E"/>
    <w:rsid w:val="009355AC"/>
    <w:rsid w:val="00935F38"/>
    <w:rsid w:val="00937586"/>
    <w:rsid w:val="00947889"/>
    <w:rsid w:val="0095405B"/>
    <w:rsid w:val="00960E98"/>
    <w:rsid w:val="00963A82"/>
    <w:rsid w:val="00972912"/>
    <w:rsid w:val="00972CA0"/>
    <w:rsid w:val="00976D1F"/>
    <w:rsid w:val="00981C81"/>
    <w:rsid w:val="00992209"/>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9F4B00"/>
    <w:rsid w:val="00A05D16"/>
    <w:rsid w:val="00A0659F"/>
    <w:rsid w:val="00A079BA"/>
    <w:rsid w:val="00A31C39"/>
    <w:rsid w:val="00A33875"/>
    <w:rsid w:val="00A360A1"/>
    <w:rsid w:val="00A402B3"/>
    <w:rsid w:val="00A544B7"/>
    <w:rsid w:val="00A618CF"/>
    <w:rsid w:val="00A62770"/>
    <w:rsid w:val="00A62EEB"/>
    <w:rsid w:val="00A660FF"/>
    <w:rsid w:val="00A6625A"/>
    <w:rsid w:val="00A66266"/>
    <w:rsid w:val="00A702E2"/>
    <w:rsid w:val="00A73395"/>
    <w:rsid w:val="00A8257D"/>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6145"/>
    <w:rsid w:val="00B01386"/>
    <w:rsid w:val="00B01BB5"/>
    <w:rsid w:val="00B04AF4"/>
    <w:rsid w:val="00B05214"/>
    <w:rsid w:val="00B0736F"/>
    <w:rsid w:val="00B12479"/>
    <w:rsid w:val="00B30D97"/>
    <w:rsid w:val="00B31738"/>
    <w:rsid w:val="00B3181A"/>
    <w:rsid w:val="00B33C2E"/>
    <w:rsid w:val="00B35A7C"/>
    <w:rsid w:val="00B450D1"/>
    <w:rsid w:val="00B53D47"/>
    <w:rsid w:val="00B54A25"/>
    <w:rsid w:val="00B618C3"/>
    <w:rsid w:val="00B61939"/>
    <w:rsid w:val="00B63652"/>
    <w:rsid w:val="00B65098"/>
    <w:rsid w:val="00B668B0"/>
    <w:rsid w:val="00B7050B"/>
    <w:rsid w:val="00B70F5C"/>
    <w:rsid w:val="00B71873"/>
    <w:rsid w:val="00B75AE5"/>
    <w:rsid w:val="00B800C0"/>
    <w:rsid w:val="00B8132B"/>
    <w:rsid w:val="00B84C5A"/>
    <w:rsid w:val="00B858F5"/>
    <w:rsid w:val="00B85ADA"/>
    <w:rsid w:val="00B93668"/>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5CDA"/>
    <w:rsid w:val="00BE608F"/>
    <w:rsid w:val="00BF23BB"/>
    <w:rsid w:val="00BF33DD"/>
    <w:rsid w:val="00BF5755"/>
    <w:rsid w:val="00BF684B"/>
    <w:rsid w:val="00C016F3"/>
    <w:rsid w:val="00C15193"/>
    <w:rsid w:val="00C15609"/>
    <w:rsid w:val="00C15F6A"/>
    <w:rsid w:val="00C23B89"/>
    <w:rsid w:val="00C23EA7"/>
    <w:rsid w:val="00C256F3"/>
    <w:rsid w:val="00C26329"/>
    <w:rsid w:val="00C270A2"/>
    <w:rsid w:val="00C315B5"/>
    <w:rsid w:val="00C32D3A"/>
    <w:rsid w:val="00C35E28"/>
    <w:rsid w:val="00C426AF"/>
    <w:rsid w:val="00C434E1"/>
    <w:rsid w:val="00C469C1"/>
    <w:rsid w:val="00C50659"/>
    <w:rsid w:val="00C51B39"/>
    <w:rsid w:val="00C5338A"/>
    <w:rsid w:val="00C54EF9"/>
    <w:rsid w:val="00C56BBF"/>
    <w:rsid w:val="00C572AA"/>
    <w:rsid w:val="00C57A9A"/>
    <w:rsid w:val="00C6016A"/>
    <w:rsid w:val="00C60B3F"/>
    <w:rsid w:val="00C623EB"/>
    <w:rsid w:val="00C6258A"/>
    <w:rsid w:val="00C64B80"/>
    <w:rsid w:val="00C64C6B"/>
    <w:rsid w:val="00C65138"/>
    <w:rsid w:val="00C66F2E"/>
    <w:rsid w:val="00C6785C"/>
    <w:rsid w:val="00C70FD1"/>
    <w:rsid w:val="00C733AA"/>
    <w:rsid w:val="00C83027"/>
    <w:rsid w:val="00C84B8A"/>
    <w:rsid w:val="00C85E65"/>
    <w:rsid w:val="00C87CA1"/>
    <w:rsid w:val="00C911B4"/>
    <w:rsid w:val="00C91B3B"/>
    <w:rsid w:val="00C94262"/>
    <w:rsid w:val="00C976E1"/>
    <w:rsid w:val="00CA148E"/>
    <w:rsid w:val="00CA3A9A"/>
    <w:rsid w:val="00CB6BC1"/>
    <w:rsid w:val="00CB7021"/>
    <w:rsid w:val="00CC7316"/>
    <w:rsid w:val="00CD3294"/>
    <w:rsid w:val="00CD4524"/>
    <w:rsid w:val="00CD784D"/>
    <w:rsid w:val="00CF40F8"/>
    <w:rsid w:val="00D008DA"/>
    <w:rsid w:val="00D0416F"/>
    <w:rsid w:val="00D05851"/>
    <w:rsid w:val="00D10FED"/>
    <w:rsid w:val="00D11736"/>
    <w:rsid w:val="00D12EE8"/>
    <w:rsid w:val="00D15FF1"/>
    <w:rsid w:val="00D167F4"/>
    <w:rsid w:val="00D2092A"/>
    <w:rsid w:val="00D2216D"/>
    <w:rsid w:val="00D31A6F"/>
    <w:rsid w:val="00D33293"/>
    <w:rsid w:val="00D353D1"/>
    <w:rsid w:val="00D367DB"/>
    <w:rsid w:val="00D36E05"/>
    <w:rsid w:val="00D44F27"/>
    <w:rsid w:val="00D45304"/>
    <w:rsid w:val="00D461C7"/>
    <w:rsid w:val="00D50424"/>
    <w:rsid w:val="00D57D3E"/>
    <w:rsid w:val="00D843F4"/>
    <w:rsid w:val="00DC23CF"/>
    <w:rsid w:val="00DC61A7"/>
    <w:rsid w:val="00DC6562"/>
    <w:rsid w:val="00DE130D"/>
    <w:rsid w:val="00DE24CF"/>
    <w:rsid w:val="00DE407C"/>
    <w:rsid w:val="00DE7C7D"/>
    <w:rsid w:val="00DF2992"/>
    <w:rsid w:val="00DF2D0C"/>
    <w:rsid w:val="00DF2F99"/>
    <w:rsid w:val="00DF3F02"/>
    <w:rsid w:val="00E01B9D"/>
    <w:rsid w:val="00E04F5E"/>
    <w:rsid w:val="00E0522E"/>
    <w:rsid w:val="00E120F4"/>
    <w:rsid w:val="00E155F9"/>
    <w:rsid w:val="00E17172"/>
    <w:rsid w:val="00E3181C"/>
    <w:rsid w:val="00E3280A"/>
    <w:rsid w:val="00E372AF"/>
    <w:rsid w:val="00E37D68"/>
    <w:rsid w:val="00E40EAE"/>
    <w:rsid w:val="00E436AC"/>
    <w:rsid w:val="00E44FF8"/>
    <w:rsid w:val="00E451D7"/>
    <w:rsid w:val="00E5066A"/>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BE5"/>
    <w:rsid w:val="00ED2650"/>
    <w:rsid w:val="00ED721A"/>
    <w:rsid w:val="00EE393D"/>
    <w:rsid w:val="00EF01CF"/>
    <w:rsid w:val="00EF6A66"/>
    <w:rsid w:val="00EF7AF9"/>
    <w:rsid w:val="00F01495"/>
    <w:rsid w:val="00F01EE6"/>
    <w:rsid w:val="00F10138"/>
    <w:rsid w:val="00F13F92"/>
    <w:rsid w:val="00F22ECA"/>
    <w:rsid w:val="00F240E8"/>
    <w:rsid w:val="00F244FA"/>
    <w:rsid w:val="00F3363A"/>
    <w:rsid w:val="00F366A2"/>
    <w:rsid w:val="00F44F43"/>
    <w:rsid w:val="00F450E1"/>
    <w:rsid w:val="00F50DF4"/>
    <w:rsid w:val="00F57AFE"/>
    <w:rsid w:val="00F6278E"/>
    <w:rsid w:val="00F63C41"/>
    <w:rsid w:val="00F63E96"/>
    <w:rsid w:val="00F701E3"/>
    <w:rsid w:val="00F71F8C"/>
    <w:rsid w:val="00F80362"/>
    <w:rsid w:val="00F8143B"/>
    <w:rsid w:val="00F86AD4"/>
    <w:rsid w:val="00F92EE4"/>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6FF6"/>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706259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902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onstantinou@cystat.mof.gov.c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n/8.CYSTAT-DB/8.CYSTAT-DB__National%20Account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5"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0.emf"/><Relationship Id="rId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n-US" sz="1100" b="1">
                <a:solidFill>
                  <a:sysClr val="windowText" lastClr="000000"/>
                </a:solidFill>
                <a:latin typeface="Verdana" panose="020B0604030504040204" pitchFamily="34" charset="0"/>
                <a:ea typeface="Verdana" panose="020B0604030504040204" pitchFamily="34" charset="0"/>
              </a:rPr>
              <a:t>Growth Rate of GDP at Volumes Measures</a:t>
            </a:r>
          </a:p>
          <a:p>
            <a:pPr>
              <a:defRPr sz="1100" b="1">
                <a:solidFill>
                  <a:sysClr val="windowText" lastClr="000000"/>
                </a:solidFill>
                <a:latin typeface="Verdana" panose="020B0604030504040204" pitchFamily="34" charset="0"/>
                <a:ea typeface="Verdana" panose="020B0604030504040204" pitchFamily="34" charset="0"/>
              </a:defRPr>
            </a:pPr>
            <a:r>
              <a:rPr lang="en-US" sz="1100" b="0">
                <a:solidFill>
                  <a:sysClr val="windowText" lastClr="000000"/>
                </a:solidFill>
                <a:latin typeface="Verdana" panose="020B0604030504040204" pitchFamily="34" charset="0"/>
                <a:ea typeface="Verdana" panose="020B0604030504040204" pitchFamily="34" charset="0"/>
              </a:rPr>
              <a:t>Compared to the corresponding quarter</a:t>
            </a:r>
            <a:r>
              <a:rPr lang="el-GR" sz="1100" b="0">
                <a:solidFill>
                  <a:sysClr val="windowText" lastClr="000000"/>
                </a:solidFill>
                <a:latin typeface="Verdana" panose="020B0604030504040204" pitchFamily="34" charset="0"/>
                <a:ea typeface="Verdana" panose="020B0604030504040204" pitchFamily="34" charset="0"/>
              </a:rPr>
              <a:t> </a:t>
            </a:r>
            <a:r>
              <a:rPr lang="en-US" sz="1100" b="0">
                <a:solidFill>
                  <a:sysClr val="windowText" lastClr="000000"/>
                </a:solidFill>
                <a:latin typeface="Verdana" panose="020B0604030504040204" pitchFamily="34" charset="0"/>
                <a:ea typeface="Verdana" panose="020B0604030504040204" pitchFamily="34" charset="0"/>
              </a:rPr>
              <a:t>of the previous year</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en-CY"/>
        </a:p>
      </c:txPr>
    </c:title>
    <c:autoTitleDeleted val="0"/>
    <c:plotArea>
      <c:layout>
        <c:manualLayout>
          <c:layoutTarget val="inner"/>
          <c:xMode val="edge"/>
          <c:yMode val="edge"/>
          <c:x val="0.1062321719588973"/>
          <c:y val="0.14864687599065732"/>
          <c:w val="0.86034659393066049"/>
          <c:h val="0.7073138293026866"/>
        </c:manualLayout>
      </c:layout>
      <c:barChart>
        <c:barDir val="col"/>
        <c:grouping val="clustered"/>
        <c:varyColors val="0"/>
        <c:ser>
          <c:idx val="0"/>
          <c:order val="0"/>
          <c:tx>
            <c:strRef>
              <c:f>'Graph EN'!$E$2</c:f>
              <c:strCache>
                <c:ptCount val="1"/>
                <c:pt idx="0">
                  <c:v>GDP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 EN'!$C$8:$D$12</c:f>
              <c:multiLvlStrCache>
                <c:ptCount val="5"/>
                <c:lvl>
                  <c:pt idx="0">
                    <c:v>Q2</c:v>
                  </c:pt>
                  <c:pt idx="1">
                    <c:v>Q3</c:v>
                  </c:pt>
                  <c:pt idx="2">
                    <c:v>Q4</c:v>
                  </c:pt>
                  <c:pt idx="3">
                    <c:v>Q1</c:v>
                  </c:pt>
                  <c:pt idx="4">
                    <c:v>Q2</c:v>
                  </c:pt>
                </c:lvl>
                <c:lvl>
                  <c:pt idx="0">
                    <c:v>2023</c:v>
                  </c:pt>
                  <c:pt idx="3">
                    <c:v>2024</c:v>
                  </c:pt>
                </c:lvl>
              </c:multiLvlStrCache>
            </c:multiLvlStrRef>
          </c:cat>
          <c:val>
            <c:numRef>
              <c:f>'Graph EN'!$E$8:$E$12</c:f>
              <c:numCache>
                <c:formatCode>0.0</c:formatCode>
                <c:ptCount val="5"/>
                <c:pt idx="0">
                  <c:v>2.2000000000000002</c:v>
                </c:pt>
                <c:pt idx="1">
                  <c:v>2.6</c:v>
                </c:pt>
                <c:pt idx="2">
                  <c:v>2.1</c:v>
                </c:pt>
                <c:pt idx="3">
                  <c:v>3.5</c:v>
                </c:pt>
                <c:pt idx="4">
                  <c:v>3.6</c:v>
                </c:pt>
              </c:numCache>
            </c:numRef>
          </c:val>
          <c:extLst>
            <c:ext xmlns:c16="http://schemas.microsoft.com/office/drawing/2014/chart" uri="{C3380CC4-5D6E-409C-BE32-E72D297353CC}">
              <c16:uniqueId val="{00000000-6714-462A-B23B-8069A0E130E4}"/>
            </c:ext>
          </c:extLst>
        </c:ser>
        <c:ser>
          <c:idx val="1"/>
          <c:order val="1"/>
          <c:tx>
            <c:strRef>
              <c:f>'Graph EN'!$F$2</c:f>
              <c:strCache>
                <c:ptCount val="1"/>
                <c:pt idx="0">
                  <c:v>GDP (seasonally and working day adjusted)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 EN'!$C$8:$D$12</c:f>
              <c:multiLvlStrCache>
                <c:ptCount val="5"/>
                <c:lvl>
                  <c:pt idx="0">
                    <c:v>Q2</c:v>
                  </c:pt>
                  <c:pt idx="1">
                    <c:v>Q3</c:v>
                  </c:pt>
                  <c:pt idx="2">
                    <c:v>Q4</c:v>
                  </c:pt>
                  <c:pt idx="3">
                    <c:v>Q1</c:v>
                  </c:pt>
                  <c:pt idx="4">
                    <c:v>Q2</c:v>
                  </c:pt>
                </c:lvl>
                <c:lvl>
                  <c:pt idx="0">
                    <c:v>2023</c:v>
                  </c:pt>
                  <c:pt idx="3">
                    <c:v>2024</c:v>
                  </c:pt>
                </c:lvl>
              </c:multiLvlStrCache>
            </c:multiLvlStrRef>
          </c:cat>
          <c:val>
            <c:numRef>
              <c:f>'Graph EN'!$F$8:$F$12</c:f>
              <c:numCache>
                <c:formatCode>0.0</c:formatCode>
                <c:ptCount val="5"/>
                <c:pt idx="0">
                  <c:v>2.4</c:v>
                </c:pt>
                <c:pt idx="1">
                  <c:v>2.4</c:v>
                </c:pt>
                <c:pt idx="2">
                  <c:v>2.2000000000000002</c:v>
                </c:pt>
                <c:pt idx="3">
                  <c:v>3.3</c:v>
                </c:pt>
                <c:pt idx="4">
                  <c:v>3.7</c:v>
                </c:pt>
              </c:numCache>
            </c:numRef>
          </c:val>
          <c:extLst>
            <c:ext xmlns:c16="http://schemas.microsoft.com/office/drawing/2014/chart" uri="{C3380CC4-5D6E-409C-BE32-E72D297353CC}">
              <c16:uniqueId val="{00000001-6714-462A-B23B-8069A0E130E4}"/>
            </c:ext>
          </c:extLst>
        </c:ser>
        <c:dLbls>
          <c:showLegendKey val="0"/>
          <c:showVal val="0"/>
          <c:showCatName val="0"/>
          <c:showSerName val="0"/>
          <c:showPercent val="0"/>
          <c:showBubbleSize val="0"/>
        </c:dLbls>
        <c:gapWidth val="219"/>
        <c:overlap val="-27"/>
        <c:axId val="702211071"/>
        <c:axId val="769022095"/>
      </c:barChart>
      <c:catAx>
        <c:axId val="70221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769022095"/>
        <c:crosses val="autoZero"/>
        <c:auto val="1"/>
        <c:lblAlgn val="ctr"/>
        <c:lblOffset val="60"/>
        <c:noMultiLvlLbl val="0"/>
      </c:catAx>
      <c:valAx>
        <c:axId val="769022095"/>
        <c:scaling>
          <c:orientation val="minMax"/>
          <c:min val="1.5"/>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Verdana" panose="020B0604030504040204" pitchFamily="34" charset="0"/>
                    <a:ea typeface="Verdana" panose="020B0604030504040204" pitchFamily="34" charset="0"/>
                  </a:rPr>
                  <a:t>Percentage change (%)</a:t>
                </a:r>
              </a:p>
            </c:rich>
          </c:tx>
          <c:layout>
            <c:manualLayout>
              <c:xMode val="edge"/>
              <c:yMode val="edge"/>
              <c:x val="1.2235999989451867E-2"/>
              <c:y val="0.313771457409478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CY"/>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702211071"/>
        <c:crosses val="autoZero"/>
        <c:crossBetween val="between"/>
      </c:valAx>
      <c:spPr>
        <a:noFill/>
        <a:ln>
          <a:noFill/>
        </a:ln>
        <a:effectLst/>
      </c:spPr>
    </c:plotArea>
    <c:legend>
      <c:legendPos val="b"/>
      <c:layout>
        <c:manualLayout>
          <c:xMode val="edge"/>
          <c:yMode val="edge"/>
          <c:x val="8.6577269035425911E-2"/>
          <c:y val="0.95700911678004952"/>
          <c:w val="0.86239105354183954"/>
          <c:h val="3.356301400311180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558ED5">
          <a:alpha val="50000"/>
        </a:srgbClr>
      </a:solidFill>
      <a:round/>
    </a:ln>
    <a:effectLst/>
  </c:spPr>
  <c:txPr>
    <a:bodyPr/>
    <a:lstStyle/>
    <a:p>
      <a:pPr>
        <a:defRPr/>
      </a:pPr>
      <a:endParaRPr lang="en-CY"/>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2286-172E-4EE7-9425-DE4F18CD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3255</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8</cp:revision>
  <cp:lastPrinted>2024-08-09T10:59:00Z</cp:lastPrinted>
  <dcterms:created xsi:type="dcterms:W3CDTF">2024-08-02T07:11:00Z</dcterms:created>
  <dcterms:modified xsi:type="dcterms:W3CDTF">2024-08-14T08:55:00Z</dcterms:modified>
</cp:coreProperties>
</file>