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EE65" w14:textId="03A9CE58" w:rsidR="00833DCE" w:rsidRPr="00D5420D" w:rsidRDefault="00833DCE" w:rsidP="00833DCE">
      <w:pPr>
        <w:tabs>
          <w:tab w:val="left" w:pos="1080"/>
          <w:tab w:val="left" w:pos="7088"/>
        </w:tabs>
        <w:jc w:val="right"/>
        <w:rPr>
          <w:rFonts w:ascii="Verdana" w:hAnsi="Verdana" w:cs="Arial"/>
          <w:sz w:val="18"/>
          <w:szCs w:val="18"/>
          <w:lang w:val="el-GR"/>
        </w:rPr>
      </w:pPr>
      <w:r w:rsidRPr="00833DCE">
        <w:rPr>
          <w:rFonts w:ascii="Verdana" w:hAnsi="Verdana" w:cs="Arial"/>
          <w:sz w:val="18"/>
          <w:szCs w:val="18"/>
          <w:lang w:val="el-GR"/>
        </w:rPr>
        <w:t>1</w:t>
      </w:r>
      <w:r w:rsidR="00057383" w:rsidRPr="00A5352C">
        <w:rPr>
          <w:rFonts w:ascii="Verdana" w:hAnsi="Verdana" w:cs="Arial"/>
          <w:sz w:val="18"/>
          <w:szCs w:val="18"/>
          <w:lang w:val="el-GR"/>
        </w:rPr>
        <w:t>1</w:t>
      </w:r>
      <w:r w:rsidR="006725B5">
        <w:rPr>
          <w:rFonts w:ascii="Verdana" w:hAnsi="Verdana" w:cs="Arial"/>
          <w:sz w:val="18"/>
          <w:szCs w:val="18"/>
          <w:lang w:val="el-GR"/>
        </w:rPr>
        <w:t xml:space="preserve"> </w:t>
      </w:r>
      <w:r w:rsidR="00C30A90">
        <w:rPr>
          <w:rFonts w:ascii="Verdana" w:hAnsi="Verdana" w:cs="Arial"/>
          <w:sz w:val="18"/>
          <w:szCs w:val="18"/>
          <w:lang w:val="el-GR"/>
        </w:rPr>
        <w:t>Μαΐου</w:t>
      </w:r>
      <w:r>
        <w:rPr>
          <w:rFonts w:ascii="Verdana" w:eastAsia="Malgun Gothic" w:hAnsi="Verdana" w:cs="Arial"/>
          <w:sz w:val="18"/>
          <w:szCs w:val="18"/>
          <w:lang w:val="el-GR"/>
        </w:rPr>
        <w:t>, 202</w:t>
      </w:r>
      <w:r w:rsidR="006725B5">
        <w:rPr>
          <w:rFonts w:ascii="Verdana" w:eastAsia="Malgun Gothic" w:hAnsi="Verdana" w:cs="Arial"/>
          <w:sz w:val="18"/>
          <w:szCs w:val="18"/>
          <w:lang w:val="el-GR"/>
        </w:rPr>
        <w:t>3</w:t>
      </w:r>
    </w:p>
    <w:p w14:paraId="548644E6" w14:textId="77777777" w:rsidR="00833DCE" w:rsidRPr="00336C36" w:rsidRDefault="00833DCE" w:rsidP="00833DCE">
      <w:pPr>
        <w:jc w:val="center"/>
        <w:rPr>
          <w:rFonts w:ascii="Verdana" w:eastAsia="Malgun Gothic" w:hAnsi="Verdana" w:cs="Arial"/>
          <w:b/>
          <w:sz w:val="24"/>
          <w:szCs w:val="24"/>
          <w:lang w:val="el-GR"/>
        </w:rPr>
      </w:pPr>
    </w:p>
    <w:p w14:paraId="3E0E0BD7" w14:textId="77777777" w:rsidR="00833DCE" w:rsidRPr="00CF40F8" w:rsidRDefault="00833DCE" w:rsidP="00833DC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BE8FA3E" w14:textId="77777777" w:rsidR="00833DCE" w:rsidRPr="00FA2633" w:rsidRDefault="00833DCE" w:rsidP="00833DCE">
      <w:pPr>
        <w:rPr>
          <w:rFonts w:ascii="Verdana" w:eastAsia="Malgun Gothic" w:hAnsi="Verdana" w:cs="Arial"/>
          <w:lang w:val="el-GR"/>
        </w:rPr>
      </w:pPr>
    </w:p>
    <w:p w14:paraId="73D4ECC5" w14:textId="66B3FFB8" w:rsidR="00833DCE" w:rsidRPr="00BA13AB" w:rsidRDefault="00833DCE" w:rsidP="00833DCE">
      <w:pPr>
        <w:pStyle w:val="Heading6"/>
        <w:tabs>
          <w:tab w:val="clear" w:pos="6840"/>
        </w:tabs>
        <w:jc w:val="left"/>
        <w:rPr>
          <w:rFonts w:ascii="Verdana" w:eastAsia="Malgun Gothic" w:hAnsi="Verdana" w:cs="Arial"/>
          <w:szCs w:val="22"/>
        </w:rPr>
      </w:pPr>
      <w:r w:rsidRPr="00BA679D">
        <w:rPr>
          <w:rFonts w:ascii="Verdana" w:eastAsia="Malgun Gothic" w:hAnsi="Verdana" w:cs="Arial"/>
          <w:b w:val="0"/>
          <w:szCs w:val="22"/>
        </w:rPr>
        <w:t xml:space="preserve">ΑΠΑΣΧΟΛΗΣΗ ΚΥΒΕΡΝΗΣΗΣ ΑΝΑ ΚΑΤΗΓΟΡΙΑ: </w:t>
      </w:r>
      <w:r w:rsidR="00C30A90">
        <w:rPr>
          <w:rFonts w:ascii="Verdana" w:eastAsia="Malgun Gothic" w:hAnsi="Verdana" w:cs="Arial"/>
          <w:szCs w:val="22"/>
        </w:rPr>
        <w:t>ΑΠΡΙΛ</w:t>
      </w:r>
      <w:r w:rsidR="00B1372E">
        <w:rPr>
          <w:rFonts w:ascii="Verdana" w:eastAsia="Malgun Gothic" w:hAnsi="Verdana" w:cs="Arial"/>
          <w:szCs w:val="22"/>
        </w:rPr>
        <w:t xml:space="preserve">ΙΟΣ </w:t>
      </w:r>
      <w:r>
        <w:rPr>
          <w:rFonts w:ascii="Verdana" w:eastAsia="Malgun Gothic" w:hAnsi="Verdana" w:cs="Arial"/>
          <w:szCs w:val="22"/>
        </w:rPr>
        <w:t>202</w:t>
      </w:r>
      <w:r w:rsidR="0034139D">
        <w:rPr>
          <w:rFonts w:ascii="Verdana" w:eastAsia="Malgun Gothic" w:hAnsi="Verdana" w:cs="Arial"/>
          <w:szCs w:val="22"/>
        </w:rPr>
        <w:t>3</w:t>
      </w:r>
    </w:p>
    <w:p w14:paraId="4A8C3003" w14:textId="77777777" w:rsidR="00833DCE" w:rsidRPr="00214791" w:rsidRDefault="00833DCE" w:rsidP="00833DCE">
      <w:pPr>
        <w:jc w:val="center"/>
        <w:rPr>
          <w:rFonts w:ascii="Verdana" w:hAnsi="Verdana"/>
          <w:b/>
          <w:bCs/>
          <w:sz w:val="18"/>
          <w:szCs w:val="18"/>
          <w:lang w:val="el-GR"/>
        </w:rPr>
      </w:pPr>
    </w:p>
    <w:p w14:paraId="3756E8A0" w14:textId="18DDA3A1" w:rsidR="0034139D" w:rsidRPr="00023FA7" w:rsidRDefault="00833DCE" w:rsidP="0034139D">
      <w:pPr>
        <w:jc w:val="center"/>
        <w:rPr>
          <w:rFonts w:ascii="Verdana" w:eastAsia="Malgun Gothic" w:hAnsi="Verdana" w:cs="Arial"/>
          <w:b/>
          <w:lang w:val="el-GR"/>
        </w:rPr>
      </w:pPr>
      <w:r>
        <w:rPr>
          <w:rFonts w:ascii="Verdana" w:eastAsia="Malgun Gothic" w:hAnsi="Verdana" w:cs="Arial"/>
          <w:b/>
          <w:lang w:val="el-GR"/>
        </w:rPr>
        <w:t>Συνολική Απασχόληση</w:t>
      </w:r>
      <w:r w:rsidRPr="00505B65">
        <w:rPr>
          <w:rFonts w:ascii="Verdana" w:eastAsia="Malgun Gothic" w:hAnsi="Verdana" w:cs="Arial"/>
          <w:b/>
          <w:lang w:val="el-GR"/>
        </w:rPr>
        <w:t xml:space="preserve">: </w:t>
      </w:r>
      <w:r w:rsidRPr="00FF6760">
        <w:rPr>
          <w:rFonts w:ascii="Verdana" w:eastAsia="Malgun Gothic" w:hAnsi="Verdana" w:cs="Arial"/>
          <w:b/>
          <w:lang w:val="el-GR"/>
        </w:rPr>
        <w:t>5</w:t>
      </w:r>
      <w:r w:rsidR="00057383">
        <w:rPr>
          <w:rFonts w:ascii="Verdana" w:eastAsia="Malgun Gothic" w:hAnsi="Verdana" w:cs="Arial"/>
          <w:b/>
          <w:lang w:val="el-GR"/>
        </w:rPr>
        <w:t>2</w:t>
      </w:r>
      <w:r w:rsidR="00F4577F">
        <w:rPr>
          <w:rFonts w:ascii="Verdana" w:eastAsia="Malgun Gothic" w:hAnsi="Verdana" w:cs="Arial"/>
          <w:b/>
          <w:lang w:val="el-GR"/>
        </w:rPr>
        <w:t>.</w:t>
      </w:r>
      <w:r w:rsidR="00C30A90">
        <w:rPr>
          <w:rFonts w:ascii="Verdana" w:eastAsia="Malgun Gothic" w:hAnsi="Verdana" w:cs="Arial"/>
          <w:b/>
          <w:lang w:val="el-GR"/>
        </w:rPr>
        <w:t>498</w:t>
      </w:r>
    </w:p>
    <w:p w14:paraId="3E535934" w14:textId="77777777" w:rsidR="00833DCE" w:rsidRPr="003B1E41" w:rsidRDefault="00833DCE" w:rsidP="00833DCE">
      <w:pPr>
        <w:jc w:val="both"/>
        <w:rPr>
          <w:rFonts w:ascii="Verdana" w:hAnsi="Verdana" w:cs="Arial"/>
          <w:color w:val="FF0000"/>
          <w:sz w:val="18"/>
          <w:szCs w:val="18"/>
          <w:lang w:val="el-GR"/>
        </w:rPr>
      </w:pPr>
    </w:p>
    <w:p w14:paraId="1E920053" w14:textId="496067B1" w:rsidR="00833DCE" w:rsidRDefault="00833DCE" w:rsidP="00833DCE">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 xml:space="preserve">Η απασχόληση στην Κυβέρνηση τον </w:t>
      </w:r>
      <w:r w:rsidR="00C30A90">
        <w:rPr>
          <w:rFonts w:ascii="Verdana" w:eastAsia="Malgun Gothic" w:hAnsi="Verdana" w:cs="Arial"/>
          <w:sz w:val="18"/>
          <w:szCs w:val="18"/>
          <w:lang w:val="el-GR"/>
        </w:rPr>
        <w:t>Απρίλιο</w:t>
      </w:r>
      <w:r w:rsidRPr="003B25D4">
        <w:rPr>
          <w:rFonts w:ascii="Verdana" w:eastAsia="Malgun Gothic" w:hAnsi="Verdana" w:cs="Arial"/>
          <w:sz w:val="18"/>
          <w:szCs w:val="18"/>
          <w:lang w:val="el-GR"/>
        </w:rPr>
        <w:t xml:space="preserve"> του 20</w:t>
      </w:r>
      <w:r>
        <w:rPr>
          <w:rFonts w:ascii="Verdana" w:eastAsia="Malgun Gothic" w:hAnsi="Verdana" w:cs="Arial"/>
          <w:sz w:val="18"/>
          <w:szCs w:val="18"/>
          <w:lang w:val="el-GR"/>
        </w:rPr>
        <w:t>2</w:t>
      </w:r>
      <w:r w:rsidR="0034139D">
        <w:rPr>
          <w:rFonts w:ascii="Verdana" w:eastAsia="Malgun Gothic" w:hAnsi="Verdana" w:cs="Arial"/>
          <w:sz w:val="18"/>
          <w:szCs w:val="18"/>
          <w:lang w:val="el-GR"/>
        </w:rPr>
        <w:t>3</w:t>
      </w:r>
      <w:r w:rsidRPr="003B25D4">
        <w:rPr>
          <w:rFonts w:ascii="Verdana" w:eastAsia="Malgun Gothic" w:hAnsi="Verdana" w:cs="Arial"/>
          <w:sz w:val="18"/>
          <w:szCs w:val="18"/>
          <w:lang w:val="el-GR"/>
        </w:rPr>
        <w:t xml:space="preserve"> </w:t>
      </w:r>
      <w:r w:rsidR="0034139D">
        <w:rPr>
          <w:rFonts w:ascii="Verdana" w:eastAsia="Malgun Gothic" w:hAnsi="Verdana" w:cs="Arial"/>
          <w:sz w:val="18"/>
          <w:szCs w:val="18"/>
          <w:lang w:val="el-GR"/>
        </w:rPr>
        <w:t>μειώθηκε</w:t>
      </w:r>
      <w:r w:rsidRPr="003B25D4">
        <w:rPr>
          <w:rFonts w:ascii="Verdana" w:eastAsia="Malgun Gothic" w:hAnsi="Verdana" w:cs="Arial"/>
          <w:sz w:val="18"/>
          <w:szCs w:val="18"/>
          <w:lang w:val="el-GR"/>
        </w:rPr>
        <w:t xml:space="preserve"> κατά </w:t>
      </w:r>
      <w:r w:rsidR="0034139D">
        <w:rPr>
          <w:rFonts w:ascii="Verdana" w:eastAsia="Malgun Gothic" w:hAnsi="Verdana" w:cs="Arial"/>
          <w:sz w:val="18"/>
          <w:szCs w:val="18"/>
          <w:lang w:val="el-GR"/>
        </w:rPr>
        <w:t>1.</w:t>
      </w:r>
      <w:r w:rsidR="00C30A90">
        <w:rPr>
          <w:rFonts w:ascii="Verdana" w:eastAsia="Malgun Gothic" w:hAnsi="Verdana" w:cs="Arial"/>
          <w:sz w:val="18"/>
          <w:szCs w:val="18"/>
          <w:lang w:val="el-GR"/>
        </w:rPr>
        <w:t>432</w:t>
      </w:r>
      <w:r w:rsidRPr="003B25D4">
        <w:rPr>
          <w:rFonts w:ascii="Verdana" w:eastAsia="Malgun Gothic" w:hAnsi="Verdana" w:cs="Arial"/>
          <w:sz w:val="18"/>
          <w:szCs w:val="18"/>
          <w:lang w:val="el-GR"/>
        </w:rPr>
        <w:t xml:space="preserve"> άτομα (</w:t>
      </w:r>
      <w:r w:rsidR="0034139D">
        <w:rPr>
          <w:rFonts w:ascii="Verdana" w:eastAsia="Malgun Gothic" w:hAnsi="Verdana" w:cs="Arial"/>
          <w:sz w:val="18"/>
          <w:szCs w:val="18"/>
          <w:lang w:val="el-GR"/>
        </w:rPr>
        <w:t>-</w:t>
      </w:r>
      <w:r w:rsidR="00C30A90">
        <w:rPr>
          <w:rFonts w:ascii="Verdana" w:eastAsia="Malgun Gothic" w:hAnsi="Verdana" w:cs="Arial"/>
          <w:sz w:val="18"/>
          <w:szCs w:val="18"/>
          <w:lang w:val="el-GR"/>
        </w:rPr>
        <w:t>2</w:t>
      </w:r>
      <w:r w:rsidRPr="003B25D4">
        <w:rPr>
          <w:rFonts w:ascii="Verdana" w:eastAsia="Malgun Gothic" w:hAnsi="Verdana" w:cs="Arial"/>
          <w:sz w:val="18"/>
          <w:szCs w:val="18"/>
          <w:lang w:val="el-GR"/>
        </w:rPr>
        <w:t>,</w:t>
      </w:r>
      <w:r w:rsidR="00C30A90">
        <w:rPr>
          <w:rFonts w:ascii="Verdana" w:eastAsia="Malgun Gothic" w:hAnsi="Verdana" w:cs="Arial"/>
          <w:sz w:val="18"/>
          <w:szCs w:val="18"/>
          <w:lang w:val="el-GR"/>
        </w:rPr>
        <w:t>7</w:t>
      </w:r>
      <w:r w:rsidRPr="003B25D4">
        <w:rPr>
          <w:rFonts w:ascii="Verdana" w:eastAsia="Malgun Gothic" w:hAnsi="Verdana" w:cs="Arial"/>
          <w:sz w:val="18"/>
          <w:szCs w:val="18"/>
          <w:lang w:val="el-GR"/>
        </w:rPr>
        <w:t xml:space="preserve">%) σε </w:t>
      </w:r>
      <w:r>
        <w:rPr>
          <w:rFonts w:ascii="Verdana" w:eastAsia="Malgun Gothic" w:hAnsi="Verdana" w:cs="Arial"/>
          <w:sz w:val="18"/>
          <w:szCs w:val="18"/>
          <w:lang w:val="el-GR"/>
        </w:rPr>
        <w:t>σύγκριση</w:t>
      </w:r>
      <w:r w:rsidRPr="003B25D4">
        <w:rPr>
          <w:rFonts w:ascii="Verdana" w:eastAsia="Malgun Gothic" w:hAnsi="Verdana" w:cs="Arial"/>
          <w:sz w:val="18"/>
          <w:szCs w:val="18"/>
          <w:lang w:val="el-GR"/>
        </w:rPr>
        <w:t xml:space="preserve"> με τον αντίστοιχο μήνα του 20</w:t>
      </w:r>
      <w:r>
        <w:rPr>
          <w:rFonts w:ascii="Verdana" w:eastAsia="Malgun Gothic" w:hAnsi="Verdana" w:cs="Arial"/>
          <w:sz w:val="18"/>
          <w:szCs w:val="18"/>
          <w:lang w:val="el-GR"/>
        </w:rPr>
        <w:t>2</w:t>
      </w:r>
      <w:r w:rsidR="0034139D">
        <w:rPr>
          <w:rFonts w:ascii="Verdana" w:eastAsia="Malgun Gothic" w:hAnsi="Verdana" w:cs="Arial"/>
          <w:sz w:val="18"/>
          <w:szCs w:val="18"/>
          <w:lang w:val="el-GR"/>
        </w:rPr>
        <w:t>2</w:t>
      </w:r>
      <w:r w:rsidRPr="003B25D4">
        <w:rPr>
          <w:rFonts w:ascii="Verdana" w:eastAsia="Malgun Gothic" w:hAnsi="Verdana" w:cs="Arial"/>
          <w:sz w:val="18"/>
          <w:szCs w:val="18"/>
          <w:lang w:val="el-GR"/>
        </w:rPr>
        <w:t xml:space="preserve"> και έφτασε τα 5</w:t>
      </w:r>
      <w:r w:rsidR="00057383">
        <w:rPr>
          <w:rFonts w:ascii="Verdana" w:eastAsia="Malgun Gothic" w:hAnsi="Verdana" w:cs="Arial"/>
          <w:sz w:val="18"/>
          <w:szCs w:val="18"/>
          <w:lang w:val="el-GR"/>
        </w:rPr>
        <w:t>2</w:t>
      </w:r>
      <w:r w:rsidR="0034139D">
        <w:rPr>
          <w:rFonts w:ascii="Verdana" w:eastAsia="Malgun Gothic" w:hAnsi="Verdana" w:cs="Arial"/>
          <w:sz w:val="18"/>
          <w:szCs w:val="18"/>
          <w:lang w:val="el-GR"/>
        </w:rPr>
        <w:t>.</w:t>
      </w:r>
      <w:r w:rsidR="00C30A90">
        <w:rPr>
          <w:rFonts w:ascii="Verdana" w:eastAsia="Malgun Gothic" w:hAnsi="Verdana" w:cs="Arial"/>
          <w:sz w:val="18"/>
          <w:szCs w:val="18"/>
          <w:lang w:val="el-GR"/>
        </w:rPr>
        <w:t>498</w:t>
      </w:r>
      <w:r w:rsidRPr="003B25D4">
        <w:rPr>
          <w:rFonts w:ascii="Verdana" w:eastAsia="Malgun Gothic" w:hAnsi="Verdana" w:cs="Arial"/>
          <w:sz w:val="18"/>
          <w:szCs w:val="18"/>
          <w:lang w:val="el-GR"/>
        </w:rPr>
        <w:t xml:space="preserve"> άτομα. </w:t>
      </w:r>
      <w:r w:rsidR="0034139D">
        <w:rPr>
          <w:rFonts w:ascii="Verdana" w:eastAsia="Malgun Gothic" w:hAnsi="Verdana" w:cs="Arial"/>
          <w:sz w:val="18"/>
          <w:szCs w:val="18"/>
          <w:lang w:val="el-GR"/>
        </w:rPr>
        <w:t>Η μείωση αυτή οφείλεται κυρίως στην μετα</w:t>
      </w:r>
      <w:r w:rsidR="00FA733F">
        <w:rPr>
          <w:rFonts w:ascii="Verdana" w:eastAsia="Malgun Gothic" w:hAnsi="Verdana" w:cs="Arial"/>
          <w:sz w:val="18"/>
          <w:szCs w:val="18"/>
          <w:lang w:val="el-GR"/>
        </w:rPr>
        <w:t>φορά</w:t>
      </w:r>
      <w:r w:rsidR="0034139D">
        <w:rPr>
          <w:rFonts w:ascii="Verdana" w:eastAsia="Malgun Gothic" w:hAnsi="Verdana" w:cs="Arial"/>
          <w:sz w:val="18"/>
          <w:szCs w:val="18"/>
          <w:lang w:val="el-GR"/>
        </w:rPr>
        <w:t xml:space="preserve"> Ωρομίσθιου Προσωπικού από </w:t>
      </w:r>
      <w:r w:rsidR="00034877">
        <w:rPr>
          <w:rFonts w:ascii="Verdana" w:eastAsia="Malgun Gothic" w:hAnsi="Verdana" w:cs="Arial"/>
          <w:sz w:val="18"/>
          <w:szCs w:val="18"/>
          <w:lang w:val="el-GR"/>
        </w:rPr>
        <w:t>το</w:t>
      </w:r>
      <w:r w:rsidR="0034139D">
        <w:rPr>
          <w:rFonts w:ascii="Verdana" w:eastAsia="Malgun Gothic" w:hAnsi="Verdana" w:cs="Arial"/>
          <w:sz w:val="18"/>
          <w:szCs w:val="18"/>
          <w:lang w:val="el-GR"/>
        </w:rPr>
        <w:t xml:space="preserve"> Υπουργείο Υγείας </w:t>
      </w:r>
      <w:r w:rsidR="00034877">
        <w:rPr>
          <w:rFonts w:ascii="Verdana" w:eastAsia="Malgun Gothic" w:hAnsi="Verdana" w:cs="Arial"/>
          <w:sz w:val="18"/>
          <w:szCs w:val="18"/>
          <w:lang w:val="el-GR"/>
        </w:rPr>
        <w:t>σ</w:t>
      </w:r>
      <w:r w:rsidR="0034139D">
        <w:rPr>
          <w:rFonts w:ascii="Verdana" w:eastAsia="Malgun Gothic" w:hAnsi="Verdana" w:cs="Arial"/>
          <w:sz w:val="18"/>
          <w:szCs w:val="18"/>
          <w:lang w:val="el-GR"/>
        </w:rPr>
        <w:t xml:space="preserve">τον </w:t>
      </w:r>
      <w:r w:rsidR="007413F2">
        <w:rPr>
          <w:rFonts w:ascii="Verdana" w:eastAsia="Malgun Gothic" w:hAnsi="Verdana" w:cs="Arial"/>
          <w:sz w:val="18"/>
          <w:szCs w:val="18"/>
          <w:lang w:val="el-GR"/>
        </w:rPr>
        <w:t>Οργανισμό Κρατικών Υπηρεσιών Υγεία</w:t>
      </w:r>
      <w:r w:rsidR="00115E99">
        <w:rPr>
          <w:rFonts w:ascii="Verdana" w:eastAsia="Malgun Gothic" w:hAnsi="Verdana" w:cs="Arial"/>
          <w:sz w:val="18"/>
          <w:szCs w:val="18"/>
          <w:lang w:val="el-GR"/>
        </w:rPr>
        <w:t>ς</w:t>
      </w:r>
      <w:r w:rsidR="00982624">
        <w:rPr>
          <w:rFonts w:ascii="Verdana" w:eastAsia="Malgun Gothic" w:hAnsi="Verdana" w:cs="Arial"/>
          <w:sz w:val="18"/>
          <w:szCs w:val="18"/>
          <w:lang w:val="el-GR"/>
        </w:rPr>
        <w:t>, ο οποίος περιλαμβάνεται στον Ευρύ Δημόσιο Τομέα</w:t>
      </w:r>
      <w:r w:rsidR="004150AE" w:rsidRPr="004150AE">
        <w:rPr>
          <w:rFonts w:ascii="Verdana" w:eastAsia="Malgun Gothic" w:hAnsi="Verdana" w:cs="Arial"/>
          <w:sz w:val="18"/>
          <w:szCs w:val="18"/>
          <w:lang w:val="el-GR"/>
        </w:rPr>
        <w:t xml:space="preserve">, </w:t>
      </w:r>
      <w:r w:rsidR="004150AE">
        <w:rPr>
          <w:rFonts w:ascii="Verdana" w:eastAsia="Malgun Gothic" w:hAnsi="Verdana" w:cs="Arial"/>
          <w:sz w:val="18"/>
          <w:szCs w:val="18"/>
          <w:lang w:val="el-GR"/>
        </w:rPr>
        <w:t>από τον Ιανουάριο του 2023</w:t>
      </w:r>
      <w:r w:rsidR="0034139D">
        <w:rPr>
          <w:rFonts w:ascii="Verdana" w:eastAsia="Malgun Gothic" w:hAnsi="Verdana" w:cs="Arial"/>
          <w:sz w:val="18"/>
          <w:szCs w:val="18"/>
          <w:lang w:val="el-GR"/>
        </w:rPr>
        <w:t xml:space="preserve">. </w:t>
      </w:r>
      <w:r w:rsidRPr="003B25D4">
        <w:rPr>
          <w:rFonts w:ascii="Verdana" w:eastAsia="Malgun Gothic" w:hAnsi="Verdana" w:cs="Arial"/>
          <w:sz w:val="18"/>
          <w:szCs w:val="18"/>
          <w:lang w:val="el-GR"/>
        </w:rPr>
        <w:t xml:space="preserve">Στο μόνιμο προσωπικό παρατηρείται μείωση κατά </w:t>
      </w:r>
      <w:r w:rsidR="00214791">
        <w:rPr>
          <w:rFonts w:ascii="Verdana" w:eastAsia="Malgun Gothic" w:hAnsi="Verdana" w:cs="Arial"/>
          <w:sz w:val="18"/>
          <w:szCs w:val="18"/>
          <w:lang w:val="el-GR"/>
        </w:rPr>
        <w:t>7</w:t>
      </w:r>
      <w:r w:rsidR="0034139D">
        <w:rPr>
          <w:rFonts w:ascii="Verdana" w:eastAsia="Malgun Gothic" w:hAnsi="Verdana" w:cs="Arial"/>
          <w:sz w:val="18"/>
          <w:szCs w:val="18"/>
          <w:lang w:val="el-GR"/>
        </w:rPr>
        <w:t>1</w:t>
      </w:r>
      <w:r w:rsidR="00C30A90">
        <w:rPr>
          <w:rFonts w:ascii="Verdana" w:eastAsia="Malgun Gothic" w:hAnsi="Verdana" w:cs="Arial"/>
          <w:sz w:val="18"/>
          <w:szCs w:val="18"/>
          <w:lang w:val="el-GR"/>
        </w:rPr>
        <w:t>9</w:t>
      </w:r>
      <w:r w:rsidRPr="003B25D4">
        <w:rPr>
          <w:rFonts w:ascii="Verdana" w:eastAsia="Malgun Gothic" w:hAnsi="Verdana" w:cs="Arial"/>
          <w:sz w:val="18"/>
          <w:szCs w:val="18"/>
          <w:lang w:val="el-GR"/>
        </w:rPr>
        <w:t xml:space="preserve"> άτομα (-</w:t>
      </w:r>
      <w:r w:rsidR="00F4577F">
        <w:rPr>
          <w:rFonts w:ascii="Verdana" w:eastAsia="Malgun Gothic" w:hAnsi="Verdana" w:cs="Arial"/>
          <w:sz w:val="18"/>
          <w:szCs w:val="18"/>
          <w:lang w:val="el-GR"/>
        </w:rPr>
        <w:t>2</w:t>
      </w:r>
      <w:r w:rsidRPr="003B25D4">
        <w:rPr>
          <w:rFonts w:ascii="Verdana" w:eastAsia="Malgun Gothic" w:hAnsi="Verdana" w:cs="Arial"/>
          <w:sz w:val="18"/>
          <w:szCs w:val="18"/>
          <w:lang w:val="el-GR"/>
        </w:rPr>
        <w:t>,</w:t>
      </w:r>
      <w:r w:rsidR="00C30A90">
        <w:rPr>
          <w:rFonts w:ascii="Verdana" w:eastAsia="Malgun Gothic" w:hAnsi="Verdana" w:cs="Arial"/>
          <w:sz w:val="18"/>
          <w:szCs w:val="18"/>
          <w:lang w:val="el-GR"/>
        </w:rPr>
        <w:t>8</w:t>
      </w:r>
      <w:r w:rsidRPr="003B25D4">
        <w:rPr>
          <w:rFonts w:ascii="Verdana" w:eastAsia="Malgun Gothic" w:hAnsi="Verdana" w:cs="Arial"/>
          <w:sz w:val="18"/>
          <w:szCs w:val="18"/>
          <w:lang w:val="el-GR"/>
        </w:rPr>
        <w:t>%), από 2</w:t>
      </w:r>
      <w:r>
        <w:rPr>
          <w:rFonts w:ascii="Verdana" w:eastAsia="Malgun Gothic" w:hAnsi="Verdana" w:cs="Arial"/>
          <w:sz w:val="18"/>
          <w:szCs w:val="18"/>
          <w:lang w:val="el-GR"/>
        </w:rPr>
        <w:t>6</w:t>
      </w:r>
      <w:r w:rsidRPr="003B25D4">
        <w:rPr>
          <w:rFonts w:ascii="Verdana" w:eastAsia="Malgun Gothic" w:hAnsi="Verdana" w:cs="Arial"/>
          <w:sz w:val="18"/>
          <w:szCs w:val="18"/>
          <w:lang w:val="el-GR"/>
        </w:rPr>
        <w:t>.</w:t>
      </w:r>
      <w:r w:rsidR="00057383">
        <w:rPr>
          <w:rFonts w:ascii="Verdana" w:eastAsia="Malgun Gothic" w:hAnsi="Verdana" w:cs="Arial"/>
          <w:sz w:val="18"/>
          <w:szCs w:val="18"/>
          <w:lang w:val="el-GR"/>
        </w:rPr>
        <w:t>0</w:t>
      </w:r>
      <w:r w:rsidR="00C30A90">
        <w:rPr>
          <w:rFonts w:ascii="Verdana" w:eastAsia="Malgun Gothic" w:hAnsi="Verdana" w:cs="Arial"/>
          <w:sz w:val="18"/>
          <w:szCs w:val="18"/>
          <w:lang w:val="el-GR"/>
        </w:rPr>
        <w:t>32</w:t>
      </w:r>
      <w:r w:rsidR="00496692">
        <w:rPr>
          <w:rFonts w:ascii="Verdana" w:eastAsia="Malgun Gothic" w:hAnsi="Verdana" w:cs="Arial"/>
          <w:sz w:val="18"/>
          <w:szCs w:val="18"/>
          <w:lang w:val="el-GR"/>
        </w:rPr>
        <w:t xml:space="preserve"> </w:t>
      </w:r>
      <w:r w:rsidRPr="003B25D4">
        <w:rPr>
          <w:rFonts w:ascii="Verdana" w:eastAsia="Malgun Gothic" w:hAnsi="Verdana" w:cs="Arial"/>
          <w:sz w:val="18"/>
          <w:szCs w:val="18"/>
          <w:lang w:val="el-GR"/>
        </w:rPr>
        <w:t>σε 2</w:t>
      </w:r>
      <w:r w:rsidR="0009236F">
        <w:rPr>
          <w:rFonts w:ascii="Verdana" w:eastAsia="Malgun Gothic" w:hAnsi="Verdana" w:cs="Arial"/>
          <w:sz w:val="18"/>
          <w:szCs w:val="18"/>
          <w:lang w:val="el-GR"/>
        </w:rPr>
        <w:t>5</w:t>
      </w:r>
      <w:r w:rsidRPr="003B25D4">
        <w:rPr>
          <w:rFonts w:ascii="Verdana" w:eastAsia="Malgun Gothic" w:hAnsi="Verdana" w:cs="Arial"/>
          <w:sz w:val="18"/>
          <w:szCs w:val="18"/>
          <w:lang w:val="el-GR"/>
        </w:rPr>
        <w:t>.</w:t>
      </w:r>
      <w:r w:rsidR="00057383">
        <w:rPr>
          <w:rFonts w:ascii="Verdana" w:eastAsia="Malgun Gothic" w:hAnsi="Verdana" w:cs="Arial"/>
          <w:sz w:val="18"/>
          <w:szCs w:val="18"/>
          <w:lang w:val="el-GR"/>
        </w:rPr>
        <w:t>3</w:t>
      </w:r>
      <w:r w:rsidR="00C30A90">
        <w:rPr>
          <w:rFonts w:ascii="Verdana" w:eastAsia="Malgun Gothic" w:hAnsi="Verdana" w:cs="Arial"/>
          <w:sz w:val="18"/>
          <w:szCs w:val="18"/>
          <w:lang w:val="el-GR"/>
        </w:rPr>
        <w:t>1</w:t>
      </w:r>
      <w:r w:rsidR="00057383">
        <w:rPr>
          <w:rFonts w:ascii="Verdana" w:eastAsia="Malgun Gothic" w:hAnsi="Verdana" w:cs="Arial"/>
          <w:sz w:val="18"/>
          <w:szCs w:val="18"/>
          <w:lang w:val="el-GR"/>
        </w:rPr>
        <w:t>3</w:t>
      </w:r>
      <w:r w:rsidRPr="003B25D4">
        <w:rPr>
          <w:rFonts w:ascii="Verdana" w:eastAsia="Malgun Gothic" w:hAnsi="Verdana" w:cs="Arial"/>
          <w:sz w:val="18"/>
          <w:szCs w:val="18"/>
          <w:lang w:val="el-GR"/>
        </w:rPr>
        <w:t xml:space="preserve"> άτομα. Στο έκτακτο προσωπικό παρατηρείται αύξηση κατά</w:t>
      </w:r>
      <w:r w:rsidR="00A02117">
        <w:rPr>
          <w:rFonts w:ascii="Verdana" w:eastAsia="Malgun Gothic" w:hAnsi="Verdana" w:cs="Arial"/>
          <w:sz w:val="18"/>
          <w:szCs w:val="18"/>
          <w:lang w:val="el-GR"/>
        </w:rPr>
        <w:t xml:space="preserve"> </w:t>
      </w:r>
      <w:r w:rsidR="00C30A90">
        <w:rPr>
          <w:rFonts w:ascii="Verdana" w:eastAsia="Malgun Gothic" w:hAnsi="Verdana" w:cs="Arial"/>
          <w:sz w:val="18"/>
          <w:szCs w:val="18"/>
          <w:lang w:val="el-GR"/>
        </w:rPr>
        <w:t>893</w:t>
      </w:r>
      <w:r w:rsidRPr="003B25D4">
        <w:rPr>
          <w:rFonts w:ascii="Verdana" w:eastAsia="Malgun Gothic" w:hAnsi="Verdana" w:cs="Arial"/>
          <w:sz w:val="18"/>
          <w:szCs w:val="18"/>
          <w:lang w:val="el-GR"/>
        </w:rPr>
        <w:t xml:space="preserve"> άτομα (</w:t>
      </w:r>
      <w:r w:rsidR="00C30A90">
        <w:rPr>
          <w:rFonts w:ascii="Verdana" w:eastAsia="Malgun Gothic" w:hAnsi="Verdana" w:cs="Arial"/>
          <w:sz w:val="18"/>
          <w:szCs w:val="18"/>
          <w:lang w:val="el-GR"/>
        </w:rPr>
        <w:t>4</w:t>
      </w:r>
      <w:r w:rsidR="00A02117">
        <w:rPr>
          <w:rFonts w:ascii="Verdana" w:eastAsia="Malgun Gothic" w:hAnsi="Verdana" w:cs="Arial"/>
          <w:sz w:val="18"/>
          <w:szCs w:val="18"/>
          <w:lang w:val="el-GR"/>
        </w:rPr>
        <w:t>,</w:t>
      </w:r>
      <w:r w:rsidR="00C30A90">
        <w:rPr>
          <w:rFonts w:ascii="Verdana" w:eastAsia="Malgun Gothic" w:hAnsi="Verdana" w:cs="Arial"/>
          <w:sz w:val="18"/>
          <w:szCs w:val="18"/>
          <w:lang w:val="el-GR"/>
        </w:rPr>
        <w:t>6</w:t>
      </w:r>
      <w:r w:rsidRPr="003B25D4">
        <w:rPr>
          <w:rFonts w:ascii="Verdana" w:eastAsia="Malgun Gothic" w:hAnsi="Verdana" w:cs="Arial"/>
          <w:sz w:val="18"/>
          <w:szCs w:val="18"/>
          <w:lang w:val="el-GR"/>
        </w:rPr>
        <w:t xml:space="preserve">%) φθάνοντας </w:t>
      </w:r>
      <w:r>
        <w:rPr>
          <w:rFonts w:ascii="Verdana" w:eastAsia="Malgun Gothic" w:hAnsi="Verdana" w:cs="Arial"/>
          <w:sz w:val="18"/>
          <w:szCs w:val="18"/>
          <w:lang w:val="el-GR"/>
        </w:rPr>
        <w:t>τα</w:t>
      </w:r>
      <w:r w:rsidRPr="003B25D4">
        <w:rPr>
          <w:rFonts w:ascii="Verdana" w:eastAsia="Malgun Gothic" w:hAnsi="Verdana" w:cs="Arial"/>
          <w:sz w:val="18"/>
          <w:szCs w:val="18"/>
          <w:lang w:val="el-GR"/>
        </w:rPr>
        <w:t xml:space="preserve"> </w:t>
      </w:r>
      <w:r w:rsidR="00057383">
        <w:rPr>
          <w:rFonts w:ascii="Verdana" w:eastAsia="Malgun Gothic" w:hAnsi="Verdana" w:cs="Arial"/>
          <w:sz w:val="18"/>
          <w:szCs w:val="18"/>
          <w:lang w:val="el-GR"/>
        </w:rPr>
        <w:t>20</w:t>
      </w:r>
      <w:r w:rsidRPr="003B25D4">
        <w:rPr>
          <w:rFonts w:ascii="Verdana" w:eastAsia="Malgun Gothic" w:hAnsi="Verdana" w:cs="Arial"/>
          <w:sz w:val="18"/>
          <w:szCs w:val="18"/>
          <w:lang w:val="el-GR"/>
        </w:rPr>
        <w:t>.</w:t>
      </w:r>
      <w:r w:rsidR="00C30A90">
        <w:rPr>
          <w:rFonts w:ascii="Verdana" w:eastAsia="Malgun Gothic" w:hAnsi="Verdana" w:cs="Arial"/>
          <w:sz w:val="18"/>
          <w:szCs w:val="18"/>
          <w:lang w:val="el-GR"/>
        </w:rPr>
        <w:t>449</w:t>
      </w:r>
      <w:r w:rsidRPr="003B25D4">
        <w:rPr>
          <w:rFonts w:ascii="Verdana" w:eastAsia="Malgun Gothic" w:hAnsi="Verdana" w:cs="Arial"/>
          <w:sz w:val="18"/>
          <w:szCs w:val="18"/>
          <w:lang w:val="el-GR"/>
        </w:rPr>
        <w:t xml:space="preserve"> σε σχέση με 1</w:t>
      </w:r>
      <w:r w:rsidR="00671C46">
        <w:rPr>
          <w:rFonts w:ascii="Verdana" w:eastAsia="Malgun Gothic" w:hAnsi="Verdana" w:cs="Arial"/>
          <w:sz w:val="18"/>
          <w:szCs w:val="18"/>
          <w:lang w:val="el-GR"/>
        </w:rPr>
        <w:t>9</w:t>
      </w:r>
      <w:r>
        <w:rPr>
          <w:rFonts w:ascii="Verdana" w:eastAsia="Malgun Gothic" w:hAnsi="Verdana" w:cs="Arial"/>
          <w:sz w:val="18"/>
          <w:szCs w:val="18"/>
          <w:lang w:val="el-GR"/>
        </w:rPr>
        <w:t>.</w:t>
      </w:r>
      <w:r w:rsidR="00057383">
        <w:rPr>
          <w:rFonts w:ascii="Verdana" w:eastAsia="Malgun Gothic" w:hAnsi="Verdana" w:cs="Arial"/>
          <w:sz w:val="18"/>
          <w:szCs w:val="18"/>
          <w:lang w:val="el-GR"/>
        </w:rPr>
        <w:t>5</w:t>
      </w:r>
      <w:r w:rsidR="00C30A90">
        <w:rPr>
          <w:rFonts w:ascii="Verdana" w:eastAsia="Malgun Gothic" w:hAnsi="Verdana" w:cs="Arial"/>
          <w:sz w:val="18"/>
          <w:szCs w:val="18"/>
          <w:lang w:val="el-GR"/>
        </w:rPr>
        <w:t>56</w:t>
      </w:r>
      <w:r>
        <w:rPr>
          <w:rFonts w:ascii="Verdana" w:eastAsia="Malgun Gothic" w:hAnsi="Verdana" w:cs="Arial"/>
          <w:sz w:val="18"/>
          <w:szCs w:val="18"/>
          <w:lang w:val="el-GR"/>
        </w:rPr>
        <w:t xml:space="preserve"> άτομα τον</w:t>
      </w:r>
      <w:r w:rsidRPr="003B25D4">
        <w:rPr>
          <w:rFonts w:ascii="Verdana" w:eastAsia="Malgun Gothic" w:hAnsi="Verdana" w:cs="Arial"/>
          <w:sz w:val="18"/>
          <w:szCs w:val="18"/>
          <w:lang w:val="el-GR"/>
        </w:rPr>
        <w:t xml:space="preserve"> </w:t>
      </w:r>
      <w:r w:rsidR="00C30A90">
        <w:rPr>
          <w:rFonts w:ascii="Verdana" w:eastAsia="Malgun Gothic" w:hAnsi="Verdana" w:cs="Arial"/>
          <w:sz w:val="18"/>
          <w:szCs w:val="18"/>
          <w:lang w:val="el-GR"/>
        </w:rPr>
        <w:t>Απρίλιο</w:t>
      </w:r>
      <w:r w:rsidRPr="003B25D4">
        <w:rPr>
          <w:rFonts w:ascii="Verdana" w:eastAsia="Malgun Gothic" w:hAnsi="Verdana" w:cs="Arial"/>
          <w:sz w:val="18"/>
          <w:szCs w:val="18"/>
          <w:lang w:val="el-GR"/>
        </w:rPr>
        <w:t xml:space="preserve"> του 20</w:t>
      </w:r>
      <w:r>
        <w:rPr>
          <w:rFonts w:ascii="Verdana" w:eastAsia="Malgun Gothic" w:hAnsi="Verdana" w:cs="Arial"/>
          <w:sz w:val="18"/>
          <w:szCs w:val="18"/>
          <w:lang w:val="el-GR"/>
        </w:rPr>
        <w:t>2</w:t>
      </w:r>
      <w:r w:rsidR="0034139D">
        <w:rPr>
          <w:rFonts w:ascii="Verdana" w:eastAsia="Malgun Gothic" w:hAnsi="Verdana" w:cs="Arial"/>
          <w:sz w:val="18"/>
          <w:szCs w:val="18"/>
          <w:lang w:val="el-GR"/>
        </w:rPr>
        <w:t>2</w:t>
      </w:r>
      <w:r w:rsidRPr="00892F46">
        <w:rPr>
          <w:rFonts w:ascii="Verdana" w:eastAsia="Malgun Gothic" w:hAnsi="Verdana" w:cs="Arial"/>
          <w:sz w:val="18"/>
          <w:szCs w:val="18"/>
          <w:lang w:val="el-GR"/>
        </w:rPr>
        <w:t>.</w:t>
      </w:r>
    </w:p>
    <w:p w14:paraId="23170BC6" w14:textId="77777777" w:rsidR="00833DCE" w:rsidRDefault="00833DCE" w:rsidP="00833DCE">
      <w:pPr>
        <w:spacing w:line="276" w:lineRule="auto"/>
        <w:jc w:val="both"/>
        <w:rPr>
          <w:rFonts w:ascii="Verdana" w:eastAsia="Malgun Gothic" w:hAnsi="Verdana" w:cs="Arial"/>
          <w:sz w:val="18"/>
          <w:szCs w:val="18"/>
          <w:lang w:val="el-GR"/>
        </w:rPr>
      </w:pPr>
    </w:p>
    <w:p w14:paraId="61AE0C0D" w14:textId="7A407E1B" w:rsidR="001712CF" w:rsidRDefault="00442EAE" w:rsidP="000E4CB0">
      <w:pPr>
        <w:jc w:val="both"/>
        <w:rPr>
          <w:rFonts w:ascii="Verdana" w:hAnsi="Verdana" w:cs="Arial"/>
          <w:sz w:val="18"/>
          <w:szCs w:val="18"/>
          <w:lang w:val="el-GR"/>
        </w:rPr>
      </w:pPr>
      <w:r>
        <w:rPr>
          <w:noProof/>
        </w:rPr>
        <w:drawing>
          <wp:inline distT="0" distB="0" distL="0" distR="0" wp14:anchorId="1732BC22" wp14:editId="1068349A">
            <wp:extent cx="6010275" cy="4505325"/>
            <wp:effectExtent l="0" t="0" r="9525" b="9525"/>
            <wp:docPr id="1521969527" name="Chart 1">
              <a:extLst xmlns:a="http://schemas.openxmlformats.org/drawingml/2006/main">
                <a:ext uri="{FF2B5EF4-FFF2-40B4-BE49-F238E27FC236}">
                  <a16:creationId xmlns:a16="http://schemas.microsoft.com/office/drawing/2014/main" id="{BDDAAD87-7116-2158-DD8D-347EB636A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3EE097" w14:textId="693AE5A2" w:rsidR="001712CF" w:rsidRDefault="001712CF" w:rsidP="000E4CB0">
      <w:pPr>
        <w:jc w:val="both"/>
        <w:rPr>
          <w:rFonts w:ascii="Verdana" w:hAnsi="Verdana" w:cs="Arial"/>
          <w:sz w:val="18"/>
          <w:szCs w:val="18"/>
          <w:lang w:val="el-GR"/>
        </w:rPr>
      </w:pPr>
    </w:p>
    <w:p w14:paraId="1FEB8389" w14:textId="65695FCF" w:rsidR="00833DCE" w:rsidRPr="00C9378B" w:rsidRDefault="00C9378B" w:rsidP="00C9378B">
      <w:pPr>
        <w:spacing w:line="276" w:lineRule="auto"/>
        <w:jc w:val="both"/>
        <w:rPr>
          <w:rFonts w:ascii="Verdana" w:eastAsia="Malgun Gothic" w:hAnsi="Verdana" w:cs="Arial"/>
          <w:color w:val="000000" w:themeColor="text1"/>
          <w:sz w:val="18"/>
          <w:szCs w:val="18"/>
          <w:lang w:val="el-GR"/>
        </w:rPr>
      </w:pPr>
      <w:r w:rsidRPr="00C9378B">
        <w:rPr>
          <w:rFonts w:ascii="Verdana" w:eastAsia="Malgun Gothic" w:hAnsi="Verdana" w:cs="Arial"/>
          <w:color w:val="000000" w:themeColor="text1"/>
          <w:sz w:val="18"/>
          <w:szCs w:val="18"/>
          <w:lang w:val="el-GR"/>
        </w:rPr>
        <w:t xml:space="preserve">Μείωση παρατηρείται σε </w:t>
      </w:r>
      <w:r w:rsidR="001B3A6A" w:rsidRPr="00C9378B">
        <w:rPr>
          <w:rFonts w:ascii="Verdana" w:eastAsia="Malgun Gothic" w:hAnsi="Verdana" w:cs="Arial"/>
          <w:color w:val="000000" w:themeColor="text1"/>
          <w:sz w:val="18"/>
          <w:szCs w:val="18"/>
          <w:lang w:val="el-GR"/>
        </w:rPr>
        <w:t>όλες τις κατηγορίες του μόνιμου προσωπικού</w:t>
      </w:r>
      <w:r w:rsidRPr="00C9378B">
        <w:rPr>
          <w:rFonts w:ascii="Verdana" w:eastAsia="Malgun Gothic" w:hAnsi="Verdana" w:cs="Arial"/>
          <w:color w:val="000000" w:themeColor="text1"/>
          <w:sz w:val="18"/>
          <w:szCs w:val="18"/>
          <w:lang w:val="el-GR"/>
        </w:rPr>
        <w:t xml:space="preserve">, ενώ σε </w:t>
      </w:r>
      <w:r w:rsidR="00D3531F" w:rsidRPr="00C9378B">
        <w:rPr>
          <w:rFonts w:ascii="Verdana" w:eastAsia="Malgun Gothic" w:hAnsi="Verdana" w:cs="Arial"/>
          <w:color w:val="000000" w:themeColor="text1"/>
          <w:sz w:val="18"/>
          <w:szCs w:val="18"/>
          <w:lang w:val="el-GR"/>
        </w:rPr>
        <w:t>όλες τις κατηγορίες του έκτακτου προσωπικού</w:t>
      </w:r>
      <w:r>
        <w:rPr>
          <w:rFonts w:ascii="Verdana" w:eastAsia="Malgun Gothic" w:hAnsi="Verdana" w:cs="Arial"/>
          <w:color w:val="000000" w:themeColor="text1"/>
          <w:sz w:val="18"/>
          <w:szCs w:val="18"/>
          <w:lang w:val="el-GR"/>
        </w:rPr>
        <w:t xml:space="preserve"> παρατηρείται αύξηση. Οι μεγαλύτερες μεταβολές παρουσιάζονται στο μόνιμο προσωπικό της Δημόσιας και Εκπαιδευτικής Υπηρεσίας (μείωση -2,9%) και στο έκτακτο προσωπικό της Δημόσιας Υπηρεσίας (αύξηση 5,6%).</w:t>
      </w:r>
      <w:r w:rsidR="00A47ED6" w:rsidRPr="00C9378B">
        <w:rPr>
          <w:rFonts w:ascii="Verdana" w:eastAsia="Malgun Gothic" w:hAnsi="Verdana" w:cs="Arial"/>
          <w:color w:val="000000" w:themeColor="text1"/>
          <w:sz w:val="18"/>
          <w:szCs w:val="18"/>
          <w:lang w:val="el-GR"/>
        </w:rPr>
        <w:t xml:space="preserve"> </w:t>
      </w:r>
      <w:r>
        <w:rPr>
          <w:rFonts w:ascii="Verdana" w:eastAsia="Malgun Gothic" w:hAnsi="Verdana" w:cs="Arial"/>
          <w:color w:val="000000" w:themeColor="text1"/>
          <w:sz w:val="18"/>
          <w:szCs w:val="18"/>
          <w:lang w:val="el-GR"/>
        </w:rPr>
        <w:t>Το Ωρο</w:t>
      </w:r>
      <w:r w:rsidRPr="00C9378B">
        <w:rPr>
          <w:rFonts w:ascii="Verdana" w:eastAsia="Malgun Gothic" w:hAnsi="Verdana" w:cs="Arial"/>
          <w:color w:val="000000" w:themeColor="text1"/>
          <w:sz w:val="18"/>
          <w:szCs w:val="18"/>
          <w:lang w:val="el-GR"/>
        </w:rPr>
        <w:t>μίσθιο Προσωπικό</w:t>
      </w:r>
      <w:r>
        <w:rPr>
          <w:rFonts w:ascii="Verdana" w:eastAsia="Malgun Gothic" w:hAnsi="Verdana" w:cs="Arial"/>
          <w:color w:val="000000" w:themeColor="text1"/>
          <w:sz w:val="18"/>
          <w:szCs w:val="18"/>
          <w:lang w:val="el-GR"/>
        </w:rPr>
        <w:t xml:space="preserve"> παρουσιάζει μείωση</w:t>
      </w:r>
      <w:r w:rsidRPr="00C9378B">
        <w:rPr>
          <w:rFonts w:ascii="Verdana" w:eastAsia="Malgun Gothic" w:hAnsi="Verdana" w:cs="Arial"/>
          <w:color w:val="000000" w:themeColor="text1"/>
          <w:sz w:val="18"/>
          <w:szCs w:val="18"/>
          <w:lang w:val="el-GR"/>
        </w:rPr>
        <w:t xml:space="preserve"> </w:t>
      </w:r>
      <w:r w:rsidR="00F05ABE">
        <w:rPr>
          <w:rFonts w:ascii="Verdana" w:eastAsia="Malgun Gothic" w:hAnsi="Verdana" w:cs="Arial"/>
          <w:color w:val="000000" w:themeColor="text1"/>
          <w:sz w:val="18"/>
          <w:szCs w:val="18"/>
          <w:lang w:val="el-GR"/>
        </w:rPr>
        <w:t>(</w:t>
      </w:r>
      <w:r w:rsidRPr="00C9378B">
        <w:rPr>
          <w:rFonts w:ascii="Verdana" w:eastAsia="Malgun Gothic" w:hAnsi="Verdana" w:cs="Arial"/>
          <w:color w:val="000000" w:themeColor="text1"/>
          <w:sz w:val="18"/>
          <w:szCs w:val="18"/>
          <w:lang w:val="el-GR"/>
        </w:rPr>
        <w:t>-19,3%</w:t>
      </w:r>
      <w:r w:rsidR="00F05ABE">
        <w:rPr>
          <w:rFonts w:ascii="Verdana" w:eastAsia="Malgun Gothic" w:hAnsi="Verdana" w:cs="Arial"/>
          <w:color w:val="000000" w:themeColor="text1"/>
          <w:sz w:val="18"/>
          <w:szCs w:val="18"/>
          <w:lang w:val="el-GR"/>
        </w:rPr>
        <w:t>)</w:t>
      </w:r>
      <w:r>
        <w:rPr>
          <w:rFonts w:ascii="Verdana" w:eastAsia="Malgun Gothic" w:hAnsi="Verdana" w:cs="Arial"/>
          <w:color w:val="000000" w:themeColor="text1"/>
          <w:sz w:val="18"/>
          <w:szCs w:val="18"/>
          <w:lang w:val="el-GR"/>
        </w:rPr>
        <w:t>.</w:t>
      </w:r>
    </w:p>
    <w:p w14:paraId="1ECD3D29" w14:textId="77777777" w:rsidR="007E47D0" w:rsidRDefault="007E47D0" w:rsidP="008246F5">
      <w:pPr>
        <w:jc w:val="both"/>
        <w:rPr>
          <w:rFonts w:ascii="Verdana" w:eastAsia="Malgun Gothic" w:hAnsi="Verdana" w:cs="Arial"/>
          <w:sz w:val="18"/>
          <w:szCs w:val="18"/>
          <w:lang w:val="el-GR"/>
        </w:rPr>
      </w:pPr>
    </w:p>
    <w:p w14:paraId="6FC99675" w14:textId="77777777" w:rsidR="00ED52CF" w:rsidRPr="00AC6796" w:rsidRDefault="00ED52CF" w:rsidP="008246F5">
      <w:pPr>
        <w:jc w:val="both"/>
        <w:rPr>
          <w:rFonts w:ascii="Verdana" w:eastAsia="Malgun Gothic" w:hAnsi="Verdana" w:cs="Arial"/>
          <w:sz w:val="18"/>
          <w:szCs w:val="18"/>
          <w:lang w:val="el-GR"/>
        </w:rPr>
      </w:pPr>
    </w:p>
    <w:p w14:paraId="11468FAA" w14:textId="42F2AC2B" w:rsidR="00833DCE" w:rsidRDefault="00833DCE" w:rsidP="001B16AF">
      <w:pPr>
        <w:spacing w:line="276" w:lineRule="auto"/>
        <w:jc w:val="both"/>
        <w:rPr>
          <w:rFonts w:ascii="Verdana" w:eastAsia="Malgun Gothic" w:hAnsi="Verdana" w:cs="Arial"/>
          <w:sz w:val="18"/>
          <w:szCs w:val="18"/>
          <w:lang w:val="el-GR"/>
        </w:rPr>
      </w:pPr>
      <w:r w:rsidRPr="00AC6796">
        <w:rPr>
          <w:rFonts w:ascii="Verdana" w:eastAsia="Malgun Gothic" w:hAnsi="Verdana" w:cs="Arial"/>
          <w:sz w:val="18"/>
          <w:szCs w:val="18"/>
          <w:lang w:val="el-GR"/>
        </w:rPr>
        <w:t xml:space="preserve">Σε σύγκριση με τον </w:t>
      </w:r>
      <w:r w:rsidR="00563DB5">
        <w:rPr>
          <w:rFonts w:ascii="Verdana" w:eastAsia="Malgun Gothic" w:hAnsi="Verdana" w:cs="Arial"/>
          <w:sz w:val="18"/>
          <w:szCs w:val="18"/>
          <w:lang w:val="el-GR"/>
        </w:rPr>
        <w:t>Μάρτιο</w:t>
      </w:r>
      <w:r>
        <w:rPr>
          <w:rFonts w:ascii="Verdana" w:eastAsia="Malgun Gothic" w:hAnsi="Verdana" w:cs="Arial"/>
          <w:sz w:val="18"/>
          <w:szCs w:val="18"/>
          <w:lang w:val="el-GR"/>
        </w:rPr>
        <w:t xml:space="preserve"> του 202</w:t>
      </w:r>
      <w:r w:rsidR="00F27191">
        <w:rPr>
          <w:rFonts w:ascii="Verdana" w:eastAsia="Malgun Gothic" w:hAnsi="Verdana" w:cs="Arial"/>
          <w:sz w:val="18"/>
          <w:szCs w:val="18"/>
          <w:lang w:val="el-GR"/>
        </w:rPr>
        <w:t>3</w:t>
      </w:r>
      <w:r w:rsidRPr="00AC6796">
        <w:rPr>
          <w:rFonts w:ascii="Verdana" w:eastAsia="Malgun Gothic" w:hAnsi="Verdana" w:cs="Arial"/>
          <w:sz w:val="18"/>
          <w:szCs w:val="18"/>
          <w:lang w:val="el-GR"/>
        </w:rPr>
        <w:t xml:space="preserve">, </w:t>
      </w:r>
      <w:r w:rsidR="000A0E1A">
        <w:rPr>
          <w:rFonts w:ascii="Verdana" w:eastAsia="Malgun Gothic" w:hAnsi="Verdana" w:cs="Arial"/>
          <w:sz w:val="18"/>
          <w:szCs w:val="18"/>
          <w:lang w:val="el-GR"/>
        </w:rPr>
        <w:t>η απασχόληση στην Κυβέρνηση αυξήθηκε κατά 0,</w:t>
      </w:r>
      <w:r w:rsidR="00563DB5">
        <w:rPr>
          <w:rFonts w:ascii="Verdana" w:eastAsia="Malgun Gothic" w:hAnsi="Verdana" w:cs="Arial"/>
          <w:sz w:val="18"/>
          <w:szCs w:val="18"/>
          <w:lang w:val="el-GR"/>
        </w:rPr>
        <w:t>8</w:t>
      </w:r>
      <w:r w:rsidR="000A0E1A">
        <w:rPr>
          <w:rFonts w:ascii="Verdana" w:eastAsia="Malgun Gothic" w:hAnsi="Verdana" w:cs="Arial"/>
          <w:sz w:val="18"/>
          <w:szCs w:val="18"/>
          <w:lang w:val="el-GR"/>
        </w:rPr>
        <w:t>%</w:t>
      </w:r>
      <w:r w:rsidR="00122828">
        <w:rPr>
          <w:rFonts w:ascii="Verdana" w:eastAsia="Malgun Gothic" w:hAnsi="Verdana" w:cs="Arial"/>
          <w:sz w:val="18"/>
          <w:szCs w:val="18"/>
          <w:lang w:val="el-GR"/>
        </w:rPr>
        <w:t>. Η μεγαλύτερη αύξηση παρατηρείται στο έκτακτο προσωπικό τ</w:t>
      </w:r>
      <w:r w:rsidR="009178B1">
        <w:rPr>
          <w:rFonts w:ascii="Verdana" w:eastAsia="Malgun Gothic" w:hAnsi="Verdana" w:cs="Arial"/>
          <w:sz w:val="18"/>
          <w:szCs w:val="18"/>
          <w:lang w:val="el-GR"/>
        </w:rPr>
        <w:t>ων Δυνάμεων Ασφαλείας</w:t>
      </w:r>
      <w:r w:rsidR="000A0E1A">
        <w:rPr>
          <w:rFonts w:ascii="Verdana" w:eastAsia="Malgun Gothic" w:hAnsi="Verdana" w:cs="Arial"/>
          <w:sz w:val="18"/>
          <w:szCs w:val="18"/>
          <w:lang w:val="el-GR"/>
        </w:rPr>
        <w:t xml:space="preserve"> (2,</w:t>
      </w:r>
      <w:r w:rsidR="009178B1">
        <w:rPr>
          <w:rFonts w:ascii="Verdana" w:eastAsia="Malgun Gothic" w:hAnsi="Verdana" w:cs="Arial"/>
          <w:sz w:val="18"/>
          <w:szCs w:val="18"/>
          <w:lang w:val="el-GR"/>
        </w:rPr>
        <w:t>9</w:t>
      </w:r>
      <w:r w:rsidR="00BD08D3">
        <w:rPr>
          <w:rFonts w:ascii="Verdana" w:eastAsia="Malgun Gothic" w:hAnsi="Verdana" w:cs="Arial"/>
          <w:sz w:val="18"/>
          <w:szCs w:val="18"/>
          <w:lang w:val="el-GR"/>
        </w:rPr>
        <w:t>%</w:t>
      </w:r>
      <w:r w:rsidR="000A0E1A">
        <w:rPr>
          <w:rFonts w:ascii="Verdana" w:eastAsia="Malgun Gothic" w:hAnsi="Verdana" w:cs="Arial"/>
          <w:sz w:val="18"/>
          <w:szCs w:val="18"/>
          <w:lang w:val="el-GR"/>
        </w:rPr>
        <w:t>).</w:t>
      </w:r>
    </w:p>
    <w:p w14:paraId="1CF7F072" w14:textId="6ECFFEF5" w:rsidR="00493FC1" w:rsidRDefault="00493FC1" w:rsidP="000E4CB0">
      <w:pPr>
        <w:jc w:val="both"/>
        <w:rPr>
          <w:rFonts w:ascii="Verdana" w:eastAsia="Malgun Gothic" w:hAnsi="Verdana" w:cs="Arial"/>
          <w:sz w:val="18"/>
          <w:szCs w:val="18"/>
          <w:lang w:val="el-GR"/>
        </w:rPr>
      </w:pPr>
    </w:p>
    <w:p w14:paraId="3C74EA06" w14:textId="77777777" w:rsidR="00493FC1" w:rsidRDefault="00493FC1" w:rsidP="000E4CB0">
      <w:pPr>
        <w:jc w:val="both"/>
        <w:rPr>
          <w:rFonts w:ascii="Verdana" w:hAnsi="Verdana" w:cs="Arial"/>
          <w:sz w:val="18"/>
          <w:szCs w:val="18"/>
          <w:lang w:val="el-GR"/>
        </w:rPr>
      </w:pPr>
    </w:p>
    <w:tbl>
      <w:tblPr>
        <w:tblW w:w="4850" w:type="pct"/>
        <w:jc w:val="center"/>
        <w:tblBorders>
          <w:top w:val="single" w:sz="8" w:space="0" w:color="4F81BD"/>
          <w:bottom w:val="single" w:sz="8" w:space="0" w:color="4F81BD"/>
        </w:tblBorders>
        <w:tblLook w:val="04A0" w:firstRow="1" w:lastRow="0" w:firstColumn="1" w:lastColumn="0" w:noHBand="0" w:noVBand="1"/>
      </w:tblPr>
      <w:tblGrid>
        <w:gridCol w:w="2053"/>
        <w:gridCol w:w="1250"/>
        <w:gridCol w:w="1109"/>
        <w:gridCol w:w="1083"/>
        <w:gridCol w:w="1086"/>
        <w:gridCol w:w="281"/>
        <w:gridCol w:w="1164"/>
        <w:gridCol w:w="1274"/>
      </w:tblGrid>
      <w:tr w:rsidR="00833DCE" w:rsidRPr="000A0E1A" w14:paraId="62E42BA2" w14:textId="77777777" w:rsidTr="00000107">
        <w:trPr>
          <w:trHeight w:val="397"/>
          <w:jc w:val="center"/>
        </w:trPr>
        <w:tc>
          <w:tcPr>
            <w:tcW w:w="1104" w:type="pct"/>
            <w:tcBorders>
              <w:top w:val="nil"/>
              <w:left w:val="nil"/>
              <w:bottom w:val="single" w:sz="8" w:space="0" w:color="4F81BD"/>
              <w:right w:val="nil"/>
            </w:tcBorders>
            <w:vAlign w:val="center"/>
            <w:hideMark/>
          </w:tcPr>
          <w:p w14:paraId="4E5CDF6A" w14:textId="77777777" w:rsidR="00833DCE" w:rsidRDefault="00833DCE" w:rsidP="00FF09CA">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Πίνακας</w:t>
            </w:r>
          </w:p>
        </w:tc>
        <w:tc>
          <w:tcPr>
            <w:tcW w:w="672" w:type="pct"/>
            <w:tcBorders>
              <w:top w:val="nil"/>
              <w:left w:val="nil"/>
              <w:bottom w:val="single" w:sz="8" w:space="0" w:color="4F81BD"/>
              <w:right w:val="nil"/>
            </w:tcBorders>
            <w:vAlign w:val="center"/>
          </w:tcPr>
          <w:p w14:paraId="5BF3CC15" w14:textId="77777777" w:rsidR="00833DCE" w:rsidRDefault="00833DCE" w:rsidP="00FF09CA">
            <w:pPr>
              <w:rPr>
                <w:rFonts w:ascii="Verdana" w:eastAsia="Malgun Gothic" w:hAnsi="Verdana" w:cs="Arial"/>
                <w:b/>
                <w:bCs/>
                <w:color w:val="365F91"/>
                <w:sz w:val="18"/>
                <w:szCs w:val="18"/>
                <w:lang w:val="el-GR"/>
              </w:rPr>
            </w:pPr>
          </w:p>
        </w:tc>
        <w:tc>
          <w:tcPr>
            <w:tcW w:w="596" w:type="pct"/>
            <w:tcBorders>
              <w:top w:val="nil"/>
              <w:left w:val="nil"/>
              <w:bottom w:val="single" w:sz="8" w:space="0" w:color="4F81BD"/>
              <w:right w:val="nil"/>
            </w:tcBorders>
            <w:vAlign w:val="center"/>
          </w:tcPr>
          <w:p w14:paraId="32E93505" w14:textId="77777777" w:rsidR="00833DCE" w:rsidRDefault="00833DCE" w:rsidP="00FF09CA">
            <w:pPr>
              <w:rPr>
                <w:rFonts w:ascii="Verdana" w:eastAsia="Malgun Gothic" w:hAnsi="Verdana" w:cs="Arial"/>
                <w:b/>
                <w:bCs/>
                <w:color w:val="365F91"/>
                <w:sz w:val="18"/>
                <w:szCs w:val="18"/>
                <w:lang w:val="el-GR"/>
              </w:rPr>
            </w:pPr>
          </w:p>
        </w:tc>
        <w:tc>
          <w:tcPr>
            <w:tcW w:w="582" w:type="pct"/>
            <w:tcBorders>
              <w:top w:val="nil"/>
              <w:left w:val="nil"/>
              <w:bottom w:val="single" w:sz="8" w:space="0" w:color="4F81BD"/>
              <w:right w:val="nil"/>
            </w:tcBorders>
            <w:vAlign w:val="center"/>
          </w:tcPr>
          <w:p w14:paraId="37A3D02B" w14:textId="77777777" w:rsidR="00833DCE" w:rsidRDefault="00833DCE" w:rsidP="00FF09CA">
            <w:pPr>
              <w:rPr>
                <w:rFonts w:ascii="Verdana" w:eastAsia="Malgun Gothic" w:hAnsi="Verdana" w:cs="Arial"/>
                <w:b/>
                <w:bCs/>
                <w:color w:val="365F91"/>
                <w:sz w:val="18"/>
                <w:szCs w:val="18"/>
                <w:lang w:val="el-GR"/>
              </w:rPr>
            </w:pPr>
          </w:p>
        </w:tc>
        <w:tc>
          <w:tcPr>
            <w:tcW w:w="584" w:type="pct"/>
            <w:tcBorders>
              <w:top w:val="nil"/>
              <w:left w:val="nil"/>
              <w:bottom w:val="single" w:sz="8" w:space="0" w:color="4F81BD"/>
              <w:right w:val="nil"/>
            </w:tcBorders>
            <w:vAlign w:val="center"/>
          </w:tcPr>
          <w:p w14:paraId="2275C2D0" w14:textId="77777777" w:rsidR="00833DCE" w:rsidRDefault="00833DCE" w:rsidP="00FF09CA">
            <w:pPr>
              <w:rPr>
                <w:rFonts w:ascii="Verdana" w:eastAsia="Malgun Gothic" w:hAnsi="Verdana" w:cs="Arial"/>
                <w:b/>
                <w:bCs/>
                <w:color w:val="365F91"/>
                <w:sz w:val="18"/>
                <w:szCs w:val="18"/>
                <w:lang w:val="el-GR"/>
              </w:rPr>
            </w:pPr>
          </w:p>
        </w:tc>
        <w:tc>
          <w:tcPr>
            <w:tcW w:w="151" w:type="pct"/>
            <w:tcBorders>
              <w:top w:val="nil"/>
              <w:left w:val="nil"/>
              <w:bottom w:val="single" w:sz="8" w:space="0" w:color="4F81BD"/>
              <w:right w:val="nil"/>
            </w:tcBorders>
            <w:vAlign w:val="center"/>
          </w:tcPr>
          <w:p w14:paraId="1ABF5A17" w14:textId="77777777" w:rsidR="00833DCE" w:rsidRDefault="00833DCE" w:rsidP="00FF09CA">
            <w:pPr>
              <w:rPr>
                <w:rFonts w:ascii="Verdana" w:eastAsia="Malgun Gothic" w:hAnsi="Verdana" w:cs="Arial"/>
                <w:b/>
                <w:bCs/>
                <w:color w:val="365F91"/>
                <w:sz w:val="18"/>
                <w:szCs w:val="18"/>
                <w:lang w:val="el-GR"/>
              </w:rPr>
            </w:pPr>
          </w:p>
        </w:tc>
        <w:tc>
          <w:tcPr>
            <w:tcW w:w="626" w:type="pct"/>
            <w:tcBorders>
              <w:top w:val="nil"/>
              <w:left w:val="nil"/>
              <w:bottom w:val="single" w:sz="8" w:space="0" w:color="4F81BD"/>
              <w:right w:val="nil"/>
            </w:tcBorders>
            <w:vAlign w:val="center"/>
          </w:tcPr>
          <w:p w14:paraId="39EFE47F" w14:textId="77777777" w:rsidR="00833DCE" w:rsidRDefault="00833DCE" w:rsidP="00FF09CA">
            <w:pPr>
              <w:rPr>
                <w:rFonts w:ascii="Verdana" w:eastAsia="Malgun Gothic" w:hAnsi="Verdana" w:cs="Arial"/>
                <w:b/>
                <w:bCs/>
                <w:color w:val="365F91"/>
                <w:sz w:val="18"/>
                <w:szCs w:val="18"/>
                <w:lang w:val="el-GR"/>
              </w:rPr>
            </w:pPr>
          </w:p>
        </w:tc>
        <w:tc>
          <w:tcPr>
            <w:tcW w:w="685" w:type="pct"/>
            <w:tcBorders>
              <w:top w:val="nil"/>
              <w:left w:val="nil"/>
              <w:bottom w:val="single" w:sz="8" w:space="0" w:color="4F81BD"/>
              <w:right w:val="nil"/>
            </w:tcBorders>
            <w:vAlign w:val="center"/>
          </w:tcPr>
          <w:p w14:paraId="431DA232" w14:textId="77777777" w:rsidR="00833DCE" w:rsidRDefault="00833DCE" w:rsidP="00FF09CA">
            <w:pPr>
              <w:rPr>
                <w:rFonts w:ascii="Verdana" w:eastAsia="Malgun Gothic" w:hAnsi="Verdana" w:cs="Arial"/>
                <w:b/>
                <w:bCs/>
                <w:color w:val="365F91"/>
                <w:sz w:val="18"/>
                <w:szCs w:val="18"/>
                <w:lang w:val="el-GR"/>
              </w:rPr>
            </w:pPr>
          </w:p>
        </w:tc>
      </w:tr>
      <w:tr w:rsidR="00833DCE" w14:paraId="255DED37" w14:textId="77777777" w:rsidTr="00241893">
        <w:trPr>
          <w:trHeight w:val="397"/>
          <w:jc w:val="center"/>
        </w:trPr>
        <w:tc>
          <w:tcPr>
            <w:tcW w:w="1104" w:type="pct"/>
            <w:vMerge w:val="restart"/>
            <w:tcBorders>
              <w:top w:val="nil"/>
              <w:left w:val="nil"/>
              <w:bottom w:val="single" w:sz="8" w:space="0" w:color="4F81BD"/>
              <w:right w:val="nil"/>
            </w:tcBorders>
            <w:vAlign w:val="center"/>
            <w:hideMark/>
          </w:tcPr>
          <w:p w14:paraId="666ACD07" w14:textId="77777777" w:rsidR="00833DCE" w:rsidRDefault="00833DCE" w:rsidP="00FF09CA">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Κατηγορία Προσωπικού</w:t>
            </w:r>
          </w:p>
        </w:tc>
        <w:tc>
          <w:tcPr>
            <w:tcW w:w="672" w:type="pct"/>
            <w:tcBorders>
              <w:top w:val="single" w:sz="8" w:space="0" w:color="4F81BD"/>
              <w:left w:val="nil"/>
              <w:bottom w:val="nil"/>
              <w:right w:val="nil"/>
            </w:tcBorders>
          </w:tcPr>
          <w:p w14:paraId="2A4863F4" w14:textId="77777777" w:rsidR="00833DCE" w:rsidRDefault="00833DCE" w:rsidP="00FF09CA">
            <w:pPr>
              <w:jc w:val="center"/>
              <w:rPr>
                <w:rFonts w:ascii="Verdana" w:eastAsia="Malgun Gothic" w:hAnsi="Verdana" w:cs="Arial"/>
                <w:b/>
                <w:color w:val="365F91"/>
                <w:sz w:val="18"/>
                <w:szCs w:val="18"/>
                <w:lang w:val="el-GR"/>
              </w:rPr>
            </w:pPr>
          </w:p>
        </w:tc>
        <w:tc>
          <w:tcPr>
            <w:tcW w:w="1762" w:type="pct"/>
            <w:gridSpan w:val="3"/>
            <w:tcBorders>
              <w:top w:val="single" w:sz="8" w:space="0" w:color="4F81BD"/>
              <w:left w:val="nil"/>
              <w:bottom w:val="single" w:sz="8" w:space="0" w:color="4F81BD"/>
              <w:right w:val="single" w:sz="8" w:space="0" w:color="4F81BD"/>
            </w:tcBorders>
            <w:vAlign w:val="center"/>
            <w:hideMark/>
          </w:tcPr>
          <w:p w14:paraId="362F5C63" w14:textId="77777777" w:rsidR="00833DCE" w:rsidRDefault="00833DCE" w:rsidP="00FF09CA">
            <w:pPr>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Αριθμός ατόμων</w:t>
            </w:r>
          </w:p>
        </w:tc>
        <w:tc>
          <w:tcPr>
            <w:tcW w:w="151" w:type="pct"/>
            <w:tcBorders>
              <w:top w:val="nil"/>
              <w:left w:val="single" w:sz="8" w:space="0" w:color="4F81BD"/>
              <w:bottom w:val="single" w:sz="8" w:space="0" w:color="4F81BD"/>
              <w:right w:val="nil"/>
            </w:tcBorders>
            <w:vAlign w:val="center"/>
          </w:tcPr>
          <w:p w14:paraId="51F80626" w14:textId="77777777" w:rsidR="00833DCE" w:rsidRDefault="00833DCE" w:rsidP="00FF09CA">
            <w:pPr>
              <w:jc w:val="center"/>
              <w:rPr>
                <w:rFonts w:ascii="Verdana" w:eastAsia="Malgun Gothic" w:hAnsi="Verdana" w:cs="Arial"/>
                <w:color w:val="365F91"/>
                <w:sz w:val="18"/>
                <w:szCs w:val="18"/>
                <w:lang w:val="el-GR"/>
              </w:rPr>
            </w:pPr>
          </w:p>
        </w:tc>
        <w:tc>
          <w:tcPr>
            <w:tcW w:w="1311" w:type="pct"/>
            <w:gridSpan w:val="2"/>
            <w:tcBorders>
              <w:top w:val="nil"/>
              <w:left w:val="nil"/>
              <w:bottom w:val="single" w:sz="8" w:space="0" w:color="4F81BD"/>
              <w:right w:val="nil"/>
            </w:tcBorders>
            <w:vAlign w:val="center"/>
            <w:hideMark/>
          </w:tcPr>
          <w:p w14:paraId="3310C4E2" w14:textId="77777777" w:rsidR="00833DCE" w:rsidRDefault="00833DCE" w:rsidP="00FF09CA">
            <w:pPr>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 Μεταβολή</w:t>
            </w:r>
          </w:p>
        </w:tc>
      </w:tr>
      <w:tr w:rsidR="00833DCE" w14:paraId="32D047E3" w14:textId="77777777" w:rsidTr="00000107">
        <w:trPr>
          <w:trHeight w:val="397"/>
          <w:jc w:val="center"/>
        </w:trPr>
        <w:tc>
          <w:tcPr>
            <w:tcW w:w="0" w:type="auto"/>
            <w:vMerge/>
            <w:tcBorders>
              <w:top w:val="nil"/>
              <w:left w:val="nil"/>
              <w:bottom w:val="single" w:sz="8" w:space="0" w:color="4F81BD"/>
              <w:right w:val="nil"/>
            </w:tcBorders>
            <w:vAlign w:val="center"/>
            <w:hideMark/>
          </w:tcPr>
          <w:p w14:paraId="1F622C07" w14:textId="77777777" w:rsidR="00833DCE" w:rsidRDefault="00833DCE" w:rsidP="00FF09CA">
            <w:pPr>
              <w:rPr>
                <w:rFonts w:ascii="Verdana" w:eastAsia="Malgun Gothic" w:hAnsi="Verdana" w:cs="Arial"/>
                <w:b/>
                <w:bCs/>
                <w:color w:val="365F91"/>
                <w:sz w:val="18"/>
                <w:szCs w:val="18"/>
                <w:lang w:val="el-GR"/>
              </w:rPr>
            </w:pPr>
          </w:p>
        </w:tc>
        <w:tc>
          <w:tcPr>
            <w:tcW w:w="672" w:type="pct"/>
            <w:tcBorders>
              <w:top w:val="nil"/>
              <w:left w:val="nil"/>
              <w:bottom w:val="single" w:sz="8" w:space="0" w:color="4F81BD"/>
              <w:right w:val="nil"/>
            </w:tcBorders>
          </w:tcPr>
          <w:p w14:paraId="143FC23E" w14:textId="77777777" w:rsidR="00833DCE" w:rsidRDefault="00833DCE" w:rsidP="00FF09CA">
            <w:pPr>
              <w:jc w:val="center"/>
              <w:rPr>
                <w:rFonts w:ascii="Verdana" w:eastAsia="Malgun Gothic" w:hAnsi="Verdana" w:cs="Arial"/>
                <w:b/>
                <w:color w:val="365F91"/>
                <w:sz w:val="18"/>
                <w:szCs w:val="18"/>
                <w:lang w:val="el-GR"/>
              </w:rPr>
            </w:pPr>
          </w:p>
        </w:tc>
        <w:tc>
          <w:tcPr>
            <w:tcW w:w="596" w:type="pct"/>
            <w:tcBorders>
              <w:top w:val="single" w:sz="8" w:space="0" w:color="4F81BD"/>
              <w:left w:val="nil"/>
              <w:bottom w:val="single" w:sz="8" w:space="0" w:color="4F81BD"/>
              <w:right w:val="nil"/>
            </w:tcBorders>
            <w:hideMark/>
          </w:tcPr>
          <w:p w14:paraId="6D0B72C0" w14:textId="41783934" w:rsidR="00833DCE" w:rsidRDefault="00A47ED6" w:rsidP="00FF09CA">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Απρ</w:t>
            </w:r>
            <w:r w:rsidR="00833DCE">
              <w:rPr>
                <w:rFonts w:ascii="Verdana" w:eastAsia="Malgun Gothic" w:hAnsi="Verdana" w:cs="Arial"/>
                <w:b/>
                <w:color w:val="365F91"/>
                <w:sz w:val="18"/>
                <w:szCs w:val="18"/>
                <w:lang w:val="el-GR"/>
              </w:rPr>
              <w:t xml:space="preserve"> 202</w:t>
            </w:r>
            <w:r w:rsidR="003E1C96">
              <w:rPr>
                <w:rFonts w:ascii="Verdana" w:eastAsia="Malgun Gothic" w:hAnsi="Verdana" w:cs="Arial"/>
                <w:b/>
                <w:color w:val="365F91"/>
                <w:sz w:val="18"/>
                <w:szCs w:val="18"/>
                <w:lang w:val="el-GR"/>
              </w:rPr>
              <w:t>2</w:t>
            </w:r>
          </w:p>
        </w:tc>
        <w:tc>
          <w:tcPr>
            <w:tcW w:w="582" w:type="pct"/>
            <w:tcBorders>
              <w:top w:val="single" w:sz="8" w:space="0" w:color="4F81BD"/>
              <w:left w:val="nil"/>
              <w:bottom w:val="single" w:sz="8" w:space="0" w:color="4F81BD"/>
              <w:right w:val="nil"/>
            </w:tcBorders>
            <w:hideMark/>
          </w:tcPr>
          <w:p w14:paraId="6B3E32B9" w14:textId="0D203319" w:rsidR="00833DCE" w:rsidRDefault="00A47ED6" w:rsidP="00FF09CA">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Μαρ</w:t>
            </w:r>
            <w:r w:rsidR="00833DCE">
              <w:rPr>
                <w:rFonts w:ascii="Verdana" w:eastAsia="Malgun Gothic" w:hAnsi="Verdana" w:cs="Arial"/>
                <w:b/>
                <w:color w:val="365F91"/>
                <w:sz w:val="18"/>
                <w:szCs w:val="18"/>
                <w:lang w:val="el-GR"/>
              </w:rPr>
              <w:t xml:space="preserve"> 202</w:t>
            </w:r>
            <w:r w:rsidR="00F27191">
              <w:rPr>
                <w:rFonts w:ascii="Verdana" w:eastAsia="Malgun Gothic" w:hAnsi="Verdana" w:cs="Arial"/>
                <w:b/>
                <w:color w:val="365F91"/>
                <w:sz w:val="18"/>
                <w:szCs w:val="18"/>
                <w:lang w:val="el-GR"/>
              </w:rPr>
              <w:t>3</w:t>
            </w:r>
          </w:p>
        </w:tc>
        <w:tc>
          <w:tcPr>
            <w:tcW w:w="584" w:type="pct"/>
            <w:tcBorders>
              <w:top w:val="single" w:sz="8" w:space="0" w:color="4F81BD"/>
              <w:left w:val="nil"/>
              <w:bottom w:val="single" w:sz="8" w:space="0" w:color="4F81BD"/>
              <w:right w:val="single" w:sz="8" w:space="0" w:color="4F81BD"/>
            </w:tcBorders>
            <w:hideMark/>
          </w:tcPr>
          <w:p w14:paraId="4C2CD087" w14:textId="59D5247A" w:rsidR="00833DCE" w:rsidRDefault="00A47ED6" w:rsidP="00FF09CA">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Απρ</w:t>
            </w:r>
            <w:r w:rsidR="008677F2">
              <w:rPr>
                <w:rFonts w:ascii="Verdana" w:eastAsia="Malgun Gothic" w:hAnsi="Verdana" w:cs="Arial"/>
                <w:b/>
                <w:color w:val="365F91"/>
                <w:sz w:val="18"/>
                <w:szCs w:val="18"/>
                <w:lang w:val="el-GR"/>
              </w:rPr>
              <w:t xml:space="preserve"> </w:t>
            </w:r>
            <w:r w:rsidR="00833DCE">
              <w:rPr>
                <w:rFonts w:ascii="Verdana" w:eastAsia="Malgun Gothic" w:hAnsi="Verdana" w:cs="Arial"/>
                <w:b/>
                <w:color w:val="365F91"/>
                <w:sz w:val="18"/>
                <w:szCs w:val="18"/>
                <w:lang w:val="el-GR"/>
              </w:rPr>
              <w:t>202</w:t>
            </w:r>
            <w:r w:rsidR="003E1C96">
              <w:rPr>
                <w:rFonts w:ascii="Verdana" w:eastAsia="Malgun Gothic" w:hAnsi="Verdana" w:cs="Arial"/>
                <w:b/>
                <w:color w:val="365F91"/>
                <w:sz w:val="18"/>
                <w:szCs w:val="18"/>
                <w:lang w:val="el-GR"/>
              </w:rPr>
              <w:t>3</w:t>
            </w:r>
          </w:p>
        </w:tc>
        <w:tc>
          <w:tcPr>
            <w:tcW w:w="151" w:type="pct"/>
            <w:tcBorders>
              <w:top w:val="single" w:sz="8" w:space="0" w:color="4F81BD"/>
              <w:left w:val="single" w:sz="8" w:space="0" w:color="4F81BD"/>
              <w:bottom w:val="single" w:sz="8" w:space="0" w:color="4F81BD"/>
              <w:right w:val="nil"/>
            </w:tcBorders>
          </w:tcPr>
          <w:p w14:paraId="6E48A57B" w14:textId="77777777" w:rsidR="00833DCE" w:rsidRDefault="00833DCE" w:rsidP="00FF09CA">
            <w:pPr>
              <w:jc w:val="center"/>
              <w:rPr>
                <w:rFonts w:ascii="Verdana" w:eastAsia="Malgun Gothic" w:hAnsi="Verdana" w:cs="Arial"/>
                <w:color w:val="365F91"/>
                <w:sz w:val="18"/>
                <w:szCs w:val="18"/>
                <w:lang w:val="el-GR"/>
              </w:rPr>
            </w:pPr>
          </w:p>
        </w:tc>
        <w:tc>
          <w:tcPr>
            <w:tcW w:w="626" w:type="pct"/>
            <w:tcBorders>
              <w:top w:val="single" w:sz="8" w:space="0" w:color="4F81BD"/>
              <w:left w:val="nil"/>
              <w:bottom w:val="single" w:sz="8" w:space="0" w:color="4F81BD"/>
              <w:right w:val="nil"/>
            </w:tcBorders>
            <w:hideMark/>
          </w:tcPr>
          <w:p w14:paraId="650F571E" w14:textId="63DA4069" w:rsidR="00C05C86" w:rsidRDefault="002A108B" w:rsidP="00C05C86">
            <w:pPr>
              <w:ind w:left="-139" w:right="-5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w:t>
            </w:r>
            <w:r w:rsidR="00A47ED6">
              <w:rPr>
                <w:rFonts w:ascii="Verdana" w:eastAsia="Malgun Gothic" w:hAnsi="Verdana" w:cs="Arial"/>
                <w:b/>
                <w:color w:val="365F91"/>
                <w:sz w:val="18"/>
                <w:szCs w:val="18"/>
                <w:lang w:val="el-GR"/>
              </w:rPr>
              <w:t>Απρ</w:t>
            </w:r>
            <w:r w:rsidR="00F27191">
              <w:rPr>
                <w:rFonts w:ascii="Verdana" w:eastAsia="Malgun Gothic" w:hAnsi="Verdana" w:cs="Arial"/>
                <w:b/>
                <w:color w:val="365F91"/>
                <w:sz w:val="18"/>
                <w:szCs w:val="18"/>
                <w:lang w:val="el-GR"/>
              </w:rPr>
              <w:t xml:space="preserve"> </w:t>
            </w:r>
            <w:r w:rsidR="00C05C86">
              <w:rPr>
                <w:rFonts w:ascii="Verdana" w:eastAsia="Malgun Gothic" w:hAnsi="Verdana" w:cs="Arial"/>
                <w:b/>
                <w:color w:val="365F91"/>
                <w:sz w:val="18"/>
                <w:szCs w:val="18"/>
                <w:lang w:val="el-GR"/>
              </w:rPr>
              <w:t>2</w:t>
            </w:r>
            <w:r w:rsidR="003E1C96">
              <w:rPr>
                <w:rFonts w:ascii="Verdana" w:eastAsia="Malgun Gothic" w:hAnsi="Verdana" w:cs="Arial"/>
                <w:b/>
                <w:color w:val="365F91"/>
                <w:sz w:val="18"/>
                <w:szCs w:val="18"/>
                <w:lang w:val="el-GR"/>
              </w:rPr>
              <w:t>3</w:t>
            </w:r>
            <w:r w:rsidR="00C05C86">
              <w:rPr>
                <w:rFonts w:ascii="Verdana" w:eastAsia="Malgun Gothic" w:hAnsi="Verdana" w:cs="Arial"/>
                <w:b/>
                <w:color w:val="365F91"/>
                <w:sz w:val="18"/>
                <w:szCs w:val="18"/>
                <w:lang w:val="el-GR"/>
              </w:rPr>
              <w:t>/</w:t>
            </w:r>
          </w:p>
          <w:p w14:paraId="740142BC" w14:textId="7704A534" w:rsidR="00833DCE" w:rsidRDefault="00A47ED6" w:rsidP="00C05C86">
            <w:pPr>
              <w:ind w:left="-81"/>
              <w:jc w:val="center"/>
              <w:rPr>
                <w:rFonts w:ascii="Verdana" w:eastAsia="Malgun Gothic" w:hAnsi="Verdana" w:cs="Arial"/>
                <w:color w:val="365F91"/>
                <w:sz w:val="18"/>
                <w:szCs w:val="18"/>
                <w:lang w:val="el-GR"/>
              </w:rPr>
            </w:pPr>
            <w:r>
              <w:rPr>
                <w:rFonts w:ascii="Verdana" w:eastAsia="Malgun Gothic" w:hAnsi="Verdana" w:cs="Arial"/>
                <w:b/>
                <w:color w:val="365F91"/>
                <w:sz w:val="18"/>
                <w:szCs w:val="18"/>
                <w:lang w:val="el-GR"/>
              </w:rPr>
              <w:t>Μαρ</w:t>
            </w:r>
            <w:r w:rsidR="00C05C86">
              <w:rPr>
                <w:rFonts w:ascii="Verdana" w:eastAsia="Malgun Gothic" w:hAnsi="Verdana" w:cs="Arial"/>
                <w:b/>
                <w:color w:val="365F91"/>
                <w:sz w:val="18"/>
                <w:szCs w:val="18"/>
              </w:rPr>
              <w:t xml:space="preserve"> </w:t>
            </w:r>
            <w:r w:rsidR="00C05C86">
              <w:rPr>
                <w:rFonts w:ascii="Verdana" w:eastAsia="Malgun Gothic" w:hAnsi="Verdana" w:cs="Arial"/>
                <w:b/>
                <w:color w:val="365F91"/>
                <w:sz w:val="18"/>
                <w:szCs w:val="18"/>
                <w:lang w:val="el-GR"/>
              </w:rPr>
              <w:t>2</w:t>
            </w:r>
            <w:r w:rsidR="00F27191">
              <w:rPr>
                <w:rFonts w:ascii="Verdana" w:eastAsia="Malgun Gothic" w:hAnsi="Verdana" w:cs="Arial"/>
                <w:b/>
                <w:color w:val="365F91"/>
                <w:sz w:val="18"/>
                <w:szCs w:val="18"/>
                <w:lang w:val="el-GR"/>
              </w:rPr>
              <w:t>3</w:t>
            </w:r>
          </w:p>
        </w:tc>
        <w:tc>
          <w:tcPr>
            <w:tcW w:w="685" w:type="pct"/>
            <w:tcBorders>
              <w:top w:val="single" w:sz="8" w:space="0" w:color="4F81BD"/>
              <w:left w:val="nil"/>
              <w:bottom w:val="single" w:sz="8" w:space="0" w:color="4F81BD"/>
              <w:right w:val="nil"/>
            </w:tcBorders>
            <w:hideMark/>
          </w:tcPr>
          <w:p w14:paraId="57174574" w14:textId="04A089AF" w:rsidR="00833DCE" w:rsidRDefault="00C05C86" w:rsidP="00C05C86">
            <w:pPr>
              <w:ind w:left="92" w:right="-52" w:hanging="156"/>
              <w:rPr>
                <w:rFonts w:ascii="Verdana" w:eastAsia="Malgun Gothic" w:hAnsi="Verdana" w:cs="Arial"/>
                <w:color w:val="365F91"/>
                <w:sz w:val="18"/>
                <w:szCs w:val="18"/>
                <w:lang w:val="el-GR"/>
              </w:rPr>
            </w:pPr>
            <w:r>
              <w:rPr>
                <w:rFonts w:ascii="Verdana" w:eastAsia="Malgun Gothic" w:hAnsi="Verdana" w:cs="Arial"/>
                <w:b/>
                <w:color w:val="365F91"/>
                <w:sz w:val="18"/>
                <w:szCs w:val="18"/>
              </w:rPr>
              <w:t xml:space="preserve">    </w:t>
            </w:r>
            <w:r w:rsidR="00655CDC">
              <w:rPr>
                <w:rFonts w:ascii="Verdana" w:eastAsia="Malgun Gothic" w:hAnsi="Verdana" w:cs="Arial"/>
                <w:b/>
                <w:color w:val="365F91"/>
                <w:sz w:val="18"/>
                <w:szCs w:val="18"/>
              </w:rPr>
              <w:t xml:space="preserve"> </w:t>
            </w:r>
            <w:r w:rsidR="00A47ED6">
              <w:rPr>
                <w:rFonts w:ascii="Verdana" w:eastAsia="Malgun Gothic" w:hAnsi="Verdana" w:cs="Arial"/>
                <w:b/>
                <w:color w:val="365F91"/>
                <w:sz w:val="18"/>
                <w:szCs w:val="18"/>
                <w:lang w:val="el-GR"/>
              </w:rPr>
              <w:t>Απρ</w:t>
            </w:r>
            <w:r>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 xml:space="preserve">    </w:t>
            </w:r>
            <w:r>
              <w:rPr>
                <w:rFonts w:ascii="Verdana" w:eastAsia="Malgun Gothic" w:hAnsi="Verdana" w:cs="Arial"/>
                <w:b/>
                <w:color w:val="365F91"/>
                <w:sz w:val="18"/>
                <w:szCs w:val="18"/>
                <w:lang w:val="el-GR"/>
              </w:rPr>
              <w:t>2</w:t>
            </w:r>
            <w:r w:rsidR="003E1C96">
              <w:rPr>
                <w:rFonts w:ascii="Verdana" w:eastAsia="Malgun Gothic" w:hAnsi="Verdana" w:cs="Arial"/>
                <w:b/>
                <w:color w:val="365F91"/>
                <w:sz w:val="18"/>
                <w:szCs w:val="18"/>
                <w:lang w:val="el-GR"/>
              </w:rPr>
              <w:t>3</w:t>
            </w:r>
            <w:r>
              <w:rPr>
                <w:rFonts w:ascii="Verdana" w:eastAsia="Malgun Gothic" w:hAnsi="Verdana" w:cs="Arial"/>
                <w:b/>
                <w:color w:val="365F91"/>
                <w:sz w:val="18"/>
                <w:szCs w:val="18"/>
                <w:lang w:val="el-GR"/>
              </w:rPr>
              <w:t>/2</w:t>
            </w:r>
            <w:r w:rsidR="003E1C96">
              <w:rPr>
                <w:rFonts w:ascii="Verdana" w:eastAsia="Malgun Gothic" w:hAnsi="Verdana" w:cs="Arial"/>
                <w:b/>
                <w:color w:val="365F91"/>
                <w:sz w:val="18"/>
                <w:szCs w:val="18"/>
                <w:lang w:val="el-GR"/>
              </w:rPr>
              <w:t>2</w:t>
            </w:r>
          </w:p>
        </w:tc>
      </w:tr>
      <w:tr w:rsidR="00A47ED6" w14:paraId="7099274A" w14:textId="77777777" w:rsidTr="007E47D0">
        <w:trPr>
          <w:trHeight w:val="397"/>
          <w:jc w:val="center"/>
        </w:trPr>
        <w:tc>
          <w:tcPr>
            <w:tcW w:w="1104" w:type="pct"/>
            <w:vMerge w:val="restart"/>
            <w:tcBorders>
              <w:top w:val="single" w:sz="8" w:space="0" w:color="4F81BD"/>
              <w:left w:val="nil"/>
              <w:bottom w:val="nil"/>
              <w:right w:val="nil"/>
            </w:tcBorders>
            <w:hideMark/>
          </w:tcPr>
          <w:p w14:paraId="7B6293A5" w14:textId="77777777" w:rsidR="00A47ED6" w:rsidRDefault="00A47ED6" w:rsidP="00A47ED6">
            <w:pPr>
              <w:rPr>
                <w:rFonts w:ascii="Verdana" w:eastAsia="Malgun Gothic" w:hAnsi="Verdana" w:cs="Arial"/>
                <w:b/>
                <w:bCs/>
                <w:color w:val="365F91"/>
                <w:sz w:val="18"/>
                <w:szCs w:val="18"/>
                <w:u w:val="single"/>
                <w:lang w:val="el-GR"/>
              </w:rPr>
            </w:pPr>
            <w:r>
              <w:rPr>
                <w:rFonts w:ascii="Verdana" w:eastAsia="Malgun Gothic" w:hAnsi="Verdana" w:cs="Arial"/>
                <w:b/>
                <w:bCs/>
                <w:color w:val="365F91"/>
                <w:sz w:val="18"/>
                <w:szCs w:val="18"/>
                <w:u w:val="single"/>
                <w:lang w:val="el-GR"/>
              </w:rPr>
              <w:t>Δημόσια</w:t>
            </w:r>
          </w:p>
          <w:p w14:paraId="0FC72C63" w14:textId="77777777" w:rsidR="00A47ED6" w:rsidRDefault="00A47ED6" w:rsidP="00A47ED6">
            <w:pPr>
              <w:rPr>
                <w:rFonts w:ascii="Verdana" w:eastAsia="Malgun Gothic" w:hAnsi="Verdana" w:cs="Arial"/>
                <w:b/>
                <w:bCs/>
                <w:color w:val="365F91"/>
                <w:sz w:val="18"/>
                <w:szCs w:val="18"/>
                <w:u w:val="single"/>
                <w:lang w:val="el-GR"/>
              </w:rPr>
            </w:pPr>
            <w:r>
              <w:rPr>
                <w:rFonts w:ascii="Verdana" w:eastAsia="Malgun Gothic" w:hAnsi="Verdana" w:cs="Arial"/>
                <w:b/>
                <w:bCs/>
                <w:color w:val="365F91"/>
                <w:sz w:val="18"/>
                <w:szCs w:val="18"/>
                <w:u w:val="single"/>
                <w:lang w:val="el-GR"/>
              </w:rPr>
              <w:t>Υπηρεσία</w:t>
            </w:r>
          </w:p>
        </w:tc>
        <w:tc>
          <w:tcPr>
            <w:tcW w:w="672" w:type="pct"/>
            <w:tcBorders>
              <w:top w:val="single" w:sz="8" w:space="0" w:color="4F81BD"/>
              <w:left w:val="nil"/>
              <w:bottom w:val="nil"/>
              <w:right w:val="nil"/>
            </w:tcBorders>
            <w:vAlign w:val="center"/>
            <w:hideMark/>
          </w:tcPr>
          <w:p w14:paraId="66FE86CA" w14:textId="77777777" w:rsidR="00A47ED6" w:rsidRDefault="00A47ED6" w:rsidP="00A47ED6">
            <w:pPr>
              <w:ind w:right="144"/>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Σύνολο</w:t>
            </w:r>
          </w:p>
        </w:tc>
        <w:tc>
          <w:tcPr>
            <w:tcW w:w="596" w:type="pct"/>
            <w:tcBorders>
              <w:top w:val="single" w:sz="8" w:space="0" w:color="4F81BD"/>
              <w:left w:val="nil"/>
              <w:bottom w:val="nil"/>
              <w:right w:val="nil"/>
            </w:tcBorders>
            <w:tcMar>
              <w:right w:w="227" w:type="dxa"/>
            </w:tcMar>
            <w:vAlign w:val="center"/>
          </w:tcPr>
          <w:p w14:paraId="4D85CF65" w14:textId="3D8A21C9"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17.349</w:t>
            </w:r>
          </w:p>
        </w:tc>
        <w:tc>
          <w:tcPr>
            <w:tcW w:w="582" w:type="pct"/>
            <w:tcBorders>
              <w:top w:val="single" w:sz="8" w:space="0" w:color="4F81BD"/>
              <w:left w:val="nil"/>
              <w:bottom w:val="nil"/>
              <w:right w:val="nil"/>
            </w:tcBorders>
            <w:tcMar>
              <w:right w:w="255" w:type="dxa"/>
            </w:tcMar>
            <w:vAlign w:val="center"/>
          </w:tcPr>
          <w:p w14:paraId="217231A1" w14:textId="44B8929D"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17.421</w:t>
            </w:r>
          </w:p>
        </w:tc>
        <w:tc>
          <w:tcPr>
            <w:tcW w:w="584" w:type="pct"/>
            <w:tcBorders>
              <w:top w:val="single" w:sz="8" w:space="0" w:color="4F81BD"/>
              <w:left w:val="nil"/>
              <w:bottom w:val="nil"/>
              <w:right w:val="single" w:sz="8" w:space="0" w:color="4F81BD"/>
            </w:tcBorders>
            <w:tcMar>
              <w:right w:w="255" w:type="dxa"/>
            </w:tcMar>
            <w:vAlign w:val="center"/>
          </w:tcPr>
          <w:p w14:paraId="34E6C275" w14:textId="02547C54"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17.449</w:t>
            </w:r>
          </w:p>
        </w:tc>
        <w:tc>
          <w:tcPr>
            <w:tcW w:w="151" w:type="pct"/>
            <w:tcBorders>
              <w:top w:val="single" w:sz="8" w:space="0" w:color="4F81BD"/>
              <w:left w:val="single" w:sz="8" w:space="0" w:color="4F81BD"/>
              <w:bottom w:val="nil"/>
              <w:right w:val="nil"/>
            </w:tcBorders>
            <w:vAlign w:val="center"/>
          </w:tcPr>
          <w:p w14:paraId="13BEDB99" w14:textId="6DFCAD38"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 </w:t>
            </w:r>
          </w:p>
        </w:tc>
        <w:tc>
          <w:tcPr>
            <w:tcW w:w="626" w:type="pct"/>
            <w:tcBorders>
              <w:top w:val="single" w:sz="8" w:space="0" w:color="4F81BD"/>
              <w:left w:val="nil"/>
              <w:bottom w:val="nil"/>
              <w:right w:val="nil"/>
            </w:tcBorders>
            <w:tcMar>
              <w:right w:w="142" w:type="dxa"/>
            </w:tcMar>
            <w:vAlign w:val="center"/>
          </w:tcPr>
          <w:p w14:paraId="1BFB2EF0" w14:textId="163B53DF"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0,2%</w:t>
            </w:r>
          </w:p>
        </w:tc>
        <w:tc>
          <w:tcPr>
            <w:tcW w:w="685" w:type="pct"/>
            <w:tcBorders>
              <w:top w:val="single" w:sz="8" w:space="0" w:color="4F81BD"/>
              <w:left w:val="nil"/>
              <w:bottom w:val="nil"/>
              <w:right w:val="nil"/>
            </w:tcBorders>
            <w:tcMar>
              <w:left w:w="0" w:type="dxa"/>
              <w:right w:w="198" w:type="dxa"/>
            </w:tcMar>
            <w:vAlign w:val="center"/>
          </w:tcPr>
          <w:p w14:paraId="0E446310" w14:textId="02F2E9C8"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0,6%</w:t>
            </w:r>
          </w:p>
        </w:tc>
      </w:tr>
      <w:tr w:rsidR="00A47ED6" w14:paraId="417BF30D" w14:textId="77777777" w:rsidTr="007E47D0">
        <w:trPr>
          <w:trHeight w:val="441"/>
          <w:jc w:val="center"/>
        </w:trPr>
        <w:tc>
          <w:tcPr>
            <w:tcW w:w="0" w:type="auto"/>
            <w:vMerge/>
            <w:tcBorders>
              <w:top w:val="single" w:sz="8" w:space="0" w:color="4F81BD"/>
              <w:left w:val="nil"/>
              <w:bottom w:val="nil"/>
              <w:right w:val="nil"/>
            </w:tcBorders>
            <w:vAlign w:val="center"/>
            <w:hideMark/>
          </w:tcPr>
          <w:p w14:paraId="3E8530DA"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nil"/>
              <w:right w:val="nil"/>
            </w:tcBorders>
            <w:vAlign w:val="center"/>
            <w:hideMark/>
          </w:tcPr>
          <w:p w14:paraId="16AFF57D" w14:textId="77777777" w:rsidR="00A47ED6" w:rsidRDefault="00A47ED6" w:rsidP="00A47ED6">
            <w:pPr>
              <w:ind w:right="144"/>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Μόνιμοι</w:t>
            </w:r>
          </w:p>
        </w:tc>
        <w:tc>
          <w:tcPr>
            <w:tcW w:w="596" w:type="pct"/>
            <w:tcBorders>
              <w:top w:val="nil"/>
              <w:left w:val="nil"/>
              <w:bottom w:val="nil"/>
              <w:right w:val="nil"/>
            </w:tcBorders>
            <w:tcMar>
              <w:right w:w="227" w:type="dxa"/>
            </w:tcMar>
            <w:vAlign w:val="center"/>
          </w:tcPr>
          <w:p w14:paraId="77696B2A" w14:textId="4D904EC0" w:rsidR="00A47ED6" w:rsidRDefault="00A47ED6" w:rsidP="00A47ED6">
            <w:pPr>
              <w:jc w:val="right"/>
              <w:rPr>
                <w:rFonts w:ascii="Verdana" w:hAnsi="Verdana"/>
                <w:color w:val="365F91"/>
                <w:sz w:val="18"/>
                <w:szCs w:val="18"/>
              </w:rPr>
            </w:pPr>
            <w:r>
              <w:rPr>
                <w:rFonts w:ascii="Verdana" w:hAnsi="Verdana" w:cs="Calibri"/>
                <w:color w:val="365F91"/>
                <w:sz w:val="18"/>
                <w:szCs w:val="18"/>
              </w:rPr>
              <w:t>10.320</w:t>
            </w:r>
          </w:p>
        </w:tc>
        <w:tc>
          <w:tcPr>
            <w:tcW w:w="582" w:type="pct"/>
            <w:tcBorders>
              <w:top w:val="nil"/>
              <w:left w:val="nil"/>
              <w:bottom w:val="nil"/>
              <w:right w:val="nil"/>
            </w:tcBorders>
            <w:tcMar>
              <w:right w:w="255" w:type="dxa"/>
            </w:tcMar>
            <w:vAlign w:val="center"/>
          </w:tcPr>
          <w:p w14:paraId="22411149" w14:textId="4718E68A" w:rsidR="00A47ED6" w:rsidRDefault="00A47ED6" w:rsidP="00A47ED6">
            <w:pPr>
              <w:jc w:val="right"/>
              <w:rPr>
                <w:rFonts w:ascii="Verdana" w:hAnsi="Verdana"/>
                <w:color w:val="365F91"/>
                <w:sz w:val="18"/>
                <w:szCs w:val="18"/>
              </w:rPr>
            </w:pPr>
            <w:r>
              <w:rPr>
                <w:rFonts w:ascii="Verdana" w:hAnsi="Verdana" w:cs="Calibri"/>
                <w:color w:val="365F91"/>
                <w:sz w:val="18"/>
                <w:szCs w:val="18"/>
              </w:rPr>
              <w:t>10.050</w:t>
            </w:r>
          </w:p>
        </w:tc>
        <w:tc>
          <w:tcPr>
            <w:tcW w:w="584" w:type="pct"/>
            <w:tcBorders>
              <w:top w:val="nil"/>
              <w:left w:val="nil"/>
              <w:bottom w:val="nil"/>
              <w:right w:val="single" w:sz="8" w:space="0" w:color="4F81BD"/>
            </w:tcBorders>
            <w:tcMar>
              <w:right w:w="255" w:type="dxa"/>
            </w:tcMar>
            <w:vAlign w:val="center"/>
          </w:tcPr>
          <w:p w14:paraId="3540EE12" w14:textId="3D7FF1BE" w:rsidR="00A47ED6" w:rsidRDefault="00A47ED6" w:rsidP="00A47ED6">
            <w:pPr>
              <w:jc w:val="right"/>
              <w:rPr>
                <w:rFonts w:ascii="Verdana" w:hAnsi="Verdana"/>
                <w:color w:val="365F91"/>
                <w:sz w:val="18"/>
                <w:szCs w:val="18"/>
              </w:rPr>
            </w:pPr>
            <w:r>
              <w:rPr>
                <w:rFonts w:ascii="Verdana" w:hAnsi="Verdana" w:cs="Calibri"/>
                <w:color w:val="365F91"/>
                <w:sz w:val="18"/>
                <w:szCs w:val="18"/>
              </w:rPr>
              <w:t>10.025</w:t>
            </w:r>
          </w:p>
        </w:tc>
        <w:tc>
          <w:tcPr>
            <w:tcW w:w="151" w:type="pct"/>
            <w:tcBorders>
              <w:top w:val="nil"/>
              <w:left w:val="single" w:sz="8" w:space="0" w:color="4F81BD"/>
              <w:bottom w:val="nil"/>
              <w:right w:val="nil"/>
            </w:tcBorders>
            <w:vAlign w:val="center"/>
          </w:tcPr>
          <w:p w14:paraId="16F9E622" w14:textId="2978CA8D"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nil"/>
              <w:right w:val="nil"/>
            </w:tcBorders>
            <w:tcMar>
              <w:right w:w="142" w:type="dxa"/>
            </w:tcMar>
            <w:vAlign w:val="center"/>
          </w:tcPr>
          <w:p w14:paraId="0BFE65AB" w14:textId="74AD7FF7"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-0,2%</w:t>
            </w:r>
          </w:p>
        </w:tc>
        <w:tc>
          <w:tcPr>
            <w:tcW w:w="750" w:type="pct"/>
            <w:tcBorders>
              <w:top w:val="nil"/>
              <w:left w:val="nil"/>
              <w:bottom w:val="nil"/>
              <w:right w:val="nil"/>
            </w:tcBorders>
            <w:tcMar>
              <w:left w:w="0" w:type="dxa"/>
              <w:right w:w="198" w:type="dxa"/>
            </w:tcMar>
            <w:vAlign w:val="center"/>
          </w:tcPr>
          <w:p w14:paraId="398F1741" w14:textId="5A3FCDCC"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-2,9%</w:t>
            </w:r>
          </w:p>
        </w:tc>
      </w:tr>
      <w:tr w:rsidR="00A47ED6" w14:paraId="7472FB1E" w14:textId="77777777" w:rsidTr="007E47D0">
        <w:trPr>
          <w:trHeight w:val="397"/>
          <w:jc w:val="center"/>
        </w:trPr>
        <w:tc>
          <w:tcPr>
            <w:tcW w:w="0" w:type="auto"/>
            <w:vMerge/>
            <w:tcBorders>
              <w:top w:val="single" w:sz="8" w:space="0" w:color="4F81BD"/>
              <w:left w:val="nil"/>
              <w:bottom w:val="nil"/>
              <w:right w:val="nil"/>
            </w:tcBorders>
            <w:vAlign w:val="center"/>
            <w:hideMark/>
          </w:tcPr>
          <w:p w14:paraId="4B281CC7"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nil"/>
              <w:right w:val="nil"/>
            </w:tcBorders>
            <w:vAlign w:val="center"/>
            <w:hideMark/>
          </w:tcPr>
          <w:p w14:paraId="5CE4DD13" w14:textId="77777777" w:rsidR="00A47ED6" w:rsidRDefault="00A47ED6" w:rsidP="00A47ED6">
            <w:pPr>
              <w:ind w:right="144"/>
              <w:rPr>
                <w:rFonts w:ascii="Verdana" w:eastAsia="Malgun Gothic" w:hAnsi="Verdana" w:cs="Arial"/>
                <w:color w:val="365F91"/>
                <w:sz w:val="18"/>
                <w:szCs w:val="18"/>
              </w:rPr>
            </w:pPr>
            <w:r>
              <w:rPr>
                <w:rFonts w:ascii="Verdana" w:eastAsia="Malgun Gothic" w:hAnsi="Verdana" w:cs="Arial"/>
                <w:color w:val="365F91"/>
                <w:sz w:val="18"/>
                <w:szCs w:val="18"/>
                <w:lang w:val="el-GR"/>
              </w:rPr>
              <w:t>Έκτα</w:t>
            </w:r>
            <w:r>
              <w:rPr>
                <w:rFonts w:ascii="Verdana" w:eastAsia="Malgun Gothic" w:hAnsi="Verdana" w:cs="Arial"/>
                <w:color w:val="365F91"/>
                <w:sz w:val="18"/>
                <w:szCs w:val="18"/>
              </w:rPr>
              <w:t>κτοι</w:t>
            </w:r>
          </w:p>
        </w:tc>
        <w:tc>
          <w:tcPr>
            <w:tcW w:w="596" w:type="pct"/>
            <w:tcBorders>
              <w:top w:val="nil"/>
              <w:left w:val="nil"/>
              <w:bottom w:val="nil"/>
              <w:right w:val="nil"/>
            </w:tcBorders>
            <w:tcMar>
              <w:right w:w="227" w:type="dxa"/>
            </w:tcMar>
            <w:vAlign w:val="center"/>
          </w:tcPr>
          <w:p w14:paraId="5302197D" w14:textId="57DC5255" w:rsidR="00A47ED6" w:rsidRDefault="00A47ED6" w:rsidP="00A47ED6">
            <w:pPr>
              <w:jc w:val="right"/>
              <w:rPr>
                <w:rFonts w:ascii="Verdana" w:hAnsi="Verdana"/>
                <w:color w:val="365F91"/>
                <w:sz w:val="18"/>
                <w:szCs w:val="18"/>
              </w:rPr>
            </w:pPr>
            <w:r>
              <w:rPr>
                <w:rFonts w:ascii="Verdana" w:hAnsi="Verdana" w:cs="Calibri"/>
                <w:color w:val="365F91"/>
                <w:sz w:val="18"/>
                <w:szCs w:val="18"/>
              </w:rPr>
              <w:t>7.029</w:t>
            </w:r>
          </w:p>
        </w:tc>
        <w:tc>
          <w:tcPr>
            <w:tcW w:w="582" w:type="pct"/>
            <w:tcBorders>
              <w:top w:val="nil"/>
              <w:left w:val="nil"/>
              <w:bottom w:val="nil"/>
              <w:right w:val="nil"/>
            </w:tcBorders>
            <w:tcMar>
              <w:right w:w="255" w:type="dxa"/>
            </w:tcMar>
            <w:vAlign w:val="center"/>
          </w:tcPr>
          <w:p w14:paraId="1298A65B" w14:textId="147A4AC8" w:rsidR="00A47ED6" w:rsidRDefault="00A47ED6" w:rsidP="00A47ED6">
            <w:pPr>
              <w:jc w:val="right"/>
              <w:rPr>
                <w:rFonts w:ascii="Verdana" w:hAnsi="Verdana"/>
                <w:color w:val="365F91"/>
                <w:sz w:val="18"/>
                <w:szCs w:val="18"/>
              </w:rPr>
            </w:pPr>
            <w:r>
              <w:rPr>
                <w:rFonts w:ascii="Verdana" w:hAnsi="Verdana" w:cs="Calibri"/>
                <w:color w:val="365F91"/>
                <w:sz w:val="18"/>
                <w:szCs w:val="18"/>
              </w:rPr>
              <w:t>7.371</w:t>
            </w:r>
          </w:p>
        </w:tc>
        <w:tc>
          <w:tcPr>
            <w:tcW w:w="584" w:type="pct"/>
            <w:tcBorders>
              <w:top w:val="nil"/>
              <w:left w:val="nil"/>
              <w:bottom w:val="nil"/>
              <w:right w:val="single" w:sz="8" w:space="0" w:color="4F81BD"/>
            </w:tcBorders>
            <w:tcMar>
              <w:right w:w="255" w:type="dxa"/>
            </w:tcMar>
            <w:vAlign w:val="center"/>
          </w:tcPr>
          <w:p w14:paraId="0532B1A7" w14:textId="6544378B" w:rsidR="00A47ED6" w:rsidRDefault="00A47ED6" w:rsidP="00A47ED6">
            <w:pPr>
              <w:jc w:val="right"/>
              <w:rPr>
                <w:rFonts w:ascii="Verdana" w:hAnsi="Verdana"/>
                <w:color w:val="365F91"/>
                <w:sz w:val="18"/>
                <w:szCs w:val="18"/>
              </w:rPr>
            </w:pPr>
            <w:r>
              <w:rPr>
                <w:rFonts w:ascii="Verdana" w:hAnsi="Verdana" w:cs="Calibri"/>
                <w:color w:val="365F91"/>
                <w:sz w:val="18"/>
                <w:szCs w:val="18"/>
              </w:rPr>
              <w:t>7.424</w:t>
            </w:r>
          </w:p>
        </w:tc>
        <w:tc>
          <w:tcPr>
            <w:tcW w:w="151" w:type="pct"/>
            <w:tcBorders>
              <w:top w:val="nil"/>
              <w:left w:val="single" w:sz="8" w:space="0" w:color="4F81BD"/>
              <w:bottom w:val="nil"/>
              <w:right w:val="nil"/>
            </w:tcBorders>
            <w:vAlign w:val="center"/>
          </w:tcPr>
          <w:p w14:paraId="04D5F6D0" w14:textId="606DA1BA"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nil"/>
              <w:right w:val="nil"/>
            </w:tcBorders>
            <w:tcMar>
              <w:right w:w="142" w:type="dxa"/>
            </w:tcMar>
            <w:vAlign w:val="center"/>
          </w:tcPr>
          <w:p w14:paraId="1F6A444F" w14:textId="4E7B5032"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0,7%</w:t>
            </w:r>
          </w:p>
        </w:tc>
        <w:tc>
          <w:tcPr>
            <w:tcW w:w="750" w:type="pct"/>
            <w:tcBorders>
              <w:top w:val="nil"/>
              <w:left w:val="nil"/>
              <w:bottom w:val="nil"/>
              <w:right w:val="nil"/>
            </w:tcBorders>
            <w:tcMar>
              <w:left w:w="0" w:type="dxa"/>
              <w:right w:w="198" w:type="dxa"/>
            </w:tcMar>
            <w:vAlign w:val="center"/>
          </w:tcPr>
          <w:p w14:paraId="4ACB4DC2" w14:textId="5211C120"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5,6%</w:t>
            </w:r>
          </w:p>
        </w:tc>
      </w:tr>
      <w:tr w:rsidR="00A47ED6" w14:paraId="2B9940A6" w14:textId="77777777" w:rsidTr="007E47D0">
        <w:trPr>
          <w:trHeight w:val="397"/>
          <w:jc w:val="center"/>
        </w:trPr>
        <w:tc>
          <w:tcPr>
            <w:tcW w:w="1104" w:type="pct"/>
            <w:vMerge w:val="restart"/>
            <w:tcBorders>
              <w:top w:val="nil"/>
              <w:left w:val="nil"/>
              <w:bottom w:val="nil"/>
              <w:right w:val="nil"/>
            </w:tcBorders>
            <w:hideMark/>
          </w:tcPr>
          <w:p w14:paraId="7A18A076" w14:textId="77777777" w:rsidR="00A47ED6" w:rsidRDefault="00A47ED6" w:rsidP="00A47ED6">
            <w:pPr>
              <w:rPr>
                <w:rFonts w:ascii="Verdana" w:eastAsia="Malgun Gothic" w:hAnsi="Verdana" w:cs="Arial"/>
                <w:b/>
                <w:bCs/>
                <w:color w:val="365F91"/>
                <w:sz w:val="18"/>
                <w:szCs w:val="18"/>
                <w:u w:val="single"/>
                <w:lang w:val="el-GR"/>
              </w:rPr>
            </w:pPr>
            <w:r>
              <w:rPr>
                <w:rFonts w:ascii="Verdana" w:eastAsia="Malgun Gothic" w:hAnsi="Verdana" w:cs="Arial"/>
                <w:b/>
                <w:bCs/>
                <w:color w:val="365F91"/>
                <w:sz w:val="18"/>
                <w:szCs w:val="18"/>
                <w:u w:val="single"/>
                <w:lang w:val="el-GR"/>
              </w:rPr>
              <w:t>Εκπαιδευτική Υπηρεσία</w:t>
            </w:r>
          </w:p>
        </w:tc>
        <w:tc>
          <w:tcPr>
            <w:tcW w:w="672" w:type="pct"/>
            <w:tcBorders>
              <w:top w:val="nil"/>
              <w:left w:val="nil"/>
              <w:bottom w:val="nil"/>
              <w:right w:val="nil"/>
            </w:tcBorders>
            <w:vAlign w:val="center"/>
            <w:hideMark/>
          </w:tcPr>
          <w:p w14:paraId="1DD0C4BB" w14:textId="77777777" w:rsidR="00A47ED6" w:rsidRDefault="00A47ED6" w:rsidP="00A47ED6">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96" w:type="pct"/>
            <w:tcBorders>
              <w:top w:val="nil"/>
              <w:left w:val="nil"/>
              <w:bottom w:val="nil"/>
              <w:right w:val="nil"/>
            </w:tcBorders>
            <w:tcMar>
              <w:right w:w="227" w:type="dxa"/>
            </w:tcMar>
            <w:vAlign w:val="center"/>
          </w:tcPr>
          <w:p w14:paraId="6D180921" w14:textId="1B44CBF4"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15.530</w:t>
            </w:r>
          </w:p>
        </w:tc>
        <w:tc>
          <w:tcPr>
            <w:tcW w:w="582" w:type="pct"/>
            <w:tcBorders>
              <w:top w:val="nil"/>
              <w:left w:val="nil"/>
              <w:bottom w:val="nil"/>
              <w:right w:val="nil"/>
            </w:tcBorders>
            <w:tcMar>
              <w:right w:w="255" w:type="dxa"/>
            </w:tcMar>
            <w:vAlign w:val="center"/>
          </w:tcPr>
          <w:p w14:paraId="4E2336F7" w14:textId="774FC0C5"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15.349</w:t>
            </w:r>
          </w:p>
        </w:tc>
        <w:tc>
          <w:tcPr>
            <w:tcW w:w="584" w:type="pct"/>
            <w:tcBorders>
              <w:top w:val="nil"/>
              <w:left w:val="nil"/>
              <w:bottom w:val="nil"/>
              <w:right w:val="single" w:sz="8" w:space="0" w:color="4F81BD"/>
            </w:tcBorders>
            <w:tcMar>
              <w:right w:w="255" w:type="dxa"/>
            </w:tcMar>
            <w:vAlign w:val="center"/>
          </w:tcPr>
          <w:p w14:paraId="380084DD" w14:textId="1659B818"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15.433</w:t>
            </w:r>
          </w:p>
        </w:tc>
        <w:tc>
          <w:tcPr>
            <w:tcW w:w="151" w:type="pct"/>
            <w:tcBorders>
              <w:top w:val="nil"/>
              <w:left w:val="single" w:sz="8" w:space="0" w:color="4F81BD"/>
              <w:bottom w:val="nil"/>
              <w:right w:val="nil"/>
            </w:tcBorders>
            <w:vAlign w:val="center"/>
          </w:tcPr>
          <w:p w14:paraId="06F5D1AE" w14:textId="6E26B199"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 </w:t>
            </w:r>
          </w:p>
        </w:tc>
        <w:tc>
          <w:tcPr>
            <w:tcW w:w="626" w:type="pct"/>
            <w:tcBorders>
              <w:top w:val="nil"/>
              <w:left w:val="nil"/>
              <w:bottom w:val="nil"/>
              <w:right w:val="nil"/>
            </w:tcBorders>
            <w:tcMar>
              <w:right w:w="142" w:type="dxa"/>
            </w:tcMar>
            <w:vAlign w:val="center"/>
          </w:tcPr>
          <w:p w14:paraId="1F79A6F4" w14:textId="678B2D51"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0,5%</w:t>
            </w:r>
          </w:p>
        </w:tc>
        <w:tc>
          <w:tcPr>
            <w:tcW w:w="750" w:type="pct"/>
            <w:tcBorders>
              <w:top w:val="nil"/>
              <w:left w:val="nil"/>
              <w:bottom w:val="nil"/>
              <w:right w:val="nil"/>
            </w:tcBorders>
            <w:tcMar>
              <w:left w:w="0" w:type="dxa"/>
              <w:right w:w="198" w:type="dxa"/>
            </w:tcMar>
            <w:vAlign w:val="center"/>
          </w:tcPr>
          <w:p w14:paraId="19068E99" w14:textId="4885DCE2"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-0,6%</w:t>
            </w:r>
          </w:p>
        </w:tc>
      </w:tr>
      <w:tr w:rsidR="00A47ED6" w14:paraId="6502FC42" w14:textId="77777777" w:rsidTr="007E47D0">
        <w:trPr>
          <w:trHeight w:val="397"/>
          <w:jc w:val="center"/>
        </w:trPr>
        <w:tc>
          <w:tcPr>
            <w:tcW w:w="0" w:type="auto"/>
            <w:vMerge/>
            <w:tcBorders>
              <w:top w:val="nil"/>
              <w:left w:val="nil"/>
              <w:bottom w:val="nil"/>
              <w:right w:val="nil"/>
            </w:tcBorders>
            <w:vAlign w:val="center"/>
            <w:hideMark/>
          </w:tcPr>
          <w:p w14:paraId="3151FB92"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nil"/>
              <w:right w:val="nil"/>
            </w:tcBorders>
            <w:vAlign w:val="center"/>
            <w:hideMark/>
          </w:tcPr>
          <w:p w14:paraId="312CCCA8" w14:textId="77777777" w:rsidR="00A47ED6" w:rsidRDefault="00A47ED6" w:rsidP="00A47ED6">
            <w:pPr>
              <w:ind w:right="144"/>
              <w:rPr>
                <w:rFonts w:ascii="Verdana" w:eastAsia="Malgun Gothic" w:hAnsi="Verdana" w:cs="Arial"/>
                <w:color w:val="365F91"/>
                <w:sz w:val="18"/>
                <w:szCs w:val="18"/>
              </w:rPr>
            </w:pPr>
            <w:r>
              <w:rPr>
                <w:rFonts w:ascii="Verdana" w:eastAsia="Malgun Gothic" w:hAnsi="Verdana" w:cs="Arial"/>
                <w:color w:val="365F91"/>
                <w:sz w:val="18"/>
                <w:szCs w:val="18"/>
              </w:rPr>
              <w:t>Μόνιμοι</w:t>
            </w:r>
          </w:p>
        </w:tc>
        <w:tc>
          <w:tcPr>
            <w:tcW w:w="596" w:type="pct"/>
            <w:tcBorders>
              <w:top w:val="nil"/>
              <w:left w:val="nil"/>
              <w:bottom w:val="nil"/>
              <w:right w:val="nil"/>
            </w:tcBorders>
            <w:tcMar>
              <w:right w:w="227" w:type="dxa"/>
            </w:tcMar>
            <w:vAlign w:val="center"/>
          </w:tcPr>
          <w:p w14:paraId="1EB420D9" w14:textId="535A8067" w:rsidR="00A47ED6" w:rsidRDefault="00A47ED6" w:rsidP="00A47ED6">
            <w:pPr>
              <w:jc w:val="right"/>
              <w:rPr>
                <w:rFonts w:ascii="Verdana" w:hAnsi="Verdana"/>
                <w:color w:val="365F91"/>
                <w:sz w:val="18"/>
                <w:szCs w:val="18"/>
              </w:rPr>
            </w:pPr>
            <w:r>
              <w:rPr>
                <w:rFonts w:ascii="Verdana" w:hAnsi="Verdana" w:cs="Calibri"/>
                <w:color w:val="365F91"/>
                <w:sz w:val="18"/>
                <w:szCs w:val="18"/>
              </w:rPr>
              <w:t>9.108</w:t>
            </w:r>
          </w:p>
        </w:tc>
        <w:tc>
          <w:tcPr>
            <w:tcW w:w="582" w:type="pct"/>
            <w:tcBorders>
              <w:top w:val="nil"/>
              <w:left w:val="nil"/>
              <w:bottom w:val="nil"/>
              <w:right w:val="nil"/>
            </w:tcBorders>
            <w:tcMar>
              <w:right w:w="255" w:type="dxa"/>
            </w:tcMar>
            <w:vAlign w:val="center"/>
          </w:tcPr>
          <w:p w14:paraId="7F5CFA2C" w14:textId="6AA4D06E" w:rsidR="00A47ED6" w:rsidRDefault="00A47ED6" w:rsidP="00A47ED6">
            <w:pPr>
              <w:jc w:val="right"/>
              <w:rPr>
                <w:rFonts w:ascii="Verdana" w:hAnsi="Verdana"/>
                <w:color w:val="365F91"/>
                <w:sz w:val="18"/>
                <w:szCs w:val="18"/>
              </w:rPr>
            </w:pPr>
            <w:r>
              <w:rPr>
                <w:rFonts w:ascii="Verdana" w:hAnsi="Verdana" w:cs="Calibri"/>
                <w:color w:val="365F91"/>
                <w:sz w:val="18"/>
                <w:szCs w:val="18"/>
              </w:rPr>
              <w:t>8.849</w:t>
            </w:r>
          </w:p>
        </w:tc>
        <w:tc>
          <w:tcPr>
            <w:tcW w:w="584" w:type="pct"/>
            <w:tcBorders>
              <w:top w:val="nil"/>
              <w:left w:val="nil"/>
              <w:bottom w:val="nil"/>
              <w:right w:val="single" w:sz="8" w:space="0" w:color="4F81BD"/>
            </w:tcBorders>
            <w:tcMar>
              <w:right w:w="255" w:type="dxa"/>
            </w:tcMar>
            <w:vAlign w:val="center"/>
          </w:tcPr>
          <w:p w14:paraId="2CF665EB" w14:textId="6B4B79E8" w:rsidR="00A47ED6" w:rsidRDefault="00A47ED6" w:rsidP="00A47ED6">
            <w:pPr>
              <w:jc w:val="right"/>
              <w:rPr>
                <w:rFonts w:ascii="Verdana" w:hAnsi="Verdana"/>
                <w:color w:val="365F91"/>
                <w:sz w:val="18"/>
                <w:szCs w:val="18"/>
              </w:rPr>
            </w:pPr>
            <w:r>
              <w:rPr>
                <w:rFonts w:ascii="Verdana" w:hAnsi="Verdana" w:cs="Calibri"/>
                <w:color w:val="365F91"/>
                <w:sz w:val="18"/>
                <w:szCs w:val="18"/>
              </w:rPr>
              <w:t>8.843</w:t>
            </w:r>
          </w:p>
        </w:tc>
        <w:tc>
          <w:tcPr>
            <w:tcW w:w="151" w:type="pct"/>
            <w:tcBorders>
              <w:top w:val="nil"/>
              <w:left w:val="single" w:sz="8" w:space="0" w:color="4F81BD"/>
              <w:bottom w:val="nil"/>
              <w:right w:val="nil"/>
            </w:tcBorders>
            <w:vAlign w:val="center"/>
          </w:tcPr>
          <w:p w14:paraId="03B0ACA3" w14:textId="4C9964DD"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nil"/>
              <w:right w:val="nil"/>
            </w:tcBorders>
            <w:tcMar>
              <w:right w:w="142" w:type="dxa"/>
            </w:tcMar>
            <w:vAlign w:val="center"/>
          </w:tcPr>
          <w:p w14:paraId="2BDB8889" w14:textId="4F2B3E87"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-0,1%</w:t>
            </w:r>
          </w:p>
        </w:tc>
        <w:tc>
          <w:tcPr>
            <w:tcW w:w="750" w:type="pct"/>
            <w:tcBorders>
              <w:top w:val="nil"/>
              <w:left w:val="nil"/>
              <w:bottom w:val="nil"/>
              <w:right w:val="nil"/>
            </w:tcBorders>
            <w:tcMar>
              <w:left w:w="0" w:type="dxa"/>
              <w:right w:w="198" w:type="dxa"/>
            </w:tcMar>
            <w:vAlign w:val="center"/>
          </w:tcPr>
          <w:p w14:paraId="2011C6C3" w14:textId="35779233"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-2,9%</w:t>
            </w:r>
          </w:p>
        </w:tc>
      </w:tr>
      <w:tr w:rsidR="00A47ED6" w14:paraId="7DF764CD" w14:textId="77777777" w:rsidTr="007E47D0">
        <w:trPr>
          <w:trHeight w:val="397"/>
          <w:jc w:val="center"/>
        </w:trPr>
        <w:tc>
          <w:tcPr>
            <w:tcW w:w="0" w:type="auto"/>
            <w:vMerge/>
            <w:tcBorders>
              <w:top w:val="nil"/>
              <w:left w:val="nil"/>
              <w:bottom w:val="nil"/>
              <w:right w:val="nil"/>
            </w:tcBorders>
            <w:vAlign w:val="center"/>
            <w:hideMark/>
          </w:tcPr>
          <w:p w14:paraId="3E944C83"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nil"/>
              <w:right w:val="nil"/>
            </w:tcBorders>
            <w:vAlign w:val="center"/>
            <w:hideMark/>
          </w:tcPr>
          <w:p w14:paraId="5A4823F1" w14:textId="77777777" w:rsidR="00A47ED6" w:rsidRDefault="00A47ED6" w:rsidP="00A47ED6">
            <w:pPr>
              <w:ind w:right="144"/>
              <w:rPr>
                <w:rFonts w:ascii="Verdana" w:eastAsia="Malgun Gothic" w:hAnsi="Verdana" w:cs="Arial"/>
                <w:color w:val="365F91"/>
                <w:sz w:val="18"/>
                <w:szCs w:val="18"/>
              </w:rPr>
            </w:pPr>
            <w:r>
              <w:rPr>
                <w:rFonts w:ascii="Verdana" w:eastAsia="Malgun Gothic" w:hAnsi="Verdana" w:cs="Arial"/>
                <w:color w:val="365F91"/>
                <w:sz w:val="18"/>
                <w:szCs w:val="18"/>
              </w:rPr>
              <w:t>Έκτακτοι</w:t>
            </w:r>
          </w:p>
        </w:tc>
        <w:tc>
          <w:tcPr>
            <w:tcW w:w="596" w:type="pct"/>
            <w:tcBorders>
              <w:top w:val="nil"/>
              <w:left w:val="nil"/>
              <w:bottom w:val="nil"/>
              <w:right w:val="nil"/>
            </w:tcBorders>
            <w:tcMar>
              <w:right w:w="227" w:type="dxa"/>
            </w:tcMar>
            <w:vAlign w:val="center"/>
          </w:tcPr>
          <w:p w14:paraId="1C97B30A" w14:textId="29CD0844" w:rsidR="00A47ED6" w:rsidRDefault="00A47ED6" w:rsidP="00A47ED6">
            <w:pPr>
              <w:jc w:val="right"/>
              <w:rPr>
                <w:rFonts w:ascii="Verdana" w:hAnsi="Verdana"/>
                <w:color w:val="365F91"/>
                <w:sz w:val="18"/>
                <w:szCs w:val="18"/>
              </w:rPr>
            </w:pPr>
            <w:r>
              <w:rPr>
                <w:rFonts w:ascii="Verdana" w:hAnsi="Verdana" w:cs="Calibri"/>
                <w:color w:val="365F91"/>
                <w:sz w:val="18"/>
                <w:szCs w:val="18"/>
              </w:rPr>
              <w:t>6.422</w:t>
            </w:r>
          </w:p>
        </w:tc>
        <w:tc>
          <w:tcPr>
            <w:tcW w:w="582" w:type="pct"/>
            <w:tcBorders>
              <w:top w:val="nil"/>
              <w:left w:val="nil"/>
              <w:bottom w:val="nil"/>
              <w:right w:val="nil"/>
            </w:tcBorders>
            <w:tcMar>
              <w:right w:w="255" w:type="dxa"/>
            </w:tcMar>
            <w:vAlign w:val="center"/>
          </w:tcPr>
          <w:p w14:paraId="02BC3BFC" w14:textId="02CC1F1E" w:rsidR="00A47ED6" w:rsidRDefault="00A47ED6" w:rsidP="00A47ED6">
            <w:pPr>
              <w:jc w:val="right"/>
              <w:rPr>
                <w:rFonts w:ascii="Verdana" w:hAnsi="Verdana"/>
                <w:color w:val="365F91"/>
                <w:sz w:val="18"/>
                <w:szCs w:val="18"/>
              </w:rPr>
            </w:pPr>
            <w:r>
              <w:rPr>
                <w:rFonts w:ascii="Verdana" w:hAnsi="Verdana" w:cs="Calibri"/>
                <w:color w:val="365F91"/>
                <w:sz w:val="18"/>
                <w:szCs w:val="18"/>
              </w:rPr>
              <w:t>6.500</w:t>
            </w:r>
          </w:p>
        </w:tc>
        <w:tc>
          <w:tcPr>
            <w:tcW w:w="584" w:type="pct"/>
            <w:tcBorders>
              <w:top w:val="nil"/>
              <w:left w:val="nil"/>
              <w:bottom w:val="nil"/>
              <w:right w:val="single" w:sz="8" w:space="0" w:color="4F81BD"/>
            </w:tcBorders>
            <w:tcMar>
              <w:right w:w="255" w:type="dxa"/>
            </w:tcMar>
            <w:vAlign w:val="center"/>
          </w:tcPr>
          <w:p w14:paraId="0A55F29D" w14:textId="03D3D6B8" w:rsidR="00A47ED6" w:rsidRDefault="00A47ED6" w:rsidP="00A47ED6">
            <w:pPr>
              <w:jc w:val="right"/>
              <w:rPr>
                <w:rFonts w:ascii="Verdana" w:hAnsi="Verdana"/>
                <w:color w:val="365F91"/>
                <w:sz w:val="18"/>
                <w:szCs w:val="18"/>
              </w:rPr>
            </w:pPr>
            <w:r>
              <w:rPr>
                <w:rFonts w:ascii="Verdana" w:hAnsi="Verdana" w:cs="Calibri"/>
                <w:color w:val="365F91"/>
                <w:sz w:val="18"/>
                <w:szCs w:val="18"/>
              </w:rPr>
              <w:t>6.590</w:t>
            </w:r>
          </w:p>
        </w:tc>
        <w:tc>
          <w:tcPr>
            <w:tcW w:w="151" w:type="pct"/>
            <w:tcBorders>
              <w:top w:val="nil"/>
              <w:left w:val="single" w:sz="8" w:space="0" w:color="4F81BD"/>
              <w:bottom w:val="nil"/>
              <w:right w:val="nil"/>
            </w:tcBorders>
            <w:vAlign w:val="center"/>
          </w:tcPr>
          <w:p w14:paraId="1E493021" w14:textId="00E02CF4"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nil"/>
              <w:right w:val="nil"/>
            </w:tcBorders>
            <w:tcMar>
              <w:right w:w="142" w:type="dxa"/>
            </w:tcMar>
            <w:vAlign w:val="center"/>
          </w:tcPr>
          <w:p w14:paraId="78C82A35" w14:textId="4D96B2B7"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1,4%</w:t>
            </w:r>
          </w:p>
        </w:tc>
        <w:tc>
          <w:tcPr>
            <w:tcW w:w="750" w:type="pct"/>
            <w:tcBorders>
              <w:top w:val="nil"/>
              <w:left w:val="nil"/>
              <w:bottom w:val="nil"/>
              <w:right w:val="nil"/>
            </w:tcBorders>
            <w:tcMar>
              <w:left w:w="0" w:type="dxa"/>
              <w:right w:w="198" w:type="dxa"/>
            </w:tcMar>
            <w:vAlign w:val="center"/>
          </w:tcPr>
          <w:p w14:paraId="3208281B" w14:textId="6BD372D7"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2,6%</w:t>
            </w:r>
          </w:p>
        </w:tc>
      </w:tr>
      <w:tr w:rsidR="00A47ED6" w14:paraId="68A19885" w14:textId="77777777" w:rsidTr="007E47D0">
        <w:trPr>
          <w:trHeight w:val="397"/>
          <w:jc w:val="center"/>
        </w:trPr>
        <w:tc>
          <w:tcPr>
            <w:tcW w:w="1104" w:type="pct"/>
            <w:vMerge w:val="restart"/>
            <w:tcBorders>
              <w:top w:val="nil"/>
              <w:left w:val="nil"/>
              <w:bottom w:val="single" w:sz="8" w:space="0" w:color="4F81BD"/>
              <w:right w:val="nil"/>
            </w:tcBorders>
            <w:hideMark/>
          </w:tcPr>
          <w:p w14:paraId="16E31A3D" w14:textId="77777777" w:rsidR="00A47ED6" w:rsidRDefault="00A47ED6" w:rsidP="00A47ED6">
            <w:pPr>
              <w:rPr>
                <w:rFonts w:ascii="Verdana" w:eastAsia="Malgun Gothic" w:hAnsi="Verdana" w:cs="Arial"/>
                <w:b/>
                <w:bCs/>
                <w:color w:val="365F91"/>
                <w:sz w:val="18"/>
                <w:szCs w:val="18"/>
                <w:u w:val="single"/>
                <w:lang w:val="el-GR"/>
              </w:rPr>
            </w:pPr>
            <w:r>
              <w:rPr>
                <w:rFonts w:ascii="Verdana" w:eastAsia="Malgun Gothic" w:hAnsi="Verdana" w:cs="Arial"/>
                <w:b/>
                <w:bCs/>
                <w:color w:val="365F91"/>
                <w:sz w:val="18"/>
                <w:szCs w:val="18"/>
                <w:u w:val="single"/>
                <w:lang w:val="el-GR"/>
              </w:rPr>
              <w:t>Δυνάμεις Ασφαλείας</w:t>
            </w:r>
          </w:p>
        </w:tc>
        <w:tc>
          <w:tcPr>
            <w:tcW w:w="672" w:type="pct"/>
            <w:tcBorders>
              <w:top w:val="nil"/>
              <w:left w:val="nil"/>
              <w:bottom w:val="nil"/>
              <w:right w:val="nil"/>
            </w:tcBorders>
            <w:vAlign w:val="center"/>
            <w:hideMark/>
          </w:tcPr>
          <w:p w14:paraId="2172631D" w14:textId="77777777" w:rsidR="00A47ED6" w:rsidRDefault="00A47ED6" w:rsidP="00A47ED6">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96" w:type="pct"/>
            <w:tcBorders>
              <w:top w:val="nil"/>
              <w:left w:val="nil"/>
              <w:bottom w:val="nil"/>
              <w:right w:val="nil"/>
            </w:tcBorders>
            <w:tcMar>
              <w:right w:w="227" w:type="dxa"/>
            </w:tcMar>
            <w:vAlign w:val="center"/>
          </w:tcPr>
          <w:p w14:paraId="3C5117EB" w14:textId="7FF6A59E"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12.709</w:t>
            </w:r>
          </w:p>
        </w:tc>
        <w:tc>
          <w:tcPr>
            <w:tcW w:w="582" w:type="pct"/>
            <w:tcBorders>
              <w:top w:val="nil"/>
              <w:left w:val="nil"/>
              <w:bottom w:val="nil"/>
              <w:right w:val="nil"/>
            </w:tcBorders>
            <w:tcMar>
              <w:right w:w="255" w:type="dxa"/>
            </w:tcMar>
            <w:vAlign w:val="center"/>
          </w:tcPr>
          <w:p w14:paraId="0E0F57AF" w14:textId="16D95209"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12.718</w:t>
            </w:r>
          </w:p>
        </w:tc>
        <w:tc>
          <w:tcPr>
            <w:tcW w:w="584" w:type="pct"/>
            <w:tcBorders>
              <w:top w:val="nil"/>
              <w:left w:val="nil"/>
              <w:bottom w:val="nil"/>
              <w:right w:val="single" w:sz="8" w:space="0" w:color="4F81BD"/>
            </w:tcBorders>
            <w:tcMar>
              <w:right w:w="255" w:type="dxa"/>
            </w:tcMar>
            <w:vAlign w:val="center"/>
          </w:tcPr>
          <w:p w14:paraId="7DA388B9" w14:textId="1511D0BE"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12.880</w:t>
            </w:r>
          </w:p>
        </w:tc>
        <w:tc>
          <w:tcPr>
            <w:tcW w:w="151" w:type="pct"/>
            <w:tcBorders>
              <w:top w:val="nil"/>
              <w:left w:val="single" w:sz="8" w:space="0" w:color="4F81BD"/>
              <w:bottom w:val="nil"/>
              <w:right w:val="nil"/>
            </w:tcBorders>
            <w:vAlign w:val="center"/>
          </w:tcPr>
          <w:p w14:paraId="05C10B3C" w14:textId="795F92B1"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 </w:t>
            </w:r>
          </w:p>
        </w:tc>
        <w:tc>
          <w:tcPr>
            <w:tcW w:w="626" w:type="pct"/>
            <w:tcBorders>
              <w:top w:val="nil"/>
              <w:left w:val="nil"/>
              <w:bottom w:val="nil"/>
              <w:right w:val="nil"/>
            </w:tcBorders>
            <w:tcMar>
              <w:right w:w="142" w:type="dxa"/>
            </w:tcMar>
            <w:vAlign w:val="center"/>
          </w:tcPr>
          <w:p w14:paraId="59D8B12C" w14:textId="1E33A233"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1,3%</w:t>
            </w:r>
          </w:p>
        </w:tc>
        <w:tc>
          <w:tcPr>
            <w:tcW w:w="750" w:type="pct"/>
            <w:tcBorders>
              <w:top w:val="nil"/>
              <w:left w:val="nil"/>
              <w:bottom w:val="nil"/>
              <w:right w:val="nil"/>
            </w:tcBorders>
            <w:tcMar>
              <w:left w:w="0" w:type="dxa"/>
              <w:right w:w="198" w:type="dxa"/>
            </w:tcMar>
            <w:vAlign w:val="center"/>
          </w:tcPr>
          <w:p w14:paraId="6911BD8C" w14:textId="2923C7DB"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1,3%</w:t>
            </w:r>
          </w:p>
        </w:tc>
      </w:tr>
      <w:tr w:rsidR="00A47ED6" w14:paraId="4332592A" w14:textId="77777777" w:rsidTr="007E47D0">
        <w:trPr>
          <w:trHeight w:val="397"/>
          <w:jc w:val="center"/>
        </w:trPr>
        <w:tc>
          <w:tcPr>
            <w:tcW w:w="0" w:type="auto"/>
            <w:vMerge/>
            <w:tcBorders>
              <w:top w:val="nil"/>
              <w:left w:val="nil"/>
              <w:bottom w:val="single" w:sz="8" w:space="0" w:color="4F81BD"/>
              <w:right w:val="nil"/>
            </w:tcBorders>
            <w:vAlign w:val="center"/>
            <w:hideMark/>
          </w:tcPr>
          <w:p w14:paraId="1A651F67"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nil"/>
              <w:right w:val="nil"/>
            </w:tcBorders>
            <w:vAlign w:val="center"/>
            <w:hideMark/>
          </w:tcPr>
          <w:p w14:paraId="34727A46" w14:textId="77777777" w:rsidR="00A47ED6" w:rsidRDefault="00A47ED6" w:rsidP="00A47ED6">
            <w:pPr>
              <w:ind w:right="144"/>
              <w:rPr>
                <w:rFonts w:ascii="Verdana" w:eastAsia="Malgun Gothic" w:hAnsi="Verdana" w:cs="Arial"/>
                <w:color w:val="365F91"/>
                <w:sz w:val="18"/>
                <w:szCs w:val="18"/>
              </w:rPr>
            </w:pPr>
            <w:r>
              <w:rPr>
                <w:rFonts w:ascii="Verdana" w:eastAsia="Malgun Gothic" w:hAnsi="Verdana" w:cs="Arial"/>
                <w:color w:val="365F91"/>
                <w:sz w:val="18"/>
                <w:szCs w:val="18"/>
              </w:rPr>
              <w:t>Μόνιμοι</w:t>
            </w:r>
          </w:p>
        </w:tc>
        <w:tc>
          <w:tcPr>
            <w:tcW w:w="596" w:type="pct"/>
            <w:tcBorders>
              <w:top w:val="nil"/>
              <w:left w:val="nil"/>
              <w:bottom w:val="nil"/>
              <w:right w:val="nil"/>
            </w:tcBorders>
            <w:tcMar>
              <w:right w:w="227" w:type="dxa"/>
            </w:tcMar>
            <w:vAlign w:val="center"/>
          </w:tcPr>
          <w:p w14:paraId="26C9B0B0" w14:textId="7111E47E" w:rsidR="00A47ED6" w:rsidRDefault="00A47ED6" w:rsidP="00A47ED6">
            <w:pPr>
              <w:jc w:val="right"/>
              <w:rPr>
                <w:rFonts w:ascii="Verdana" w:hAnsi="Verdana"/>
                <w:color w:val="365F91"/>
                <w:sz w:val="18"/>
                <w:szCs w:val="18"/>
              </w:rPr>
            </w:pPr>
            <w:r>
              <w:rPr>
                <w:rFonts w:ascii="Verdana" w:hAnsi="Verdana" w:cs="Calibri"/>
                <w:color w:val="365F91"/>
                <w:sz w:val="18"/>
                <w:szCs w:val="18"/>
              </w:rPr>
              <w:t>6.604</w:t>
            </w:r>
          </w:p>
        </w:tc>
        <w:tc>
          <w:tcPr>
            <w:tcW w:w="582" w:type="pct"/>
            <w:tcBorders>
              <w:top w:val="nil"/>
              <w:left w:val="nil"/>
              <w:bottom w:val="nil"/>
              <w:right w:val="nil"/>
            </w:tcBorders>
            <w:tcMar>
              <w:right w:w="255" w:type="dxa"/>
            </w:tcMar>
            <w:vAlign w:val="center"/>
          </w:tcPr>
          <w:p w14:paraId="228C20F0" w14:textId="4831394A" w:rsidR="00A47ED6" w:rsidRDefault="00A47ED6" w:rsidP="00A47ED6">
            <w:pPr>
              <w:jc w:val="right"/>
              <w:rPr>
                <w:rFonts w:ascii="Verdana" w:hAnsi="Verdana"/>
                <w:color w:val="365F91"/>
                <w:sz w:val="18"/>
                <w:szCs w:val="18"/>
              </w:rPr>
            </w:pPr>
            <w:r>
              <w:rPr>
                <w:rFonts w:ascii="Verdana" w:hAnsi="Verdana" w:cs="Calibri"/>
                <w:color w:val="365F91"/>
                <w:sz w:val="18"/>
                <w:szCs w:val="18"/>
              </w:rPr>
              <w:t>6.464</w:t>
            </w:r>
          </w:p>
        </w:tc>
        <w:tc>
          <w:tcPr>
            <w:tcW w:w="584" w:type="pct"/>
            <w:tcBorders>
              <w:top w:val="nil"/>
              <w:left w:val="nil"/>
              <w:bottom w:val="nil"/>
              <w:right w:val="single" w:sz="8" w:space="0" w:color="4F81BD"/>
            </w:tcBorders>
            <w:tcMar>
              <w:right w:w="255" w:type="dxa"/>
            </w:tcMar>
            <w:vAlign w:val="center"/>
          </w:tcPr>
          <w:p w14:paraId="74D85839" w14:textId="0F3804BC" w:rsidR="00A47ED6" w:rsidRDefault="00A47ED6" w:rsidP="00A47ED6">
            <w:pPr>
              <w:jc w:val="right"/>
              <w:rPr>
                <w:rFonts w:ascii="Verdana" w:hAnsi="Verdana"/>
                <w:color w:val="365F91"/>
                <w:sz w:val="18"/>
                <w:szCs w:val="18"/>
              </w:rPr>
            </w:pPr>
            <w:r>
              <w:rPr>
                <w:rFonts w:ascii="Verdana" w:hAnsi="Verdana" w:cs="Calibri"/>
                <w:color w:val="365F91"/>
                <w:sz w:val="18"/>
                <w:szCs w:val="18"/>
              </w:rPr>
              <w:t>6.445</w:t>
            </w:r>
          </w:p>
        </w:tc>
        <w:tc>
          <w:tcPr>
            <w:tcW w:w="151" w:type="pct"/>
            <w:tcBorders>
              <w:top w:val="nil"/>
              <w:left w:val="single" w:sz="8" w:space="0" w:color="4F81BD"/>
              <w:bottom w:val="nil"/>
              <w:right w:val="nil"/>
            </w:tcBorders>
            <w:vAlign w:val="center"/>
          </w:tcPr>
          <w:p w14:paraId="2ABD7606" w14:textId="52AB1482"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nil"/>
              <w:right w:val="nil"/>
            </w:tcBorders>
            <w:tcMar>
              <w:right w:w="142" w:type="dxa"/>
            </w:tcMar>
            <w:vAlign w:val="center"/>
          </w:tcPr>
          <w:p w14:paraId="41658CA3" w14:textId="65ADE565"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-0,3%</w:t>
            </w:r>
          </w:p>
        </w:tc>
        <w:tc>
          <w:tcPr>
            <w:tcW w:w="750" w:type="pct"/>
            <w:tcBorders>
              <w:top w:val="nil"/>
              <w:left w:val="nil"/>
              <w:bottom w:val="nil"/>
              <w:right w:val="nil"/>
            </w:tcBorders>
            <w:tcMar>
              <w:left w:w="0" w:type="dxa"/>
              <w:right w:w="198" w:type="dxa"/>
            </w:tcMar>
            <w:vAlign w:val="center"/>
          </w:tcPr>
          <w:p w14:paraId="6FD1157D" w14:textId="32FF1605"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-2,4%</w:t>
            </w:r>
          </w:p>
        </w:tc>
      </w:tr>
      <w:tr w:rsidR="00A47ED6" w14:paraId="710FED43" w14:textId="77777777" w:rsidTr="007E47D0">
        <w:trPr>
          <w:trHeight w:val="397"/>
          <w:jc w:val="center"/>
        </w:trPr>
        <w:tc>
          <w:tcPr>
            <w:tcW w:w="0" w:type="auto"/>
            <w:vMerge/>
            <w:tcBorders>
              <w:top w:val="nil"/>
              <w:left w:val="nil"/>
              <w:bottom w:val="single" w:sz="8" w:space="0" w:color="4F81BD"/>
              <w:right w:val="nil"/>
            </w:tcBorders>
            <w:vAlign w:val="center"/>
            <w:hideMark/>
          </w:tcPr>
          <w:p w14:paraId="7D938ABA"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single" w:sz="8" w:space="0" w:color="4F81BD"/>
              <w:right w:val="nil"/>
            </w:tcBorders>
            <w:vAlign w:val="center"/>
            <w:hideMark/>
          </w:tcPr>
          <w:p w14:paraId="203E060C" w14:textId="77777777" w:rsidR="00A47ED6" w:rsidRDefault="00A47ED6" w:rsidP="00A47ED6">
            <w:pPr>
              <w:ind w:right="144"/>
              <w:rPr>
                <w:rFonts w:ascii="Verdana" w:eastAsia="Malgun Gothic" w:hAnsi="Verdana" w:cs="Arial"/>
                <w:color w:val="365F91"/>
                <w:sz w:val="18"/>
                <w:szCs w:val="18"/>
              </w:rPr>
            </w:pPr>
            <w:r>
              <w:rPr>
                <w:rFonts w:ascii="Verdana" w:eastAsia="Malgun Gothic" w:hAnsi="Verdana" w:cs="Arial"/>
                <w:color w:val="365F91"/>
                <w:sz w:val="18"/>
                <w:szCs w:val="18"/>
              </w:rPr>
              <w:t>Έκτακτοι</w:t>
            </w:r>
          </w:p>
        </w:tc>
        <w:tc>
          <w:tcPr>
            <w:tcW w:w="596" w:type="pct"/>
            <w:tcBorders>
              <w:top w:val="nil"/>
              <w:left w:val="nil"/>
              <w:bottom w:val="single" w:sz="8" w:space="0" w:color="4F81BD"/>
              <w:right w:val="nil"/>
            </w:tcBorders>
            <w:tcMar>
              <w:right w:w="227" w:type="dxa"/>
            </w:tcMar>
            <w:vAlign w:val="center"/>
          </w:tcPr>
          <w:p w14:paraId="067AB33C" w14:textId="3BD15403" w:rsidR="00A47ED6" w:rsidRDefault="00A47ED6" w:rsidP="00A47ED6">
            <w:pPr>
              <w:jc w:val="right"/>
              <w:rPr>
                <w:rFonts w:ascii="Verdana" w:hAnsi="Verdana"/>
                <w:color w:val="365F91"/>
                <w:sz w:val="18"/>
                <w:szCs w:val="18"/>
              </w:rPr>
            </w:pPr>
            <w:r>
              <w:rPr>
                <w:rFonts w:ascii="Verdana" w:hAnsi="Verdana" w:cs="Calibri"/>
                <w:color w:val="365F91"/>
                <w:sz w:val="18"/>
                <w:szCs w:val="18"/>
              </w:rPr>
              <w:t>6.105</w:t>
            </w:r>
          </w:p>
        </w:tc>
        <w:tc>
          <w:tcPr>
            <w:tcW w:w="582" w:type="pct"/>
            <w:tcBorders>
              <w:top w:val="nil"/>
              <w:left w:val="nil"/>
              <w:bottom w:val="single" w:sz="8" w:space="0" w:color="4F81BD"/>
              <w:right w:val="nil"/>
            </w:tcBorders>
            <w:tcMar>
              <w:right w:w="255" w:type="dxa"/>
            </w:tcMar>
            <w:vAlign w:val="center"/>
          </w:tcPr>
          <w:p w14:paraId="2C3AB31B" w14:textId="1832FA8C" w:rsidR="00A47ED6" w:rsidRDefault="00A47ED6" w:rsidP="00A47ED6">
            <w:pPr>
              <w:jc w:val="right"/>
              <w:rPr>
                <w:rFonts w:ascii="Verdana" w:hAnsi="Verdana"/>
                <w:color w:val="365F91"/>
                <w:sz w:val="18"/>
                <w:szCs w:val="18"/>
              </w:rPr>
            </w:pPr>
            <w:r>
              <w:rPr>
                <w:rFonts w:ascii="Verdana" w:hAnsi="Verdana" w:cs="Calibri"/>
                <w:color w:val="365F91"/>
                <w:sz w:val="18"/>
                <w:szCs w:val="18"/>
              </w:rPr>
              <w:t>6.254</w:t>
            </w:r>
          </w:p>
        </w:tc>
        <w:tc>
          <w:tcPr>
            <w:tcW w:w="584" w:type="pct"/>
            <w:tcBorders>
              <w:top w:val="nil"/>
              <w:left w:val="nil"/>
              <w:bottom w:val="single" w:sz="8" w:space="0" w:color="4F81BD"/>
              <w:right w:val="single" w:sz="8" w:space="0" w:color="4F81BD"/>
            </w:tcBorders>
            <w:tcMar>
              <w:right w:w="255" w:type="dxa"/>
            </w:tcMar>
            <w:vAlign w:val="center"/>
          </w:tcPr>
          <w:p w14:paraId="62F5D006" w14:textId="20EFDBD4" w:rsidR="00A47ED6" w:rsidRDefault="00A47ED6" w:rsidP="00A47ED6">
            <w:pPr>
              <w:jc w:val="right"/>
              <w:rPr>
                <w:rFonts w:ascii="Verdana" w:hAnsi="Verdana"/>
                <w:color w:val="365F91"/>
                <w:sz w:val="18"/>
                <w:szCs w:val="18"/>
              </w:rPr>
            </w:pPr>
            <w:r>
              <w:rPr>
                <w:rFonts w:ascii="Verdana" w:hAnsi="Verdana" w:cs="Calibri"/>
                <w:color w:val="365F91"/>
                <w:sz w:val="18"/>
                <w:szCs w:val="18"/>
              </w:rPr>
              <w:t>6.435</w:t>
            </w:r>
          </w:p>
        </w:tc>
        <w:tc>
          <w:tcPr>
            <w:tcW w:w="151" w:type="pct"/>
            <w:tcBorders>
              <w:top w:val="nil"/>
              <w:left w:val="single" w:sz="8" w:space="0" w:color="4F81BD"/>
              <w:bottom w:val="single" w:sz="8" w:space="0" w:color="4F81BD"/>
              <w:right w:val="nil"/>
            </w:tcBorders>
            <w:vAlign w:val="center"/>
          </w:tcPr>
          <w:p w14:paraId="0B3A5F62" w14:textId="6AF3B49D"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single" w:sz="8" w:space="0" w:color="4F81BD"/>
              <w:right w:val="nil"/>
            </w:tcBorders>
            <w:tcMar>
              <w:right w:w="142" w:type="dxa"/>
            </w:tcMar>
            <w:vAlign w:val="center"/>
          </w:tcPr>
          <w:p w14:paraId="5969E6FA" w14:textId="139EA08D"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2,9%</w:t>
            </w:r>
          </w:p>
        </w:tc>
        <w:tc>
          <w:tcPr>
            <w:tcW w:w="750" w:type="pct"/>
            <w:tcBorders>
              <w:top w:val="nil"/>
              <w:left w:val="nil"/>
              <w:bottom w:val="single" w:sz="8" w:space="0" w:color="4F81BD"/>
              <w:right w:val="nil"/>
            </w:tcBorders>
            <w:tcMar>
              <w:left w:w="0" w:type="dxa"/>
              <w:right w:w="198" w:type="dxa"/>
            </w:tcMar>
            <w:vAlign w:val="center"/>
          </w:tcPr>
          <w:p w14:paraId="4ECEDD63" w14:textId="5EA6B36F"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5,4%</w:t>
            </w:r>
          </w:p>
        </w:tc>
      </w:tr>
      <w:tr w:rsidR="00A47ED6" w14:paraId="75C6200C" w14:textId="77777777" w:rsidTr="007E47D0">
        <w:trPr>
          <w:trHeight w:val="397"/>
          <w:jc w:val="center"/>
        </w:trPr>
        <w:tc>
          <w:tcPr>
            <w:tcW w:w="1104" w:type="pct"/>
            <w:vMerge w:val="restart"/>
            <w:tcBorders>
              <w:top w:val="single" w:sz="8" w:space="0" w:color="4F81BD"/>
              <w:left w:val="nil"/>
              <w:bottom w:val="single" w:sz="8" w:space="0" w:color="4F81BD"/>
              <w:right w:val="nil"/>
            </w:tcBorders>
            <w:hideMark/>
          </w:tcPr>
          <w:p w14:paraId="0B0E1C6D" w14:textId="77777777" w:rsidR="00A47ED6" w:rsidRDefault="00A47ED6" w:rsidP="00A47ED6">
            <w:pPr>
              <w:rPr>
                <w:rFonts w:ascii="Verdana" w:eastAsia="Malgun Gothic" w:hAnsi="Verdana" w:cs="Arial"/>
                <w:b/>
                <w:bCs/>
                <w:color w:val="365F91"/>
                <w:sz w:val="18"/>
                <w:szCs w:val="18"/>
                <w:u w:val="single"/>
                <w:lang w:val="el-GR"/>
              </w:rPr>
            </w:pPr>
            <w:r>
              <w:rPr>
                <w:rFonts w:ascii="Verdana" w:eastAsia="Malgun Gothic" w:hAnsi="Verdana" w:cs="Arial"/>
                <w:b/>
                <w:bCs/>
                <w:color w:val="365F91"/>
                <w:sz w:val="18"/>
                <w:szCs w:val="18"/>
                <w:u w:val="single"/>
                <w:lang w:val="el-GR"/>
              </w:rPr>
              <w:t>Σύνολο</w:t>
            </w:r>
          </w:p>
        </w:tc>
        <w:tc>
          <w:tcPr>
            <w:tcW w:w="672" w:type="pct"/>
            <w:tcBorders>
              <w:top w:val="single" w:sz="8" w:space="0" w:color="4F81BD"/>
              <w:left w:val="nil"/>
              <w:bottom w:val="nil"/>
              <w:right w:val="nil"/>
            </w:tcBorders>
            <w:vAlign w:val="center"/>
            <w:hideMark/>
          </w:tcPr>
          <w:p w14:paraId="37654974" w14:textId="77777777" w:rsidR="00A47ED6" w:rsidRDefault="00A47ED6" w:rsidP="00A47ED6">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96" w:type="pct"/>
            <w:tcBorders>
              <w:top w:val="single" w:sz="8" w:space="0" w:color="4F81BD"/>
              <w:left w:val="nil"/>
              <w:bottom w:val="nil"/>
              <w:right w:val="nil"/>
            </w:tcBorders>
            <w:tcMar>
              <w:right w:w="227" w:type="dxa"/>
            </w:tcMar>
            <w:vAlign w:val="center"/>
          </w:tcPr>
          <w:p w14:paraId="43BFC866" w14:textId="44ADDA44"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45.588</w:t>
            </w:r>
          </w:p>
        </w:tc>
        <w:tc>
          <w:tcPr>
            <w:tcW w:w="582" w:type="pct"/>
            <w:tcBorders>
              <w:top w:val="single" w:sz="8" w:space="0" w:color="4F81BD"/>
              <w:left w:val="nil"/>
              <w:bottom w:val="nil"/>
              <w:right w:val="nil"/>
            </w:tcBorders>
            <w:tcMar>
              <w:right w:w="255" w:type="dxa"/>
            </w:tcMar>
            <w:vAlign w:val="center"/>
          </w:tcPr>
          <w:p w14:paraId="2F77C20E" w14:textId="4BE1417C"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45.488</w:t>
            </w:r>
          </w:p>
        </w:tc>
        <w:tc>
          <w:tcPr>
            <w:tcW w:w="584" w:type="pct"/>
            <w:tcBorders>
              <w:top w:val="single" w:sz="8" w:space="0" w:color="4F81BD"/>
              <w:left w:val="nil"/>
              <w:bottom w:val="nil"/>
              <w:right w:val="single" w:sz="8" w:space="0" w:color="4F81BD"/>
            </w:tcBorders>
            <w:tcMar>
              <w:right w:w="255" w:type="dxa"/>
            </w:tcMar>
            <w:vAlign w:val="center"/>
          </w:tcPr>
          <w:p w14:paraId="205C5420" w14:textId="00876C7A"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45.762</w:t>
            </w:r>
          </w:p>
        </w:tc>
        <w:tc>
          <w:tcPr>
            <w:tcW w:w="151" w:type="pct"/>
            <w:tcBorders>
              <w:top w:val="single" w:sz="8" w:space="0" w:color="4F81BD"/>
              <w:left w:val="single" w:sz="8" w:space="0" w:color="4F81BD"/>
              <w:bottom w:val="nil"/>
              <w:right w:val="nil"/>
            </w:tcBorders>
            <w:vAlign w:val="center"/>
          </w:tcPr>
          <w:p w14:paraId="11141C94" w14:textId="068ACCA0"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 </w:t>
            </w:r>
          </w:p>
        </w:tc>
        <w:tc>
          <w:tcPr>
            <w:tcW w:w="626" w:type="pct"/>
            <w:tcBorders>
              <w:top w:val="single" w:sz="8" w:space="0" w:color="4F81BD"/>
              <w:left w:val="nil"/>
              <w:bottom w:val="nil"/>
              <w:right w:val="nil"/>
            </w:tcBorders>
            <w:tcMar>
              <w:right w:w="142" w:type="dxa"/>
            </w:tcMar>
            <w:vAlign w:val="center"/>
          </w:tcPr>
          <w:p w14:paraId="4B992225" w14:textId="3778F91A"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0,6%</w:t>
            </w:r>
          </w:p>
        </w:tc>
        <w:tc>
          <w:tcPr>
            <w:tcW w:w="750" w:type="pct"/>
            <w:tcBorders>
              <w:top w:val="single" w:sz="8" w:space="0" w:color="4F81BD"/>
              <w:left w:val="nil"/>
              <w:bottom w:val="nil"/>
              <w:right w:val="nil"/>
            </w:tcBorders>
            <w:tcMar>
              <w:left w:w="0" w:type="dxa"/>
              <w:right w:w="198" w:type="dxa"/>
            </w:tcMar>
            <w:vAlign w:val="center"/>
          </w:tcPr>
          <w:p w14:paraId="4CBFD11D" w14:textId="117464E7"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0,4%</w:t>
            </w:r>
          </w:p>
        </w:tc>
      </w:tr>
      <w:tr w:rsidR="00A47ED6" w14:paraId="216683C1" w14:textId="77777777" w:rsidTr="007E47D0">
        <w:trPr>
          <w:trHeight w:val="397"/>
          <w:jc w:val="center"/>
        </w:trPr>
        <w:tc>
          <w:tcPr>
            <w:tcW w:w="0" w:type="auto"/>
            <w:vMerge/>
            <w:tcBorders>
              <w:top w:val="single" w:sz="8" w:space="0" w:color="4F81BD"/>
              <w:left w:val="nil"/>
              <w:bottom w:val="single" w:sz="8" w:space="0" w:color="4F81BD"/>
              <w:right w:val="nil"/>
            </w:tcBorders>
            <w:vAlign w:val="center"/>
            <w:hideMark/>
          </w:tcPr>
          <w:p w14:paraId="4CC85662"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nil"/>
              <w:right w:val="nil"/>
            </w:tcBorders>
            <w:vAlign w:val="center"/>
            <w:hideMark/>
          </w:tcPr>
          <w:p w14:paraId="3CA6C857" w14:textId="77777777" w:rsidR="00A47ED6" w:rsidRDefault="00A47ED6" w:rsidP="00A47ED6">
            <w:pPr>
              <w:ind w:right="144"/>
              <w:rPr>
                <w:rFonts w:ascii="Verdana" w:eastAsia="Malgun Gothic" w:hAnsi="Verdana" w:cs="Arial"/>
                <w:color w:val="365F91"/>
                <w:sz w:val="18"/>
                <w:szCs w:val="18"/>
              </w:rPr>
            </w:pPr>
            <w:r>
              <w:rPr>
                <w:rFonts w:ascii="Verdana" w:eastAsia="Malgun Gothic" w:hAnsi="Verdana" w:cs="Arial"/>
                <w:color w:val="365F91"/>
                <w:sz w:val="18"/>
                <w:szCs w:val="18"/>
              </w:rPr>
              <w:t>Μόνιμοι</w:t>
            </w:r>
          </w:p>
        </w:tc>
        <w:tc>
          <w:tcPr>
            <w:tcW w:w="596" w:type="pct"/>
            <w:tcBorders>
              <w:top w:val="nil"/>
              <w:left w:val="nil"/>
              <w:bottom w:val="nil"/>
              <w:right w:val="nil"/>
            </w:tcBorders>
            <w:tcMar>
              <w:right w:w="227" w:type="dxa"/>
            </w:tcMar>
            <w:vAlign w:val="center"/>
          </w:tcPr>
          <w:p w14:paraId="65608A2B" w14:textId="3F0A6B0E" w:rsidR="00A47ED6" w:rsidRDefault="00A47ED6" w:rsidP="00A47ED6">
            <w:pPr>
              <w:jc w:val="right"/>
              <w:rPr>
                <w:rFonts w:ascii="Verdana" w:hAnsi="Verdana"/>
                <w:color w:val="365F91"/>
                <w:sz w:val="18"/>
                <w:szCs w:val="18"/>
              </w:rPr>
            </w:pPr>
            <w:r>
              <w:rPr>
                <w:rFonts w:ascii="Verdana" w:hAnsi="Verdana" w:cs="Calibri"/>
                <w:color w:val="365F91"/>
                <w:sz w:val="18"/>
                <w:szCs w:val="18"/>
              </w:rPr>
              <w:t>26.032</w:t>
            </w:r>
          </w:p>
        </w:tc>
        <w:tc>
          <w:tcPr>
            <w:tcW w:w="582" w:type="pct"/>
            <w:tcBorders>
              <w:top w:val="nil"/>
              <w:left w:val="nil"/>
              <w:bottom w:val="nil"/>
              <w:right w:val="nil"/>
            </w:tcBorders>
            <w:tcMar>
              <w:right w:w="255" w:type="dxa"/>
            </w:tcMar>
            <w:vAlign w:val="center"/>
          </w:tcPr>
          <w:p w14:paraId="43A18849" w14:textId="2B1395A7" w:rsidR="00A47ED6" w:rsidRDefault="00A47ED6" w:rsidP="00A47ED6">
            <w:pPr>
              <w:jc w:val="right"/>
              <w:rPr>
                <w:rFonts w:ascii="Verdana" w:hAnsi="Verdana"/>
                <w:color w:val="365F91"/>
                <w:sz w:val="18"/>
                <w:szCs w:val="18"/>
              </w:rPr>
            </w:pPr>
            <w:r>
              <w:rPr>
                <w:rFonts w:ascii="Verdana" w:hAnsi="Verdana" w:cs="Calibri"/>
                <w:color w:val="365F91"/>
                <w:sz w:val="18"/>
                <w:szCs w:val="18"/>
              </w:rPr>
              <w:t>25.363</w:t>
            </w:r>
          </w:p>
        </w:tc>
        <w:tc>
          <w:tcPr>
            <w:tcW w:w="584" w:type="pct"/>
            <w:tcBorders>
              <w:top w:val="nil"/>
              <w:left w:val="nil"/>
              <w:bottom w:val="nil"/>
              <w:right w:val="single" w:sz="8" w:space="0" w:color="4F81BD"/>
            </w:tcBorders>
            <w:tcMar>
              <w:right w:w="255" w:type="dxa"/>
            </w:tcMar>
            <w:vAlign w:val="center"/>
          </w:tcPr>
          <w:p w14:paraId="26F62B3E" w14:textId="07A0BFA1" w:rsidR="00A47ED6" w:rsidRDefault="00A47ED6" w:rsidP="00A47ED6">
            <w:pPr>
              <w:jc w:val="right"/>
              <w:rPr>
                <w:rFonts w:ascii="Verdana" w:hAnsi="Verdana"/>
                <w:color w:val="365F91"/>
                <w:sz w:val="18"/>
                <w:szCs w:val="18"/>
              </w:rPr>
            </w:pPr>
            <w:r>
              <w:rPr>
                <w:rFonts w:ascii="Verdana" w:hAnsi="Verdana" w:cs="Calibri"/>
                <w:color w:val="365F91"/>
                <w:sz w:val="18"/>
                <w:szCs w:val="18"/>
              </w:rPr>
              <w:t>25.313</w:t>
            </w:r>
          </w:p>
        </w:tc>
        <w:tc>
          <w:tcPr>
            <w:tcW w:w="151" w:type="pct"/>
            <w:tcBorders>
              <w:top w:val="nil"/>
              <w:left w:val="single" w:sz="8" w:space="0" w:color="4F81BD"/>
              <w:bottom w:val="nil"/>
              <w:right w:val="nil"/>
            </w:tcBorders>
            <w:vAlign w:val="center"/>
          </w:tcPr>
          <w:p w14:paraId="4CE5B161" w14:textId="1A513114"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nil"/>
              <w:right w:val="nil"/>
            </w:tcBorders>
            <w:tcMar>
              <w:right w:w="142" w:type="dxa"/>
            </w:tcMar>
            <w:vAlign w:val="center"/>
          </w:tcPr>
          <w:p w14:paraId="22D2B77F" w14:textId="6E85EA12"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-0,2%</w:t>
            </w:r>
          </w:p>
        </w:tc>
        <w:tc>
          <w:tcPr>
            <w:tcW w:w="750" w:type="pct"/>
            <w:tcBorders>
              <w:top w:val="nil"/>
              <w:left w:val="nil"/>
              <w:bottom w:val="nil"/>
              <w:right w:val="nil"/>
            </w:tcBorders>
            <w:tcMar>
              <w:left w:w="0" w:type="dxa"/>
              <w:right w:w="198" w:type="dxa"/>
            </w:tcMar>
            <w:vAlign w:val="center"/>
          </w:tcPr>
          <w:p w14:paraId="08D65423" w14:textId="7F12F00F"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-2,8%</w:t>
            </w:r>
          </w:p>
        </w:tc>
      </w:tr>
      <w:tr w:rsidR="00A47ED6" w14:paraId="45BF34F6" w14:textId="77777777" w:rsidTr="007E47D0">
        <w:trPr>
          <w:trHeight w:val="397"/>
          <w:jc w:val="center"/>
        </w:trPr>
        <w:tc>
          <w:tcPr>
            <w:tcW w:w="0" w:type="auto"/>
            <w:vMerge/>
            <w:tcBorders>
              <w:top w:val="single" w:sz="8" w:space="0" w:color="4F81BD"/>
              <w:left w:val="nil"/>
              <w:bottom w:val="single" w:sz="8" w:space="0" w:color="4F81BD"/>
              <w:right w:val="nil"/>
            </w:tcBorders>
            <w:vAlign w:val="center"/>
            <w:hideMark/>
          </w:tcPr>
          <w:p w14:paraId="74D95010" w14:textId="77777777" w:rsidR="00A47ED6" w:rsidRDefault="00A47ED6" w:rsidP="00A47ED6">
            <w:pPr>
              <w:rPr>
                <w:rFonts w:ascii="Verdana" w:eastAsia="Malgun Gothic" w:hAnsi="Verdana" w:cs="Arial"/>
                <w:b/>
                <w:bCs/>
                <w:color w:val="365F91"/>
                <w:sz w:val="18"/>
                <w:szCs w:val="18"/>
                <w:u w:val="single"/>
                <w:lang w:val="el-GR"/>
              </w:rPr>
            </w:pPr>
          </w:p>
        </w:tc>
        <w:tc>
          <w:tcPr>
            <w:tcW w:w="672" w:type="pct"/>
            <w:tcBorders>
              <w:top w:val="nil"/>
              <w:left w:val="nil"/>
              <w:bottom w:val="single" w:sz="8" w:space="0" w:color="4F81BD"/>
              <w:right w:val="nil"/>
            </w:tcBorders>
            <w:vAlign w:val="center"/>
            <w:hideMark/>
          </w:tcPr>
          <w:p w14:paraId="4FE1648E" w14:textId="77777777" w:rsidR="00A47ED6" w:rsidRDefault="00A47ED6" w:rsidP="00A47ED6">
            <w:pPr>
              <w:ind w:right="144"/>
              <w:rPr>
                <w:rFonts w:ascii="Verdana" w:eastAsia="Malgun Gothic" w:hAnsi="Verdana" w:cs="Arial"/>
                <w:color w:val="365F91"/>
                <w:sz w:val="18"/>
                <w:szCs w:val="18"/>
              </w:rPr>
            </w:pPr>
            <w:r>
              <w:rPr>
                <w:rFonts w:ascii="Verdana" w:eastAsia="Malgun Gothic" w:hAnsi="Verdana" w:cs="Arial"/>
                <w:color w:val="365F91"/>
                <w:sz w:val="18"/>
                <w:szCs w:val="18"/>
              </w:rPr>
              <w:t>Έκτακτοι</w:t>
            </w:r>
          </w:p>
        </w:tc>
        <w:tc>
          <w:tcPr>
            <w:tcW w:w="596" w:type="pct"/>
            <w:tcBorders>
              <w:top w:val="nil"/>
              <w:left w:val="nil"/>
              <w:bottom w:val="single" w:sz="8" w:space="0" w:color="4F81BD"/>
              <w:right w:val="nil"/>
            </w:tcBorders>
            <w:tcMar>
              <w:right w:w="227" w:type="dxa"/>
            </w:tcMar>
            <w:vAlign w:val="center"/>
          </w:tcPr>
          <w:p w14:paraId="14DB8769" w14:textId="057F7B2E" w:rsidR="00A47ED6" w:rsidRDefault="00A47ED6" w:rsidP="00A47ED6">
            <w:pPr>
              <w:jc w:val="right"/>
              <w:rPr>
                <w:rFonts w:ascii="Verdana" w:hAnsi="Verdana"/>
                <w:color w:val="365F91"/>
                <w:sz w:val="18"/>
                <w:szCs w:val="18"/>
              </w:rPr>
            </w:pPr>
            <w:r>
              <w:rPr>
                <w:rFonts w:ascii="Verdana" w:hAnsi="Verdana" w:cs="Calibri"/>
                <w:color w:val="365F91"/>
                <w:sz w:val="18"/>
                <w:szCs w:val="18"/>
              </w:rPr>
              <w:t>19.556</w:t>
            </w:r>
          </w:p>
        </w:tc>
        <w:tc>
          <w:tcPr>
            <w:tcW w:w="582" w:type="pct"/>
            <w:tcBorders>
              <w:top w:val="nil"/>
              <w:left w:val="nil"/>
              <w:bottom w:val="single" w:sz="8" w:space="0" w:color="4F81BD"/>
              <w:right w:val="nil"/>
            </w:tcBorders>
            <w:tcMar>
              <w:right w:w="255" w:type="dxa"/>
            </w:tcMar>
            <w:vAlign w:val="center"/>
          </w:tcPr>
          <w:p w14:paraId="44E6893B" w14:textId="0B220B36" w:rsidR="00A47ED6" w:rsidRDefault="00A47ED6" w:rsidP="00A47ED6">
            <w:pPr>
              <w:jc w:val="right"/>
              <w:rPr>
                <w:rFonts w:ascii="Verdana" w:hAnsi="Verdana"/>
                <w:color w:val="365F91"/>
                <w:sz w:val="18"/>
                <w:szCs w:val="18"/>
              </w:rPr>
            </w:pPr>
            <w:r>
              <w:rPr>
                <w:rFonts w:ascii="Verdana" w:hAnsi="Verdana" w:cs="Calibri"/>
                <w:color w:val="365F91"/>
                <w:sz w:val="18"/>
                <w:szCs w:val="18"/>
              </w:rPr>
              <w:t>20.125</w:t>
            </w:r>
          </w:p>
        </w:tc>
        <w:tc>
          <w:tcPr>
            <w:tcW w:w="584" w:type="pct"/>
            <w:tcBorders>
              <w:top w:val="nil"/>
              <w:left w:val="nil"/>
              <w:bottom w:val="single" w:sz="8" w:space="0" w:color="4F81BD"/>
              <w:right w:val="single" w:sz="8" w:space="0" w:color="4F81BD"/>
            </w:tcBorders>
            <w:tcMar>
              <w:right w:w="255" w:type="dxa"/>
            </w:tcMar>
            <w:vAlign w:val="center"/>
          </w:tcPr>
          <w:p w14:paraId="5B2B7E37" w14:textId="1D82A1EB" w:rsidR="00A47ED6" w:rsidRDefault="00A47ED6" w:rsidP="00A47ED6">
            <w:pPr>
              <w:jc w:val="right"/>
              <w:rPr>
                <w:rFonts w:ascii="Verdana" w:hAnsi="Verdana"/>
                <w:color w:val="365F91"/>
                <w:sz w:val="18"/>
                <w:szCs w:val="18"/>
              </w:rPr>
            </w:pPr>
            <w:r>
              <w:rPr>
                <w:rFonts w:ascii="Verdana" w:hAnsi="Verdana" w:cs="Calibri"/>
                <w:color w:val="365F91"/>
                <w:sz w:val="18"/>
                <w:szCs w:val="18"/>
              </w:rPr>
              <w:t>20.449</w:t>
            </w:r>
          </w:p>
        </w:tc>
        <w:tc>
          <w:tcPr>
            <w:tcW w:w="151" w:type="pct"/>
            <w:tcBorders>
              <w:top w:val="nil"/>
              <w:left w:val="single" w:sz="8" w:space="0" w:color="4F81BD"/>
              <w:bottom w:val="single" w:sz="8" w:space="0" w:color="4F81BD"/>
              <w:right w:val="nil"/>
            </w:tcBorders>
            <w:vAlign w:val="center"/>
          </w:tcPr>
          <w:p w14:paraId="2E95DF65" w14:textId="55654E7E" w:rsidR="00A47ED6" w:rsidRDefault="00A47ED6" w:rsidP="00A47ED6">
            <w:pPr>
              <w:jc w:val="right"/>
              <w:rPr>
                <w:rFonts w:ascii="Verdana" w:hAnsi="Verdana"/>
                <w:color w:val="365F91"/>
                <w:sz w:val="18"/>
                <w:szCs w:val="18"/>
              </w:rPr>
            </w:pPr>
            <w:r>
              <w:rPr>
                <w:rFonts w:ascii="Verdana" w:hAnsi="Verdana" w:cs="Calibri"/>
                <w:color w:val="365F91"/>
                <w:sz w:val="18"/>
                <w:szCs w:val="18"/>
              </w:rPr>
              <w:t> </w:t>
            </w:r>
          </w:p>
        </w:tc>
        <w:tc>
          <w:tcPr>
            <w:tcW w:w="626" w:type="pct"/>
            <w:tcBorders>
              <w:top w:val="nil"/>
              <w:left w:val="nil"/>
              <w:bottom w:val="single" w:sz="8" w:space="0" w:color="4F81BD"/>
              <w:right w:val="nil"/>
            </w:tcBorders>
            <w:tcMar>
              <w:right w:w="142" w:type="dxa"/>
            </w:tcMar>
            <w:vAlign w:val="center"/>
          </w:tcPr>
          <w:p w14:paraId="46A7F03F" w14:textId="35AFD8A5"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1,6%</w:t>
            </w:r>
          </w:p>
        </w:tc>
        <w:tc>
          <w:tcPr>
            <w:tcW w:w="750" w:type="pct"/>
            <w:tcBorders>
              <w:top w:val="nil"/>
              <w:left w:val="nil"/>
              <w:bottom w:val="single" w:sz="8" w:space="0" w:color="4F81BD"/>
              <w:right w:val="nil"/>
            </w:tcBorders>
            <w:tcMar>
              <w:left w:w="0" w:type="dxa"/>
              <w:right w:w="198" w:type="dxa"/>
            </w:tcMar>
            <w:vAlign w:val="center"/>
          </w:tcPr>
          <w:p w14:paraId="33B87076" w14:textId="2DF7E026" w:rsidR="00A47ED6" w:rsidRDefault="00A47ED6" w:rsidP="00A47ED6">
            <w:pPr>
              <w:ind w:right="227"/>
              <w:jc w:val="right"/>
              <w:rPr>
                <w:rFonts w:ascii="Verdana" w:hAnsi="Verdana"/>
                <w:color w:val="365F91"/>
                <w:sz w:val="18"/>
                <w:szCs w:val="18"/>
              </w:rPr>
            </w:pPr>
            <w:r>
              <w:rPr>
                <w:rFonts w:ascii="Verdana" w:hAnsi="Verdana" w:cs="Calibri"/>
                <w:color w:val="365F91"/>
                <w:sz w:val="18"/>
                <w:szCs w:val="18"/>
              </w:rPr>
              <w:t>4,6%</w:t>
            </w:r>
          </w:p>
        </w:tc>
      </w:tr>
      <w:tr w:rsidR="00A47ED6" w14:paraId="09C198C0" w14:textId="77777777" w:rsidTr="007E47D0">
        <w:trPr>
          <w:trHeight w:val="510"/>
          <w:jc w:val="center"/>
        </w:trPr>
        <w:tc>
          <w:tcPr>
            <w:tcW w:w="1104" w:type="pct"/>
            <w:tcBorders>
              <w:top w:val="single" w:sz="8" w:space="0" w:color="4F81BD"/>
              <w:left w:val="nil"/>
              <w:bottom w:val="single" w:sz="8" w:space="0" w:color="4F81BD"/>
              <w:right w:val="nil"/>
            </w:tcBorders>
            <w:vAlign w:val="center"/>
            <w:hideMark/>
          </w:tcPr>
          <w:p w14:paraId="535F8FE4" w14:textId="77777777" w:rsidR="00A47ED6" w:rsidRDefault="00A47ED6" w:rsidP="00A47ED6">
            <w:pPr>
              <w:rPr>
                <w:rFonts w:ascii="Verdana" w:eastAsia="Malgun Gothic" w:hAnsi="Verdana" w:cs="Arial"/>
                <w:b/>
                <w:bCs/>
                <w:color w:val="365F91"/>
                <w:sz w:val="18"/>
                <w:szCs w:val="18"/>
                <w:u w:val="single"/>
                <w:lang w:val="el-GR"/>
              </w:rPr>
            </w:pPr>
            <w:r>
              <w:rPr>
                <w:rFonts w:ascii="Verdana" w:eastAsia="Malgun Gothic" w:hAnsi="Verdana" w:cs="Arial"/>
                <w:b/>
                <w:bCs/>
                <w:color w:val="365F91"/>
                <w:sz w:val="18"/>
                <w:szCs w:val="18"/>
                <w:u w:val="single"/>
                <w:lang w:val="el-GR"/>
              </w:rPr>
              <w:t>Ωρομίσθιο Προσωπικό</w:t>
            </w:r>
          </w:p>
        </w:tc>
        <w:tc>
          <w:tcPr>
            <w:tcW w:w="672" w:type="pct"/>
            <w:tcBorders>
              <w:top w:val="single" w:sz="8" w:space="0" w:color="4F81BD"/>
              <w:left w:val="nil"/>
              <w:bottom w:val="single" w:sz="8" w:space="0" w:color="4F81BD"/>
              <w:right w:val="nil"/>
            </w:tcBorders>
            <w:vAlign w:val="center"/>
            <w:hideMark/>
          </w:tcPr>
          <w:p w14:paraId="14200575" w14:textId="77777777" w:rsidR="00A47ED6" w:rsidRDefault="00A47ED6" w:rsidP="00A47ED6">
            <w:pPr>
              <w:ind w:right="144"/>
              <w:rPr>
                <w:rFonts w:ascii="Verdana" w:eastAsia="Malgun Gothic" w:hAnsi="Verdana" w:cs="Arial"/>
                <w:b/>
                <w:color w:val="365F91"/>
                <w:sz w:val="18"/>
                <w:szCs w:val="18"/>
              </w:rPr>
            </w:pPr>
            <w:r>
              <w:rPr>
                <w:rFonts w:ascii="Verdana" w:eastAsia="Malgun Gothic" w:hAnsi="Verdana" w:cs="Arial"/>
                <w:b/>
                <w:color w:val="365F91"/>
                <w:sz w:val="18"/>
                <w:szCs w:val="18"/>
              </w:rPr>
              <w:t>Σύνολο</w:t>
            </w:r>
          </w:p>
        </w:tc>
        <w:tc>
          <w:tcPr>
            <w:tcW w:w="596" w:type="pct"/>
            <w:tcBorders>
              <w:top w:val="single" w:sz="8" w:space="0" w:color="4F81BD"/>
              <w:left w:val="nil"/>
              <w:bottom w:val="single" w:sz="8" w:space="0" w:color="4F81BD"/>
              <w:right w:val="nil"/>
            </w:tcBorders>
            <w:tcMar>
              <w:right w:w="227" w:type="dxa"/>
            </w:tcMar>
            <w:vAlign w:val="center"/>
          </w:tcPr>
          <w:p w14:paraId="2B7E1500" w14:textId="65D6F4E7"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8.342</w:t>
            </w:r>
          </w:p>
        </w:tc>
        <w:tc>
          <w:tcPr>
            <w:tcW w:w="582" w:type="pct"/>
            <w:tcBorders>
              <w:top w:val="single" w:sz="8" w:space="0" w:color="4F81BD"/>
              <w:left w:val="nil"/>
              <w:bottom w:val="single" w:sz="8" w:space="0" w:color="4F81BD"/>
              <w:right w:val="nil"/>
            </w:tcBorders>
            <w:tcMar>
              <w:right w:w="255" w:type="dxa"/>
            </w:tcMar>
            <w:vAlign w:val="center"/>
          </w:tcPr>
          <w:p w14:paraId="1EF85D05" w14:textId="3BA54B85"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6.615</w:t>
            </w:r>
          </w:p>
        </w:tc>
        <w:tc>
          <w:tcPr>
            <w:tcW w:w="584" w:type="pct"/>
            <w:tcBorders>
              <w:top w:val="single" w:sz="8" w:space="0" w:color="4F81BD"/>
              <w:left w:val="nil"/>
              <w:bottom w:val="single" w:sz="8" w:space="0" w:color="4F81BD"/>
              <w:right w:val="single" w:sz="8" w:space="0" w:color="4F81BD"/>
            </w:tcBorders>
            <w:tcMar>
              <w:right w:w="255" w:type="dxa"/>
            </w:tcMar>
            <w:vAlign w:val="center"/>
          </w:tcPr>
          <w:p w14:paraId="39154F40" w14:textId="23CFE95C"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6.736</w:t>
            </w:r>
          </w:p>
        </w:tc>
        <w:tc>
          <w:tcPr>
            <w:tcW w:w="151" w:type="pct"/>
            <w:tcBorders>
              <w:top w:val="single" w:sz="8" w:space="0" w:color="4F81BD"/>
              <w:left w:val="single" w:sz="8" w:space="0" w:color="4F81BD"/>
              <w:bottom w:val="single" w:sz="8" w:space="0" w:color="4F81BD"/>
              <w:right w:val="nil"/>
            </w:tcBorders>
            <w:vAlign w:val="center"/>
          </w:tcPr>
          <w:p w14:paraId="018E1A34" w14:textId="565C8785"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 </w:t>
            </w:r>
          </w:p>
        </w:tc>
        <w:tc>
          <w:tcPr>
            <w:tcW w:w="626" w:type="pct"/>
            <w:tcBorders>
              <w:top w:val="single" w:sz="8" w:space="0" w:color="4F81BD"/>
              <w:left w:val="nil"/>
              <w:bottom w:val="single" w:sz="8" w:space="0" w:color="4F81BD"/>
              <w:right w:val="nil"/>
            </w:tcBorders>
            <w:tcMar>
              <w:right w:w="142" w:type="dxa"/>
            </w:tcMar>
            <w:vAlign w:val="center"/>
          </w:tcPr>
          <w:p w14:paraId="438FE919" w14:textId="01EC8883" w:rsidR="00A47ED6" w:rsidRDefault="00563DB5" w:rsidP="00A47ED6">
            <w:pPr>
              <w:ind w:right="123"/>
              <w:rPr>
                <w:rFonts w:ascii="Verdana" w:hAnsi="Verdana"/>
                <w:b/>
                <w:bCs/>
                <w:color w:val="365F91"/>
                <w:sz w:val="18"/>
                <w:szCs w:val="18"/>
              </w:rPr>
            </w:pPr>
            <w:r>
              <w:rPr>
                <w:rFonts w:ascii="Verdana" w:hAnsi="Verdana" w:cs="Calibri"/>
                <w:b/>
                <w:bCs/>
                <w:color w:val="365F91"/>
                <w:sz w:val="18"/>
                <w:szCs w:val="18"/>
                <w:lang w:val="el-GR"/>
              </w:rPr>
              <w:t xml:space="preserve">   </w:t>
            </w:r>
            <w:r w:rsidR="00A47ED6">
              <w:rPr>
                <w:rFonts w:ascii="Verdana" w:hAnsi="Verdana" w:cs="Calibri"/>
                <w:b/>
                <w:bCs/>
                <w:color w:val="365F91"/>
                <w:sz w:val="18"/>
                <w:szCs w:val="18"/>
              </w:rPr>
              <w:t>1,8%</w:t>
            </w:r>
          </w:p>
        </w:tc>
        <w:tc>
          <w:tcPr>
            <w:tcW w:w="750" w:type="pct"/>
            <w:tcBorders>
              <w:top w:val="single" w:sz="8" w:space="0" w:color="4F81BD"/>
              <w:left w:val="nil"/>
              <w:bottom w:val="single" w:sz="8" w:space="0" w:color="4F81BD"/>
              <w:right w:val="nil"/>
            </w:tcBorders>
            <w:tcMar>
              <w:left w:w="0" w:type="dxa"/>
              <w:right w:w="198" w:type="dxa"/>
            </w:tcMar>
            <w:vAlign w:val="center"/>
          </w:tcPr>
          <w:p w14:paraId="02EE445F" w14:textId="70C7A598" w:rsidR="00A47ED6" w:rsidRDefault="00563DB5" w:rsidP="00A47ED6">
            <w:pPr>
              <w:ind w:right="227"/>
              <w:jc w:val="right"/>
              <w:rPr>
                <w:rFonts w:ascii="Verdana" w:hAnsi="Verdana"/>
                <w:b/>
                <w:bCs/>
                <w:color w:val="365F91"/>
                <w:sz w:val="18"/>
                <w:szCs w:val="18"/>
              </w:rPr>
            </w:pPr>
            <w:r>
              <w:rPr>
                <w:rFonts w:ascii="Verdana" w:hAnsi="Verdana" w:cs="Calibri"/>
                <w:b/>
                <w:bCs/>
                <w:color w:val="365F91"/>
                <w:sz w:val="18"/>
                <w:szCs w:val="18"/>
                <w:lang w:val="el-GR"/>
              </w:rPr>
              <w:t xml:space="preserve"> </w:t>
            </w:r>
            <w:r w:rsidR="00A47ED6">
              <w:rPr>
                <w:rFonts w:ascii="Verdana" w:hAnsi="Verdana" w:cs="Calibri"/>
                <w:b/>
                <w:bCs/>
                <w:color w:val="365F91"/>
                <w:sz w:val="18"/>
                <w:szCs w:val="18"/>
              </w:rPr>
              <w:t>-19,3%</w:t>
            </w:r>
          </w:p>
        </w:tc>
      </w:tr>
      <w:tr w:rsidR="00A47ED6" w14:paraId="6321719E" w14:textId="77777777" w:rsidTr="007E47D0">
        <w:trPr>
          <w:trHeight w:val="510"/>
          <w:jc w:val="center"/>
        </w:trPr>
        <w:tc>
          <w:tcPr>
            <w:tcW w:w="1104" w:type="pct"/>
            <w:tcBorders>
              <w:top w:val="single" w:sz="8" w:space="0" w:color="4F81BD"/>
              <w:left w:val="nil"/>
              <w:bottom w:val="single" w:sz="8" w:space="0" w:color="4F81BD"/>
              <w:right w:val="nil"/>
            </w:tcBorders>
            <w:vAlign w:val="center"/>
            <w:hideMark/>
          </w:tcPr>
          <w:p w14:paraId="630DC5FB" w14:textId="77777777" w:rsidR="00A47ED6" w:rsidRDefault="00A47ED6" w:rsidP="00A47ED6">
            <w:pPr>
              <w:rPr>
                <w:rFonts w:ascii="Verdana" w:eastAsia="Malgun Gothic" w:hAnsi="Verdana" w:cs="Arial"/>
                <w:b/>
                <w:bCs/>
                <w:color w:val="365F91"/>
                <w:sz w:val="18"/>
                <w:szCs w:val="18"/>
                <w:u w:val="single"/>
                <w:lang w:val="el-GR"/>
              </w:rPr>
            </w:pPr>
            <w:r>
              <w:rPr>
                <w:rFonts w:ascii="Verdana" w:eastAsia="Malgun Gothic" w:hAnsi="Verdana" w:cs="Arial"/>
                <w:b/>
                <w:bCs/>
                <w:color w:val="365F91"/>
                <w:sz w:val="18"/>
                <w:szCs w:val="18"/>
                <w:u w:val="single"/>
                <w:lang w:val="el-GR"/>
              </w:rPr>
              <w:t>Γενικό Σύνολο</w:t>
            </w:r>
          </w:p>
        </w:tc>
        <w:tc>
          <w:tcPr>
            <w:tcW w:w="672" w:type="pct"/>
            <w:tcBorders>
              <w:top w:val="single" w:sz="8" w:space="0" w:color="4F81BD"/>
              <w:left w:val="nil"/>
              <w:bottom w:val="single" w:sz="8" w:space="0" w:color="4F81BD"/>
              <w:right w:val="nil"/>
            </w:tcBorders>
            <w:vAlign w:val="center"/>
          </w:tcPr>
          <w:p w14:paraId="227122EA" w14:textId="77777777" w:rsidR="00A47ED6" w:rsidRDefault="00A47ED6" w:rsidP="00A47ED6">
            <w:pPr>
              <w:ind w:right="144"/>
              <w:jc w:val="right"/>
              <w:rPr>
                <w:rFonts w:ascii="Verdana" w:eastAsia="Malgun Gothic" w:hAnsi="Verdana" w:cs="Arial"/>
                <w:b/>
                <w:color w:val="365F91"/>
                <w:sz w:val="18"/>
                <w:szCs w:val="18"/>
                <w:lang w:val="el-GR"/>
              </w:rPr>
            </w:pPr>
          </w:p>
        </w:tc>
        <w:tc>
          <w:tcPr>
            <w:tcW w:w="596" w:type="pct"/>
            <w:tcBorders>
              <w:top w:val="single" w:sz="8" w:space="0" w:color="4F81BD"/>
              <w:left w:val="nil"/>
              <w:bottom w:val="single" w:sz="8" w:space="0" w:color="4F81BD"/>
              <w:right w:val="nil"/>
            </w:tcBorders>
            <w:tcMar>
              <w:right w:w="227" w:type="dxa"/>
            </w:tcMar>
            <w:vAlign w:val="center"/>
          </w:tcPr>
          <w:p w14:paraId="69553569" w14:textId="0D642E0C"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53.930</w:t>
            </w:r>
          </w:p>
        </w:tc>
        <w:tc>
          <w:tcPr>
            <w:tcW w:w="582" w:type="pct"/>
            <w:tcBorders>
              <w:top w:val="single" w:sz="8" w:space="0" w:color="4F81BD"/>
              <w:left w:val="nil"/>
              <w:bottom w:val="single" w:sz="8" w:space="0" w:color="4F81BD"/>
              <w:right w:val="nil"/>
            </w:tcBorders>
            <w:tcMar>
              <w:right w:w="255" w:type="dxa"/>
            </w:tcMar>
            <w:vAlign w:val="center"/>
          </w:tcPr>
          <w:p w14:paraId="04EEE526" w14:textId="6073753A"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52.103</w:t>
            </w:r>
          </w:p>
        </w:tc>
        <w:tc>
          <w:tcPr>
            <w:tcW w:w="584" w:type="pct"/>
            <w:tcBorders>
              <w:top w:val="single" w:sz="8" w:space="0" w:color="4F81BD"/>
              <w:left w:val="nil"/>
              <w:bottom w:val="single" w:sz="8" w:space="0" w:color="4F81BD"/>
              <w:right w:val="single" w:sz="8" w:space="0" w:color="4F81BD"/>
            </w:tcBorders>
            <w:tcMar>
              <w:right w:w="255" w:type="dxa"/>
            </w:tcMar>
            <w:vAlign w:val="center"/>
          </w:tcPr>
          <w:p w14:paraId="5BD99AC6" w14:textId="6741BE6B"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52.498</w:t>
            </w:r>
          </w:p>
        </w:tc>
        <w:tc>
          <w:tcPr>
            <w:tcW w:w="151" w:type="pct"/>
            <w:tcBorders>
              <w:top w:val="single" w:sz="8" w:space="0" w:color="4F81BD"/>
              <w:left w:val="single" w:sz="8" w:space="0" w:color="4F81BD"/>
              <w:bottom w:val="single" w:sz="8" w:space="0" w:color="4F81BD"/>
              <w:right w:val="nil"/>
            </w:tcBorders>
            <w:vAlign w:val="center"/>
          </w:tcPr>
          <w:p w14:paraId="46139212" w14:textId="1F57FA49" w:rsidR="00A47ED6" w:rsidRDefault="00A47ED6" w:rsidP="00A47ED6">
            <w:pPr>
              <w:jc w:val="right"/>
              <w:rPr>
                <w:rFonts w:ascii="Verdana" w:hAnsi="Verdana"/>
                <w:b/>
                <w:bCs/>
                <w:color w:val="365F91"/>
                <w:sz w:val="18"/>
                <w:szCs w:val="18"/>
              </w:rPr>
            </w:pPr>
            <w:r>
              <w:rPr>
                <w:rFonts w:ascii="Verdana" w:hAnsi="Verdana" w:cs="Calibri"/>
                <w:b/>
                <w:bCs/>
                <w:color w:val="365F91"/>
                <w:sz w:val="18"/>
                <w:szCs w:val="18"/>
              </w:rPr>
              <w:t> </w:t>
            </w:r>
          </w:p>
        </w:tc>
        <w:tc>
          <w:tcPr>
            <w:tcW w:w="626" w:type="pct"/>
            <w:tcBorders>
              <w:top w:val="single" w:sz="8" w:space="0" w:color="4F81BD"/>
              <w:left w:val="nil"/>
              <w:bottom w:val="single" w:sz="8" w:space="0" w:color="4F81BD"/>
              <w:right w:val="nil"/>
            </w:tcBorders>
            <w:tcMar>
              <w:right w:w="142" w:type="dxa"/>
            </w:tcMar>
            <w:vAlign w:val="center"/>
          </w:tcPr>
          <w:p w14:paraId="77D784D7" w14:textId="1C2630CC" w:rsidR="00A47ED6" w:rsidRDefault="00563DB5" w:rsidP="00A47ED6">
            <w:pPr>
              <w:ind w:right="227"/>
              <w:jc w:val="right"/>
              <w:rPr>
                <w:rFonts w:ascii="Verdana" w:hAnsi="Verdana"/>
                <w:b/>
                <w:bCs/>
                <w:color w:val="365F91"/>
                <w:sz w:val="18"/>
                <w:szCs w:val="18"/>
              </w:rPr>
            </w:pPr>
            <w:r>
              <w:rPr>
                <w:rFonts w:ascii="Verdana" w:hAnsi="Verdana" w:cs="Calibri"/>
                <w:b/>
                <w:bCs/>
                <w:color w:val="365F91"/>
                <w:sz w:val="18"/>
                <w:szCs w:val="18"/>
                <w:lang w:val="el-GR"/>
              </w:rPr>
              <w:t xml:space="preserve">  </w:t>
            </w:r>
            <w:r w:rsidR="00A47ED6">
              <w:rPr>
                <w:rFonts w:ascii="Verdana" w:hAnsi="Verdana" w:cs="Calibri"/>
                <w:b/>
                <w:bCs/>
                <w:color w:val="365F91"/>
                <w:sz w:val="18"/>
                <w:szCs w:val="18"/>
              </w:rPr>
              <w:t>0,8%</w:t>
            </w:r>
          </w:p>
        </w:tc>
        <w:tc>
          <w:tcPr>
            <w:tcW w:w="750" w:type="pct"/>
            <w:tcBorders>
              <w:top w:val="single" w:sz="8" w:space="0" w:color="4F81BD"/>
              <w:left w:val="nil"/>
              <w:bottom w:val="single" w:sz="8" w:space="0" w:color="4F81BD"/>
              <w:right w:val="nil"/>
            </w:tcBorders>
            <w:tcMar>
              <w:left w:w="0" w:type="dxa"/>
              <w:right w:w="198" w:type="dxa"/>
            </w:tcMar>
            <w:vAlign w:val="center"/>
          </w:tcPr>
          <w:p w14:paraId="2210372D" w14:textId="34EED85E" w:rsidR="00A47ED6" w:rsidRDefault="00A47ED6" w:rsidP="00A47ED6">
            <w:pPr>
              <w:ind w:right="227"/>
              <w:jc w:val="right"/>
              <w:rPr>
                <w:rFonts w:ascii="Verdana" w:hAnsi="Verdana"/>
                <w:b/>
                <w:bCs/>
                <w:color w:val="365F91"/>
                <w:sz w:val="18"/>
                <w:szCs w:val="18"/>
              </w:rPr>
            </w:pPr>
            <w:r>
              <w:rPr>
                <w:rFonts w:ascii="Verdana" w:hAnsi="Verdana" w:cs="Calibri"/>
                <w:b/>
                <w:bCs/>
                <w:color w:val="365F91"/>
                <w:sz w:val="18"/>
                <w:szCs w:val="18"/>
              </w:rPr>
              <w:t>-2,7%</w:t>
            </w:r>
          </w:p>
        </w:tc>
      </w:tr>
    </w:tbl>
    <w:p w14:paraId="644D97A6" w14:textId="4BD640B3" w:rsidR="00833DCE" w:rsidRDefault="00833DCE" w:rsidP="000E4CB0">
      <w:pPr>
        <w:jc w:val="both"/>
        <w:rPr>
          <w:rFonts w:ascii="Verdana" w:hAnsi="Verdana" w:cs="Arial"/>
          <w:sz w:val="18"/>
          <w:szCs w:val="18"/>
          <w:lang w:val="el-GR"/>
        </w:rPr>
      </w:pPr>
    </w:p>
    <w:p w14:paraId="757CE393" w14:textId="5333625B" w:rsidR="00833DCE" w:rsidRDefault="00833DCE" w:rsidP="000E4CB0">
      <w:pPr>
        <w:jc w:val="both"/>
        <w:rPr>
          <w:rFonts w:ascii="Verdana" w:hAnsi="Verdana" w:cs="Arial"/>
          <w:sz w:val="18"/>
          <w:szCs w:val="18"/>
          <w:lang w:val="el-GR"/>
        </w:rPr>
      </w:pPr>
    </w:p>
    <w:p w14:paraId="755122E2" w14:textId="44B43289" w:rsidR="00833DCE" w:rsidRDefault="00833DCE" w:rsidP="000E4CB0">
      <w:pPr>
        <w:jc w:val="both"/>
        <w:rPr>
          <w:rFonts w:ascii="Verdana" w:hAnsi="Verdana" w:cs="Arial"/>
          <w:sz w:val="18"/>
          <w:szCs w:val="18"/>
          <w:lang w:val="el-GR"/>
        </w:rPr>
      </w:pPr>
    </w:p>
    <w:p w14:paraId="5003841D" w14:textId="31F03E47" w:rsidR="00833DCE" w:rsidRDefault="00833DCE" w:rsidP="000E4CB0">
      <w:pPr>
        <w:jc w:val="both"/>
        <w:rPr>
          <w:rFonts w:ascii="Verdana" w:hAnsi="Verdana" w:cs="Arial"/>
          <w:sz w:val="18"/>
          <w:szCs w:val="18"/>
          <w:lang w:val="el-GR"/>
        </w:rPr>
      </w:pPr>
    </w:p>
    <w:p w14:paraId="6891F94A" w14:textId="4315815F" w:rsidR="00833DCE" w:rsidRDefault="00833DCE" w:rsidP="000E4CB0">
      <w:pPr>
        <w:jc w:val="both"/>
        <w:rPr>
          <w:rFonts w:ascii="Verdana" w:hAnsi="Verdana" w:cs="Arial"/>
          <w:sz w:val="18"/>
          <w:szCs w:val="18"/>
          <w:lang w:val="el-GR"/>
        </w:rPr>
      </w:pPr>
    </w:p>
    <w:p w14:paraId="2B10EC29" w14:textId="4340A1C8" w:rsidR="00833DCE" w:rsidRDefault="00833DCE" w:rsidP="000E4CB0">
      <w:pPr>
        <w:jc w:val="both"/>
        <w:rPr>
          <w:rFonts w:ascii="Verdana" w:hAnsi="Verdana" w:cs="Arial"/>
          <w:sz w:val="18"/>
          <w:szCs w:val="18"/>
          <w:lang w:val="el-GR"/>
        </w:rPr>
      </w:pPr>
    </w:p>
    <w:p w14:paraId="218B5B09" w14:textId="7A3038E4" w:rsidR="00833DCE" w:rsidRDefault="00833DCE" w:rsidP="000E4CB0">
      <w:pPr>
        <w:jc w:val="both"/>
        <w:rPr>
          <w:rFonts w:ascii="Verdana" w:hAnsi="Verdana" w:cs="Arial"/>
          <w:sz w:val="18"/>
          <w:szCs w:val="18"/>
          <w:lang w:val="el-GR"/>
        </w:rPr>
      </w:pPr>
    </w:p>
    <w:p w14:paraId="27036DC1" w14:textId="49964062" w:rsidR="00833DCE" w:rsidRDefault="00833DCE" w:rsidP="000E4CB0">
      <w:pPr>
        <w:jc w:val="both"/>
        <w:rPr>
          <w:rFonts w:ascii="Verdana" w:hAnsi="Verdana" w:cs="Arial"/>
          <w:sz w:val="18"/>
          <w:szCs w:val="18"/>
          <w:lang w:val="el-GR"/>
        </w:rPr>
      </w:pPr>
    </w:p>
    <w:p w14:paraId="2430BD14" w14:textId="5054CB93" w:rsidR="00833DCE" w:rsidRDefault="00833DCE" w:rsidP="000E4CB0">
      <w:pPr>
        <w:jc w:val="both"/>
        <w:rPr>
          <w:rFonts w:ascii="Verdana" w:hAnsi="Verdana" w:cs="Arial"/>
          <w:sz w:val="18"/>
          <w:szCs w:val="18"/>
          <w:lang w:val="el-GR"/>
        </w:rPr>
      </w:pPr>
    </w:p>
    <w:p w14:paraId="601295D3" w14:textId="03C8B8E9" w:rsidR="00D164DA" w:rsidRPr="00B20458" w:rsidRDefault="00D164DA" w:rsidP="000E4CB0">
      <w:pPr>
        <w:jc w:val="both"/>
        <w:rPr>
          <w:rFonts w:ascii="Verdana" w:hAnsi="Verdana" w:cs="Arial"/>
          <w:sz w:val="18"/>
          <w:szCs w:val="18"/>
          <w:lang w:val="el-GR"/>
        </w:rPr>
      </w:pPr>
    </w:p>
    <w:p w14:paraId="466A700D" w14:textId="41A9B82D" w:rsidR="00D164DA" w:rsidRDefault="00D164DA" w:rsidP="000E4CB0">
      <w:pPr>
        <w:jc w:val="both"/>
        <w:rPr>
          <w:rFonts w:ascii="Verdana" w:hAnsi="Verdana" w:cs="Arial"/>
          <w:sz w:val="18"/>
          <w:szCs w:val="18"/>
          <w:lang w:val="el-GR"/>
        </w:rPr>
      </w:pPr>
    </w:p>
    <w:p w14:paraId="270B804C" w14:textId="77777777" w:rsidR="00D164DA" w:rsidRDefault="00D164DA" w:rsidP="000E4CB0">
      <w:pPr>
        <w:jc w:val="both"/>
        <w:rPr>
          <w:rFonts w:ascii="Verdana" w:hAnsi="Verdana" w:cs="Arial"/>
          <w:sz w:val="18"/>
          <w:szCs w:val="18"/>
          <w:lang w:val="el-GR"/>
        </w:rPr>
      </w:pPr>
    </w:p>
    <w:p w14:paraId="31C7E3A3" w14:textId="5C74C159" w:rsidR="00833DCE" w:rsidRDefault="00833DCE" w:rsidP="000E4CB0">
      <w:pPr>
        <w:jc w:val="both"/>
        <w:rPr>
          <w:rFonts w:ascii="Verdana" w:hAnsi="Verdana" w:cs="Arial"/>
          <w:sz w:val="18"/>
          <w:szCs w:val="18"/>
          <w:lang w:val="el-GR"/>
        </w:rPr>
      </w:pPr>
    </w:p>
    <w:p w14:paraId="062A6B12" w14:textId="245A4F0F" w:rsidR="00833DCE" w:rsidRDefault="00833DCE" w:rsidP="000E4CB0">
      <w:pPr>
        <w:jc w:val="both"/>
        <w:rPr>
          <w:rFonts w:ascii="Verdana" w:hAnsi="Verdana" w:cs="Arial"/>
          <w:sz w:val="18"/>
          <w:szCs w:val="18"/>
          <w:lang w:val="el-GR"/>
        </w:rPr>
      </w:pPr>
    </w:p>
    <w:p w14:paraId="3797AACC" w14:textId="6F0F80C3" w:rsidR="00833DCE" w:rsidRDefault="00833DCE" w:rsidP="000E4CB0">
      <w:pPr>
        <w:jc w:val="both"/>
        <w:rPr>
          <w:rFonts w:ascii="Verdana" w:hAnsi="Verdana" w:cs="Arial"/>
          <w:sz w:val="18"/>
          <w:szCs w:val="18"/>
          <w:lang w:val="el-GR"/>
        </w:rPr>
      </w:pPr>
    </w:p>
    <w:p w14:paraId="40CB9EF8" w14:textId="5E9E59BF" w:rsidR="00F9558B" w:rsidRDefault="00F9558B" w:rsidP="000E4CB0">
      <w:pPr>
        <w:jc w:val="both"/>
        <w:rPr>
          <w:rFonts w:ascii="Verdana" w:hAnsi="Verdana" w:cs="Arial"/>
          <w:sz w:val="18"/>
          <w:szCs w:val="18"/>
          <w:lang w:val="el-GR"/>
        </w:rPr>
      </w:pPr>
    </w:p>
    <w:p w14:paraId="7BE5E36D" w14:textId="3D52D425" w:rsidR="00F9558B" w:rsidRDefault="00F9558B" w:rsidP="000E4CB0">
      <w:pPr>
        <w:jc w:val="both"/>
        <w:rPr>
          <w:rFonts w:ascii="Verdana" w:hAnsi="Verdana" w:cs="Arial"/>
          <w:sz w:val="18"/>
          <w:szCs w:val="18"/>
          <w:lang w:val="el-GR"/>
        </w:rPr>
      </w:pPr>
    </w:p>
    <w:p w14:paraId="2DA1598C" w14:textId="21F51BFD" w:rsidR="00F9558B" w:rsidRDefault="00F9558B" w:rsidP="000E4CB0">
      <w:pPr>
        <w:jc w:val="both"/>
        <w:rPr>
          <w:rFonts w:ascii="Verdana" w:hAnsi="Verdana" w:cs="Arial"/>
          <w:sz w:val="18"/>
          <w:szCs w:val="18"/>
          <w:lang w:val="el-GR"/>
        </w:rPr>
      </w:pPr>
    </w:p>
    <w:p w14:paraId="533F815D" w14:textId="4652BF6D" w:rsidR="00F9558B" w:rsidRDefault="00F9558B" w:rsidP="000E4CB0">
      <w:pPr>
        <w:jc w:val="both"/>
        <w:rPr>
          <w:rFonts w:ascii="Verdana" w:hAnsi="Verdana" w:cs="Arial"/>
          <w:sz w:val="18"/>
          <w:szCs w:val="18"/>
          <w:lang w:val="el-GR"/>
        </w:rPr>
      </w:pPr>
    </w:p>
    <w:p w14:paraId="6F868EFD" w14:textId="18286A50" w:rsidR="00F9558B" w:rsidRDefault="00F9558B" w:rsidP="000E4CB0">
      <w:pPr>
        <w:jc w:val="both"/>
        <w:rPr>
          <w:rFonts w:ascii="Verdana" w:hAnsi="Verdana" w:cs="Arial"/>
          <w:sz w:val="18"/>
          <w:szCs w:val="18"/>
          <w:lang w:val="el-GR"/>
        </w:rPr>
      </w:pPr>
    </w:p>
    <w:p w14:paraId="61832FD7" w14:textId="34357041" w:rsidR="00F9558B" w:rsidRDefault="00F9558B" w:rsidP="000E4CB0">
      <w:pPr>
        <w:jc w:val="both"/>
        <w:rPr>
          <w:rFonts w:ascii="Verdana" w:hAnsi="Verdana" w:cs="Arial"/>
          <w:sz w:val="18"/>
          <w:szCs w:val="18"/>
          <w:lang w:val="el-GR"/>
        </w:rPr>
      </w:pPr>
    </w:p>
    <w:p w14:paraId="0120309A" w14:textId="77777777" w:rsidR="006E7DE7" w:rsidRDefault="006E7DE7" w:rsidP="000E4CB0">
      <w:pPr>
        <w:jc w:val="both"/>
        <w:rPr>
          <w:rFonts w:ascii="Verdana" w:hAnsi="Verdana" w:cs="Arial"/>
          <w:sz w:val="18"/>
          <w:szCs w:val="18"/>
          <w:lang w:val="el-GR"/>
        </w:rPr>
      </w:pPr>
    </w:p>
    <w:p w14:paraId="795BDB33" w14:textId="77777777" w:rsidR="007E47D0" w:rsidRDefault="007E47D0" w:rsidP="000E4CB0">
      <w:pPr>
        <w:jc w:val="both"/>
        <w:rPr>
          <w:rFonts w:ascii="Verdana" w:hAnsi="Verdana" w:cs="Arial"/>
          <w:sz w:val="18"/>
          <w:szCs w:val="18"/>
          <w:lang w:val="el-GR"/>
        </w:rPr>
      </w:pPr>
    </w:p>
    <w:p w14:paraId="0194B5B0" w14:textId="77777777" w:rsidR="007E47D0" w:rsidRDefault="007E47D0" w:rsidP="000E4CB0">
      <w:pPr>
        <w:jc w:val="both"/>
        <w:rPr>
          <w:rFonts w:ascii="Verdana" w:hAnsi="Verdana" w:cs="Arial"/>
          <w:sz w:val="18"/>
          <w:szCs w:val="18"/>
          <w:lang w:val="el-GR"/>
        </w:rPr>
      </w:pPr>
    </w:p>
    <w:p w14:paraId="5513F43E" w14:textId="77777777" w:rsidR="007E47D0" w:rsidRDefault="007E47D0" w:rsidP="000E4CB0">
      <w:pPr>
        <w:jc w:val="both"/>
        <w:rPr>
          <w:rFonts w:ascii="Verdana" w:hAnsi="Verdana" w:cs="Arial"/>
          <w:sz w:val="18"/>
          <w:szCs w:val="18"/>
          <w:lang w:val="el-GR"/>
        </w:rPr>
      </w:pPr>
    </w:p>
    <w:p w14:paraId="52BC01E2" w14:textId="77777777" w:rsidR="007E47D0" w:rsidRDefault="007E47D0" w:rsidP="000E4CB0">
      <w:pPr>
        <w:jc w:val="both"/>
        <w:rPr>
          <w:rFonts w:ascii="Verdana" w:hAnsi="Verdana" w:cs="Arial"/>
          <w:sz w:val="18"/>
          <w:szCs w:val="18"/>
          <w:lang w:val="el-GR"/>
        </w:rPr>
      </w:pPr>
    </w:p>
    <w:p w14:paraId="6C59AB76" w14:textId="77777777" w:rsidR="007E47D0" w:rsidRDefault="007E47D0" w:rsidP="000E4CB0">
      <w:pPr>
        <w:jc w:val="both"/>
        <w:rPr>
          <w:rFonts w:ascii="Verdana" w:hAnsi="Verdana" w:cs="Arial"/>
          <w:sz w:val="18"/>
          <w:szCs w:val="18"/>
          <w:lang w:val="el-GR"/>
        </w:rPr>
      </w:pPr>
    </w:p>
    <w:p w14:paraId="5B34B88C" w14:textId="77777777" w:rsidR="007E47D0" w:rsidRDefault="007E47D0" w:rsidP="000E4CB0">
      <w:pPr>
        <w:jc w:val="both"/>
        <w:rPr>
          <w:rFonts w:ascii="Verdana" w:hAnsi="Verdana" w:cs="Arial"/>
          <w:sz w:val="18"/>
          <w:szCs w:val="18"/>
          <w:lang w:val="el-GR"/>
        </w:rPr>
      </w:pPr>
    </w:p>
    <w:p w14:paraId="5E19AFD9" w14:textId="71F48FF1" w:rsidR="00833DCE" w:rsidRDefault="00833DCE" w:rsidP="000E4CB0">
      <w:pPr>
        <w:jc w:val="both"/>
        <w:rPr>
          <w:rFonts w:ascii="Verdana" w:hAnsi="Verdana" w:cs="Arial"/>
          <w:sz w:val="18"/>
          <w:szCs w:val="18"/>
          <w:lang w:val="el-GR"/>
        </w:rPr>
      </w:pPr>
    </w:p>
    <w:p w14:paraId="4E42F5C7" w14:textId="45197003" w:rsidR="007E47D0" w:rsidRDefault="007E47D0">
      <w:pPr>
        <w:rPr>
          <w:rFonts w:ascii="Verdana" w:hAnsi="Verdana" w:cs="Arial"/>
          <w:sz w:val="18"/>
          <w:szCs w:val="18"/>
          <w:lang w:val="el-GR"/>
        </w:rPr>
      </w:pPr>
      <w:r>
        <w:rPr>
          <w:rFonts w:ascii="Verdana" w:hAnsi="Verdana" w:cs="Arial"/>
          <w:sz w:val="18"/>
          <w:szCs w:val="18"/>
          <w:lang w:val="el-GR"/>
        </w:rPr>
        <w:br w:type="page"/>
      </w:r>
    </w:p>
    <w:p w14:paraId="6A656F55" w14:textId="506CFC4D" w:rsidR="00833DCE" w:rsidRDefault="00833DCE" w:rsidP="000E4CB0">
      <w:pPr>
        <w:jc w:val="both"/>
        <w:rPr>
          <w:rFonts w:ascii="Verdana" w:hAnsi="Verdana" w:cs="Arial"/>
          <w:sz w:val="18"/>
          <w:szCs w:val="18"/>
          <w:lang w:val="el-GR"/>
        </w:rPr>
      </w:pPr>
    </w:p>
    <w:p w14:paraId="45DEA810" w14:textId="77777777" w:rsidR="00833DCE" w:rsidRDefault="00833DCE" w:rsidP="00833DCE">
      <w:pPr>
        <w:jc w:val="center"/>
        <w:rPr>
          <w:rFonts w:ascii="Verdana" w:eastAsia="Malgun Gothic" w:hAnsi="Verdana" w:cs="Arial"/>
          <w:b/>
          <w:u w:val="single"/>
          <w:lang w:val="el-GR"/>
        </w:rPr>
      </w:pPr>
      <w:r>
        <w:rPr>
          <w:rFonts w:ascii="Verdana" w:eastAsia="Malgun Gothic" w:hAnsi="Verdana" w:cs="Arial"/>
          <w:b/>
          <w:u w:val="single"/>
          <w:lang w:val="el-GR"/>
        </w:rPr>
        <w:t>ΜΕΘΟΔΟΛΟΓΙΚΕΣ ΠΛΗΡΟΦΟΡΙΕΣ</w:t>
      </w:r>
    </w:p>
    <w:p w14:paraId="09E23599" w14:textId="77777777" w:rsidR="00833DCE" w:rsidRPr="00780A62" w:rsidRDefault="00833DCE" w:rsidP="00833DCE">
      <w:pPr>
        <w:jc w:val="center"/>
        <w:rPr>
          <w:rFonts w:ascii="Verdana" w:eastAsia="Malgun Gothic" w:hAnsi="Verdana" w:cs="Arial"/>
          <w:b/>
          <w:u w:val="single"/>
          <w:lang w:val="el-GR"/>
        </w:rPr>
      </w:pPr>
    </w:p>
    <w:p w14:paraId="462EE282" w14:textId="77777777" w:rsidR="00833DCE" w:rsidRPr="00780A62" w:rsidRDefault="00833DCE" w:rsidP="00833DCE">
      <w:pPr>
        <w:jc w:val="both"/>
        <w:rPr>
          <w:rFonts w:ascii="Verdana" w:eastAsia="Malgun Gothic" w:hAnsi="Verdana" w:cs="Arial"/>
          <w:b/>
          <w:sz w:val="20"/>
          <w:szCs w:val="20"/>
          <w:u w:val="single"/>
          <w:lang w:val="el-GR"/>
        </w:rPr>
      </w:pPr>
    </w:p>
    <w:p w14:paraId="0FB46A59" w14:textId="77777777" w:rsidR="00833DCE" w:rsidRPr="00A618CF" w:rsidRDefault="00833DCE" w:rsidP="00833DCE">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Κάλυψη στοιχείων</w:t>
      </w:r>
    </w:p>
    <w:p w14:paraId="176098FF" w14:textId="77777777" w:rsidR="00833DCE" w:rsidRDefault="00833DCE" w:rsidP="00833DCE">
      <w:pPr>
        <w:jc w:val="both"/>
        <w:rPr>
          <w:rFonts w:ascii="Verdana" w:eastAsia="Malgun Gothic" w:hAnsi="Verdana" w:cs="Arial"/>
          <w:sz w:val="18"/>
          <w:szCs w:val="18"/>
          <w:lang w:val="el-GR"/>
        </w:rPr>
      </w:pPr>
    </w:p>
    <w:p w14:paraId="6FDA3F1B" w14:textId="77777777" w:rsidR="00833DCE" w:rsidRDefault="00833DCE" w:rsidP="00833DCE">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Στην απασχόληση της Κυβέρνησης περιλαμβάνον</w:t>
      </w:r>
      <w:r w:rsidRPr="0048279A">
        <w:rPr>
          <w:rFonts w:ascii="Verdana" w:eastAsia="Malgun Gothic" w:hAnsi="Verdana" w:cs="Arial"/>
          <w:sz w:val="18"/>
          <w:szCs w:val="18"/>
          <w:lang w:val="el-GR"/>
        </w:rPr>
        <w:t>ται</w:t>
      </w:r>
      <w:r w:rsidRPr="00AC6796">
        <w:rPr>
          <w:rFonts w:ascii="Verdana" w:eastAsia="Malgun Gothic" w:hAnsi="Verdana" w:cs="Arial"/>
          <w:sz w:val="18"/>
          <w:szCs w:val="18"/>
          <w:lang w:val="el-GR"/>
        </w:rPr>
        <w:t>:</w:t>
      </w:r>
      <w:r w:rsidRPr="0048279A">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48279A">
        <w:rPr>
          <w:rFonts w:ascii="Verdana" w:eastAsia="Malgun Gothic" w:hAnsi="Verdana" w:cs="Arial"/>
          <w:sz w:val="18"/>
          <w:szCs w:val="18"/>
          <w:lang w:val="el-GR"/>
        </w:rPr>
        <w:t>Δημόσια Υπηρεσία, η Εκπαιδευτική Υπηρεσία,</w:t>
      </w:r>
      <w:r w:rsidRPr="00FB0BA4">
        <w:rPr>
          <w:rFonts w:ascii="Verdana" w:eastAsia="Malgun Gothic" w:hAnsi="Verdana" w:cs="Arial"/>
          <w:sz w:val="18"/>
          <w:szCs w:val="18"/>
          <w:lang w:val="el-GR"/>
        </w:rPr>
        <w:t xml:space="preserve"> </w:t>
      </w:r>
      <w:r w:rsidRPr="006547FB">
        <w:rPr>
          <w:rFonts w:ascii="Verdana" w:eastAsia="Malgun Gothic" w:hAnsi="Verdana" w:cs="Arial"/>
          <w:sz w:val="18"/>
          <w:szCs w:val="18"/>
          <w:lang w:val="el-GR"/>
        </w:rPr>
        <w:t>οι Δυνάμεις Ασφαλείας</w:t>
      </w:r>
      <w:r w:rsidRPr="0048279A">
        <w:rPr>
          <w:rFonts w:ascii="Verdana" w:eastAsia="Malgun Gothic" w:hAnsi="Verdana" w:cs="Arial"/>
          <w:sz w:val="18"/>
          <w:szCs w:val="18"/>
          <w:lang w:val="el-GR"/>
        </w:rPr>
        <w:t xml:space="preserve"> </w:t>
      </w:r>
      <w:r>
        <w:rPr>
          <w:rFonts w:ascii="Verdana" w:eastAsia="Malgun Gothic" w:hAnsi="Verdana" w:cs="Arial"/>
          <w:sz w:val="18"/>
          <w:szCs w:val="18"/>
          <w:lang w:val="el-GR"/>
        </w:rPr>
        <w:t>και</w:t>
      </w:r>
      <w:r w:rsidRPr="006547FB">
        <w:rPr>
          <w:rFonts w:ascii="Verdana" w:eastAsia="Malgun Gothic" w:hAnsi="Verdana" w:cs="Arial"/>
          <w:sz w:val="18"/>
          <w:szCs w:val="18"/>
          <w:lang w:val="el-GR"/>
        </w:rPr>
        <w:t xml:space="preserve"> οι </w:t>
      </w:r>
      <w:r>
        <w:rPr>
          <w:rFonts w:ascii="Verdana" w:eastAsia="Malgun Gothic" w:hAnsi="Verdana" w:cs="Arial"/>
          <w:sz w:val="18"/>
          <w:szCs w:val="18"/>
          <w:lang w:val="el-GR"/>
        </w:rPr>
        <w:t>Ω</w:t>
      </w:r>
      <w:r w:rsidRPr="006547FB">
        <w:rPr>
          <w:rFonts w:ascii="Verdana" w:eastAsia="Malgun Gothic" w:hAnsi="Verdana" w:cs="Arial"/>
          <w:sz w:val="18"/>
          <w:szCs w:val="18"/>
          <w:lang w:val="el-GR"/>
        </w:rPr>
        <w:t>ρο</w:t>
      </w:r>
      <w:r>
        <w:rPr>
          <w:rFonts w:ascii="Verdana" w:eastAsia="Malgun Gothic" w:hAnsi="Verdana" w:cs="Arial"/>
          <w:sz w:val="18"/>
          <w:szCs w:val="18"/>
          <w:lang w:val="el-GR"/>
        </w:rPr>
        <w:t>μίσθιοι Κυβερνητικοί Εργάτες</w:t>
      </w:r>
      <w:r w:rsidRPr="006547FB">
        <w:rPr>
          <w:rFonts w:ascii="Verdana" w:eastAsia="Malgun Gothic" w:hAnsi="Verdana" w:cs="Arial"/>
          <w:sz w:val="18"/>
          <w:szCs w:val="18"/>
          <w:lang w:val="el-GR"/>
        </w:rPr>
        <w:t>.</w:t>
      </w:r>
      <w:r>
        <w:rPr>
          <w:rFonts w:ascii="Verdana" w:eastAsia="Malgun Gothic" w:hAnsi="Verdana" w:cs="Arial"/>
          <w:sz w:val="18"/>
          <w:szCs w:val="18"/>
          <w:lang w:val="el-GR"/>
        </w:rPr>
        <w:t xml:space="preserve"> Στη Δημόσια Υπηρεσία περιλαμβάνονται οι μόνιμοι και έκτακτοι υπάλληλοι των Υπουργείων, Τμημάτων και Υπηρεσιών.</w:t>
      </w:r>
      <w:r w:rsidRPr="002A223A">
        <w:rPr>
          <w:rFonts w:ascii="Verdana" w:eastAsia="Malgun Gothic" w:hAnsi="Verdana" w:cs="Arial"/>
          <w:sz w:val="18"/>
          <w:szCs w:val="18"/>
          <w:lang w:val="el-GR"/>
        </w:rPr>
        <w:t xml:space="preserve"> </w:t>
      </w:r>
      <w:r>
        <w:rPr>
          <w:rFonts w:ascii="Verdana" w:eastAsia="Malgun Gothic" w:hAnsi="Verdana" w:cs="Arial"/>
          <w:sz w:val="18"/>
          <w:szCs w:val="18"/>
          <w:lang w:val="el-GR"/>
        </w:rPr>
        <w:t>Στην Εκπαιδευτική Υπηρεσία περιλαμβάνεται το μόνιμο και έκτακτο εκπαιδευτικό προσωπικό που υπηρετεί στις σχολικές μονάδες καθώς και το προσωπικό του Κέντρου Παραγωγικότητας και του Ανώτερου Ξενοδοχειακού Ινστιτούτου. Στις Δυνάμεις Ασφαλείας περιλαμβάνονται</w:t>
      </w:r>
      <w:r w:rsidRPr="00AC6796">
        <w:rPr>
          <w:rFonts w:ascii="Verdana" w:eastAsia="Malgun Gothic" w:hAnsi="Verdana" w:cs="Arial"/>
          <w:sz w:val="18"/>
          <w:szCs w:val="18"/>
          <w:lang w:val="el-GR"/>
        </w:rPr>
        <w:t>:</w:t>
      </w:r>
      <w:r>
        <w:rPr>
          <w:rFonts w:ascii="Verdana" w:eastAsia="Malgun Gothic" w:hAnsi="Verdana" w:cs="Arial"/>
          <w:sz w:val="18"/>
          <w:szCs w:val="18"/>
          <w:lang w:val="el-GR"/>
        </w:rPr>
        <w:t xml:space="preserve"> η Αστυνομία,</w:t>
      </w:r>
      <w:r w:rsidRPr="006547FB">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6547FB">
        <w:rPr>
          <w:rFonts w:ascii="Verdana" w:eastAsia="Malgun Gothic" w:hAnsi="Verdana" w:cs="Arial"/>
          <w:sz w:val="18"/>
          <w:szCs w:val="18"/>
          <w:lang w:val="el-GR"/>
        </w:rPr>
        <w:t>Πυροσβεστική Υπηρεσία</w:t>
      </w:r>
      <w:r>
        <w:rPr>
          <w:rFonts w:ascii="Verdana" w:eastAsia="Malgun Gothic" w:hAnsi="Verdana" w:cs="Arial"/>
          <w:sz w:val="18"/>
          <w:szCs w:val="18"/>
          <w:lang w:val="el-GR"/>
        </w:rPr>
        <w:t xml:space="preserve"> και η Εθνική Φρουρά. Στο Ωρομίσθιο Προσωπικό περιλαμβάνονται τακτικοί, έκτακτοι και εποχικοί υπάλληλοι.</w:t>
      </w:r>
    </w:p>
    <w:p w14:paraId="22B3F229" w14:textId="77777777" w:rsidR="00833DCE" w:rsidRPr="00833DCE" w:rsidRDefault="00833DCE" w:rsidP="00833DCE">
      <w:pPr>
        <w:spacing w:line="276" w:lineRule="auto"/>
        <w:jc w:val="both"/>
        <w:rPr>
          <w:rFonts w:ascii="Verdana" w:eastAsia="Malgun Gothic" w:hAnsi="Verdana" w:cs="Arial"/>
          <w:sz w:val="18"/>
          <w:szCs w:val="18"/>
          <w:lang w:val="el-GR"/>
        </w:rPr>
      </w:pPr>
    </w:p>
    <w:p w14:paraId="6C5DD267" w14:textId="77777777" w:rsidR="00833DCE" w:rsidRPr="002A223A" w:rsidRDefault="00833DCE" w:rsidP="00833DCE">
      <w:pPr>
        <w:spacing w:line="276" w:lineRule="auto"/>
        <w:jc w:val="both"/>
        <w:rPr>
          <w:rFonts w:ascii="Verdana" w:eastAsia="Malgun Gothic" w:hAnsi="Verdana" w:cs="Arial"/>
          <w:color w:val="FF0000"/>
          <w:sz w:val="18"/>
          <w:szCs w:val="18"/>
          <w:lang w:val="el-GR"/>
        </w:rPr>
      </w:pPr>
      <w:r>
        <w:rPr>
          <w:rFonts w:ascii="Verdana" w:eastAsia="Malgun Gothic" w:hAnsi="Verdana" w:cs="Arial"/>
          <w:sz w:val="18"/>
          <w:szCs w:val="18"/>
          <w:lang w:val="el-GR"/>
        </w:rPr>
        <w:t>Στα στοιχεία δεν περιλαμβάνονται τα Μέλη της Βουλής των Αντιπροσώπων (Βουλευτές και Εκπρόσωποι Θρησκευτικών Ομάδων).</w:t>
      </w:r>
    </w:p>
    <w:p w14:paraId="665DAC81" w14:textId="77777777" w:rsidR="00833DCE" w:rsidRPr="00C004DE" w:rsidRDefault="00833DCE" w:rsidP="00833DCE">
      <w:pPr>
        <w:jc w:val="both"/>
        <w:rPr>
          <w:rFonts w:ascii="Verdana" w:eastAsia="Malgun Gothic" w:hAnsi="Verdana" w:cs="Arial"/>
          <w:color w:val="FF0000"/>
          <w:sz w:val="18"/>
          <w:szCs w:val="18"/>
          <w:lang w:val="el-GR"/>
        </w:rPr>
      </w:pPr>
    </w:p>
    <w:p w14:paraId="32AFD111" w14:textId="77777777" w:rsidR="00833DCE" w:rsidRDefault="00833DCE" w:rsidP="00833DCE">
      <w:pPr>
        <w:jc w:val="both"/>
        <w:rPr>
          <w:rFonts w:ascii="Verdana" w:eastAsia="Malgun Gothic" w:hAnsi="Verdana" w:cs="Arial"/>
          <w:sz w:val="18"/>
          <w:szCs w:val="18"/>
          <w:lang w:val="el-GR"/>
        </w:rPr>
      </w:pPr>
    </w:p>
    <w:p w14:paraId="1DF44ADA" w14:textId="77777777" w:rsidR="00833DCE" w:rsidRPr="00A618CF" w:rsidRDefault="00833DCE" w:rsidP="00833DCE">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Πηγή</w:t>
      </w:r>
      <w:r w:rsidRPr="00A618CF">
        <w:rPr>
          <w:rFonts w:ascii="Verdana" w:eastAsia="Malgun Gothic" w:hAnsi="Verdana" w:cs="Arial"/>
          <w:b/>
          <w:sz w:val="18"/>
          <w:szCs w:val="18"/>
          <w:u w:val="single"/>
          <w:lang w:val="el-GR"/>
        </w:rPr>
        <w:t xml:space="preserve"> στοιχείων</w:t>
      </w:r>
    </w:p>
    <w:p w14:paraId="3FE84039" w14:textId="77777777" w:rsidR="00833DCE" w:rsidRDefault="00833DCE" w:rsidP="00833DCE">
      <w:pPr>
        <w:jc w:val="both"/>
        <w:rPr>
          <w:rFonts w:ascii="Verdana" w:eastAsia="Malgun Gothic" w:hAnsi="Verdana" w:cs="Arial"/>
          <w:sz w:val="18"/>
          <w:szCs w:val="18"/>
          <w:lang w:val="el-GR"/>
        </w:rPr>
      </w:pPr>
    </w:p>
    <w:p w14:paraId="4BF498EF" w14:textId="77777777" w:rsidR="00833DCE" w:rsidRDefault="00833DCE" w:rsidP="00833DCE">
      <w:pPr>
        <w:spacing w:line="276" w:lineRule="auto"/>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w:t>
      </w:r>
      <w:r>
        <w:rPr>
          <w:rFonts w:ascii="Verdana" w:eastAsia="Malgun Gothic" w:hAnsi="Verdana" w:cs="Arial"/>
          <w:sz w:val="18"/>
          <w:szCs w:val="18"/>
          <w:lang w:val="el-GR"/>
        </w:rPr>
        <w:t>για την απασχόληση στην</w:t>
      </w:r>
      <w:r w:rsidRPr="006547FB">
        <w:rPr>
          <w:rFonts w:ascii="Verdana" w:eastAsia="Malgun Gothic" w:hAnsi="Verdana" w:cs="Arial"/>
          <w:sz w:val="18"/>
          <w:szCs w:val="18"/>
          <w:lang w:val="el-GR"/>
        </w:rPr>
        <w:t xml:space="preserve"> Κυβέρνηση είναι το Γενικό Λογιστήριο</w:t>
      </w:r>
      <w:r>
        <w:rPr>
          <w:rFonts w:ascii="Verdana" w:eastAsia="Malgun Gothic" w:hAnsi="Verdana" w:cs="Arial"/>
          <w:sz w:val="18"/>
          <w:szCs w:val="18"/>
          <w:lang w:val="el-GR"/>
        </w:rPr>
        <w:t xml:space="preserve"> της Δημοκρατίας. Τα στοιχεία αφορούν σε </w:t>
      </w:r>
      <w:r w:rsidRPr="006547FB">
        <w:rPr>
          <w:rFonts w:ascii="Verdana" w:eastAsia="Malgun Gothic" w:hAnsi="Verdana" w:cs="Arial"/>
          <w:sz w:val="18"/>
          <w:szCs w:val="18"/>
          <w:lang w:val="el-GR"/>
        </w:rPr>
        <w:t xml:space="preserve">άτομα </w:t>
      </w:r>
      <w:r>
        <w:rPr>
          <w:rFonts w:ascii="Verdana" w:eastAsia="Malgun Gothic" w:hAnsi="Verdana" w:cs="Arial"/>
          <w:sz w:val="18"/>
          <w:szCs w:val="18"/>
          <w:lang w:val="el-GR"/>
        </w:rPr>
        <w:t>τα οποία πληρώθηκαν τον συγκεκριμένο μήνα ανεξαρτήτως της περιόδου και της διάρκειας απασχόλησης</w:t>
      </w:r>
      <w:r w:rsidRPr="006547FB">
        <w:rPr>
          <w:rFonts w:ascii="Verdana" w:eastAsia="Malgun Gothic" w:hAnsi="Verdana" w:cs="Arial"/>
          <w:sz w:val="18"/>
          <w:szCs w:val="18"/>
          <w:lang w:val="el-GR"/>
        </w:rPr>
        <w:t>.</w:t>
      </w:r>
    </w:p>
    <w:p w14:paraId="019BD495" w14:textId="77777777" w:rsidR="00833DCE" w:rsidRDefault="00833DCE" w:rsidP="00833DCE">
      <w:pPr>
        <w:jc w:val="both"/>
        <w:rPr>
          <w:rFonts w:ascii="Verdana" w:eastAsia="Malgun Gothic" w:hAnsi="Verdana" w:cs="Arial"/>
          <w:sz w:val="18"/>
          <w:szCs w:val="18"/>
          <w:lang w:val="el-GR"/>
        </w:rPr>
      </w:pPr>
    </w:p>
    <w:p w14:paraId="5236FDBE" w14:textId="77777777" w:rsidR="00833DCE" w:rsidRDefault="00833DCE" w:rsidP="00833DCE">
      <w:pPr>
        <w:jc w:val="both"/>
        <w:rPr>
          <w:rFonts w:ascii="Verdana" w:eastAsia="Malgun Gothic" w:hAnsi="Verdana" w:cs="Arial"/>
          <w:sz w:val="18"/>
          <w:szCs w:val="18"/>
          <w:lang w:val="el-GR"/>
        </w:rPr>
      </w:pPr>
    </w:p>
    <w:p w14:paraId="22B142E9" w14:textId="77777777" w:rsidR="00833DCE" w:rsidRPr="002D7D4A" w:rsidRDefault="00833DCE" w:rsidP="00833DCE">
      <w:pPr>
        <w:jc w:val="both"/>
        <w:rPr>
          <w:rFonts w:ascii="Verdana" w:eastAsia="Malgun Gothic" w:hAnsi="Verdana" w:cs="Arial"/>
          <w:sz w:val="18"/>
          <w:szCs w:val="18"/>
          <w:lang w:val="el-GR"/>
        </w:rPr>
      </w:pPr>
    </w:p>
    <w:p w14:paraId="05609E45" w14:textId="77777777" w:rsidR="00833DCE" w:rsidRDefault="00833DCE" w:rsidP="00833DCE">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66A46454" w14:textId="77777777" w:rsidR="00833DCE" w:rsidRDefault="00833DCE" w:rsidP="00833DCE">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4BA9CB3F" w14:textId="77777777" w:rsidR="00833DCE" w:rsidRDefault="00000000" w:rsidP="00833DCE">
      <w:pPr>
        <w:rPr>
          <w:rFonts w:ascii="Verdana" w:hAnsi="Verdana"/>
          <w:sz w:val="18"/>
          <w:szCs w:val="18"/>
          <w:lang w:val="el-GR"/>
        </w:rPr>
      </w:pPr>
      <w:hyperlink r:id="rId10" w:history="1">
        <w:r w:rsidR="00833DCE">
          <w:rPr>
            <w:rStyle w:val="Hyperlink"/>
            <w:rFonts w:ascii="Verdana" w:hAnsi="Verdana"/>
            <w:sz w:val="18"/>
            <w:szCs w:val="18"/>
          </w:rPr>
          <w:t>CYSTAT</w:t>
        </w:r>
        <w:r w:rsidR="00833DCE">
          <w:rPr>
            <w:rStyle w:val="Hyperlink"/>
            <w:rFonts w:ascii="Verdana" w:hAnsi="Verdana"/>
            <w:sz w:val="18"/>
            <w:szCs w:val="18"/>
            <w:lang w:val="el-GR"/>
          </w:rPr>
          <w:t>-</w:t>
        </w:r>
        <w:r w:rsidR="00833DCE">
          <w:rPr>
            <w:rStyle w:val="Hyperlink"/>
            <w:rFonts w:ascii="Verdana" w:hAnsi="Verdana"/>
            <w:sz w:val="18"/>
            <w:szCs w:val="18"/>
          </w:rPr>
          <w:t>DB</w:t>
        </w:r>
      </w:hyperlink>
      <w:r w:rsidR="00833DCE">
        <w:rPr>
          <w:rFonts w:ascii="Verdana" w:hAnsi="Verdana"/>
          <w:sz w:val="18"/>
          <w:szCs w:val="18"/>
          <w:lang w:val="el-GR"/>
        </w:rPr>
        <w:t xml:space="preserve"> (Βάση Δεδομένων)</w:t>
      </w:r>
    </w:p>
    <w:p w14:paraId="4BE71CD5" w14:textId="77777777" w:rsidR="00833DCE" w:rsidRDefault="00000000" w:rsidP="00833DCE">
      <w:pPr>
        <w:rPr>
          <w:rFonts w:ascii="Verdana" w:hAnsi="Verdana"/>
          <w:sz w:val="18"/>
          <w:szCs w:val="18"/>
          <w:lang w:val="el-GR"/>
        </w:rPr>
      </w:pPr>
      <w:hyperlink r:id="rId11" w:history="1">
        <w:r w:rsidR="00833DCE">
          <w:rPr>
            <w:rStyle w:val="Hyperlink"/>
            <w:rFonts w:ascii="Verdana" w:hAnsi="Verdana"/>
            <w:sz w:val="18"/>
            <w:szCs w:val="18"/>
            <w:lang w:val="el-GR"/>
          </w:rPr>
          <w:t>Προκαθορισμένοι Πίνακες</w:t>
        </w:r>
      </w:hyperlink>
      <w:r w:rsidR="00833DCE">
        <w:rPr>
          <w:rFonts w:ascii="Verdana" w:hAnsi="Verdana"/>
          <w:sz w:val="18"/>
          <w:szCs w:val="18"/>
          <w:lang w:val="el-GR"/>
        </w:rPr>
        <w:t xml:space="preserve"> (</w:t>
      </w:r>
      <w:r w:rsidR="00833DCE">
        <w:rPr>
          <w:rFonts w:ascii="Verdana" w:hAnsi="Verdana"/>
          <w:sz w:val="18"/>
          <w:szCs w:val="18"/>
        </w:rPr>
        <w:t>Excel</w:t>
      </w:r>
      <w:r w:rsidR="00833DCE">
        <w:rPr>
          <w:rFonts w:ascii="Verdana" w:hAnsi="Verdana"/>
          <w:sz w:val="18"/>
          <w:szCs w:val="18"/>
          <w:lang w:val="el-GR"/>
        </w:rPr>
        <w:t>)</w:t>
      </w:r>
    </w:p>
    <w:p w14:paraId="7C49F543" w14:textId="427E5C6E" w:rsidR="00833DCE" w:rsidRDefault="00000000" w:rsidP="00833DCE">
      <w:pPr>
        <w:rPr>
          <w:rFonts w:ascii="Verdana" w:hAnsi="Verdana"/>
          <w:sz w:val="18"/>
          <w:szCs w:val="18"/>
          <w:lang w:val="el-GR"/>
        </w:rPr>
      </w:pPr>
      <w:hyperlink r:id="rId12" w:history="1">
        <w:r w:rsidR="00833DCE" w:rsidRPr="00CB1F4A">
          <w:rPr>
            <w:rStyle w:val="Hyperlink"/>
            <w:rFonts w:ascii="Verdana" w:hAnsi="Verdana"/>
            <w:sz w:val="18"/>
            <w:szCs w:val="18"/>
            <w:lang w:val="el-GR"/>
          </w:rPr>
          <w:t>Μεθοδολογικές Πληροφορίες</w:t>
        </w:r>
      </w:hyperlink>
    </w:p>
    <w:p w14:paraId="3C52FC08" w14:textId="77777777" w:rsidR="00833DCE" w:rsidRDefault="00833DCE" w:rsidP="00833DCE">
      <w:pPr>
        <w:rPr>
          <w:rFonts w:ascii="Verdana" w:hAnsi="Verdana"/>
          <w:sz w:val="18"/>
          <w:szCs w:val="18"/>
          <w:lang w:val="el-GR"/>
        </w:rPr>
      </w:pPr>
    </w:p>
    <w:p w14:paraId="569B9FF0" w14:textId="77777777" w:rsidR="00833DCE" w:rsidRDefault="00833DCE" w:rsidP="00833DCE">
      <w:pPr>
        <w:jc w:val="both"/>
        <w:rPr>
          <w:rFonts w:ascii="Verdana" w:hAnsi="Verdana"/>
          <w:b/>
          <w:bCs/>
          <w:sz w:val="18"/>
          <w:szCs w:val="18"/>
          <w:lang w:val="el-GR"/>
        </w:rPr>
      </w:pPr>
    </w:p>
    <w:p w14:paraId="2B539CA5" w14:textId="77777777" w:rsidR="00833DCE" w:rsidRPr="00183CB4" w:rsidRDefault="00833DCE" w:rsidP="00833DCE">
      <w:pPr>
        <w:jc w:val="both"/>
        <w:rPr>
          <w:rFonts w:ascii="Verdana" w:hAnsi="Verdana"/>
          <w:b/>
          <w:bCs/>
          <w:sz w:val="18"/>
          <w:szCs w:val="18"/>
          <w:lang w:val="el-GR"/>
        </w:rPr>
      </w:pPr>
      <w:r w:rsidRPr="00183CB4">
        <w:rPr>
          <w:rFonts w:ascii="Verdana" w:hAnsi="Verdana"/>
          <w:b/>
          <w:bCs/>
          <w:sz w:val="18"/>
          <w:szCs w:val="18"/>
          <w:lang w:val="el-GR"/>
        </w:rPr>
        <w:t xml:space="preserve">Οι </w:t>
      </w:r>
      <w:r w:rsidRPr="006E46DF">
        <w:rPr>
          <w:rFonts w:ascii="Verdana" w:hAnsi="Verdana"/>
          <w:b/>
          <w:bCs/>
          <w:sz w:val="18"/>
          <w:szCs w:val="18"/>
          <w:u w:val="single"/>
          <w:lang w:val="el-GR"/>
        </w:rPr>
        <w:t>Προκαθορισμένοι Πίνακες</w:t>
      </w:r>
      <w:r w:rsidRPr="006E46DF">
        <w:rPr>
          <w:rFonts w:ascii="Verdana" w:hAnsi="Verdana"/>
          <w:b/>
          <w:bCs/>
          <w:sz w:val="18"/>
          <w:szCs w:val="18"/>
          <w:lang w:val="el-GR"/>
        </w:rPr>
        <w:t xml:space="preserve"> σε μορφή</w:t>
      </w:r>
      <w:r w:rsidRPr="00183CB4">
        <w:rPr>
          <w:rFonts w:ascii="Verdana" w:hAnsi="Verdana"/>
          <w:b/>
          <w:bCs/>
          <w:sz w:val="18"/>
          <w:szCs w:val="18"/>
          <w:lang w:val="el-GR"/>
        </w:rPr>
        <w:t xml:space="preserve"> </w:t>
      </w:r>
      <w:r>
        <w:rPr>
          <w:rFonts w:ascii="Verdana" w:hAnsi="Verdana"/>
          <w:b/>
          <w:bCs/>
          <w:sz w:val="18"/>
          <w:szCs w:val="18"/>
        </w:rPr>
        <w:t>Excel</w:t>
      </w:r>
      <w:r w:rsidRPr="00183CB4">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183CB4">
        <w:rPr>
          <w:rFonts w:ascii="Verdana" w:hAnsi="Verdana"/>
          <w:b/>
          <w:bCs/>
          <w:sz w:val="18"/>
          <w:szCs w:val="18"/>
          <w:lang w:val="el-GR"/>
        </w:rPr>
        <w:t>-</w:t>
      </w:r>
      <w:r>
        <w:rPr>
          <w:rFonts w:ascii="Verdana" w:hAnsi="Verdana"/>
          <w:b/>
          <w:bCs/>
          <w:sz w:val="18"/>
          <w:szCs w:val="18"/>
        </w:rPr>
        <w:t>DB</w:t>
      </w:r>
      <w:r w:rsidRPr="00183CB4">
        <w:rPr>
          <w:rFonts w:ascii="Verdana" w:hAnsi="Verdana"/>
          <w:b/>
          <w:bCs/>
          <w:sz w:val="18"/>
          <w:szCs w:val="18"/>
          <w:lang w:val="el-GR"/>
        </w:rPr>
        <w:t>.</w:t>
      </w:r>
    </w:p>
    <w:p w14:paraId="41AD3358" w14:textId="77777777" w:rsidR="00833DCE" w:rsidRPr="00EA0DB2" w:rsidRDefault="00833DCE" w:rsidP="00833DCE">
      <w:pPr>
        <w:jc w:val="both"/>
        <w:rPr>
          <w:rFonts w:ascii="Verdana" w:hAnsi="Verdana"/>
          <w:i/>
          <w:iCs/>
          <w:color w:val="FF0000"/>
          <w:sz w:val="18"/>
          <w:szCs w:val="18"/>
          <w:u w:val="single"/>
          <w:lang w:val="el-GR"/>
        </w:rPr>
      </w:pPr>
    </w:p>
    <w:p w14:paraId="2C9782CC" w14:textId="77777777" w:rsidR="00833DCE" w:rsidRPr="005A08B1" w:rsidRDefault="00833DCE" w:rsidP="00833DCE">
      <w:pPr>
        <w:ind w:right="-79"/>
        <w:jc w:val="both"/>
        <w:rPr>
          <w:rFonts w:ascii="Verdana" w:eastAsia="Malgun Gothic" w:hAnsi="Verdana" w:cs="Arial"/>
          <w:sz w:val="18"/>
          <w:szCs w:val="18"/>
          <w:lang w:val="el-GR"/>
        </w:rPr>
      </w:pPr>
    </w:p>
    <w:p w14:paraId="4B819F0E" w14:textId="77777777" w:rsidR="00833DCE" w:rsidRPr="00D50BB4" w:rsidRDefault="00833DCE" w:rsidP="00833DCE">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46BFB8D9" w14:textId="77777777" w:rsidR="00833DCE" w:rsidRPr="009C4938" w:rsidRDefault="00833DCE" w:rsidP="00833DCE">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xml:space="preserve">, Ηλ.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42331BA" w14:textId="77777777" w:rsidR="00833DCE" w:rsidRPr="00EA0DB2" w:rsidRDefault="00833DCE" w:rsidP="00833DCE">
      <w:pPr>
        <w:ind w:right="-79"/>
        <w:jc w:val="both"/>
        <w:rPr>
          <w:rFonts w:ascii="Verdana" w:eastAsia="Malgun Gothic" w:hAnsi="Verdana" w:cs="Arial"/>
          <w:color w:val="FF0000"/>
          <w:sz w:val="18"/>
          <w:szCs w:val="18"/>
          <w:lang w:val="el-GR"/>
        </w:rPr>
      </w:pPr>
    </w:p>
    <w:p w14:paraId="15377EB2" w14:textId="77777777" w:rsidR="00833DCE" w:rsidRPr="00A618CF" w:rsidRDefault="00833DCE" w:rsidP="00833DCE">
      <w:pPr>
        <w:ind w:right="-79"/>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 </w:t>
      </w:r>
    </w:p>
    <w:p w14:paraId="0D042924" w14:textId="77777777" w:rsidR="00833DCE" w:rsidRPr="00A12E81" w:rsidRDefault="00833DCE" w:rsidP="00833DCE">
      <w:pPr>
        <w:jc w:val="center"/>
        <w:rPr>
          <w:rFonts w:ascii="Verdana" w:eastAsia="Malgun Gothic" w:hAnsi="Verdana" w:cs="Arial"/>
          <w:sz w:val="18"/>
          <w:szCs w:val="18"/>
          <w:lang w:val="el-GR"/>
        </w:rPr>
      </w:pPr>
    </w:p>
    <w:p w14:paraId="73AAFF93" w14:textId="77777777" w:rsidR="00833DCE" w:rsidRPr="00A12E81" w:rsidRDefault="00833DCE" w:rsidP="00833DCE">
      <w:pPr>
        <w:jc w:val="both"/>
        <w:rPr>
          <w:rFonts w:ascii="Verdana" w:eastAsia="Malgun Gothic" w:hAnsi="Verdana" w:cs="Arial"/>
          <w:sz w:val="18"/>
          <w:szCs w:val="18"/>
          <w:lang w:val="el-GR"/>
        </w:rPr>
      </w:pPr>
    </w:p>
    <w:p w14:paraId="021B9EC5" w14:textId="77777777" w:rsidR="00833DCE" w:rsidRDefault="00833DCE" w:rsidP="00833DCE">
      <w:pPr>
        <w:jc w:val="both"/>
        <w:rPr>
          <w:rFonts w:ascii="Verdana" w:eastAsia="Malgun Gothic" w:hAnsi="Verdana" w:cs="Arial"/>
          <w:sz w:val="18"/>
          <w:szCs w:val="18"/>
          <w:lang w:val="el-GR"/>
        </w:rPr>
      </w:pPr>
    </w:p>
    <w:p w14:paraId="78A6A27C" w14:textId="77777777" w:rsidR="00833DCE" w:rsidRDefault="00833DCE" w:rsidP="00833DCE">
      <w:pPr>
        <w:jc w:val="both"/>
        <w:rPr>
          <w:rFonts w:ascii="Verdana" w:eastAsia="Malgun Gothic" w:hAnsi="Verdana" w:cs="Arial"/>
          <w:sz w:val="18"/>
          <w:szCs w:val="18"/>
          <w:lang w:val="el-GR"/>
        </w:rPr>
      </w:pPr>
    </w:p>
    <w:p w14:paraId="2BB474B9" w14:textId="77777777" w:rsidR="00833DCE" w:rsidRDefault="00833DCE" w:rsidP="00833DCE">
      <w:pPr>
        <w:jc w:val="both"/>
        <w:rPr>
          <w:rFonts w:ascii="Verdana" w:eastAsia="Malgun Gothic" w:hAnsi="Verdana" w:cs="Arial"/>
          <w:sz w:val="18"/>
          <w:szCs w:val="18"/>
          <w:lang w:val="el-GR"/>
        </w:rPr>
      </w:pPr>
    </w:p>
    <w:p w14:paraId="44EEA98F" w14:textId="77777777" w:rsidR="00833DCE" w:rsidRPr="00833DCE" w:rsidRDefault="00833DCE" w:rsidP="00833DCE">
      <w:pPr>
        <w:tabs>
          <w:tab w:val="left" w:pos="1089"/>
        </w:tabs>
        <w:jc w:val="both"/>
        <w:rPr>
          <w:rFonts w:ascii="Verdana" w:eastAsia="Malgun Gothic" w:hAnsi="Verdana" w:cs="Arial"/>
          <w:sz w:val="18"/>
          <w:szCs w:val="18"/>
          <w:lang w:val="el-GR"/>
        </w:rPr>
      </w:pPr>
      <w:r>
        <w:rPr>
          <w:rFonts w:ascii="Verdana" w:eastAsia="Malgun Gothic" w:hAnsi="Verdana" w:cs="Arial"/>
          <w:sz w:val="18"/>
          <w:szCs w:val="18"/>
          <w:lang w:val="el-GR"/>
        </w:rPr>
        <w:tab/>
      </w:r>
    </w:p>
    <w:p w14:paraId="12EBB050" w14:textId="77777777" w:rsidR="00833DCE" w:rsidRPr="00A12E81" w:rsidRDefault="00833DCE" w:rsidP="00833DCE">
      <w:pPr>
        <w:jc w:val="both"/>
        <w:rPr>
          <w:rFonts w:ascii="Verdana" w:eastAsia="Malgun Gothic" w:hAnsi="Verdana" w:cs="Arial"/>
          <w:sz w:val="18"/>
          <w:szCs w:val="18"/>
          <w:lang w:val="el-GR"/>
        </w:rPr>
      </w:pPr>
    </w:p>
    <w:p w14:paraId="76D7ACF9" w14:textId="77777777" w:rsidR="00833DCE" w:rsidRPr="00A12E81" w:rsidRDefault="00833DCE" w:rsidP="00833DCE">
      <w:pPr>
        <w:tabs>
          <w:tab w:val="left" w:pos="1080"/>
          <w:tab w:val="left" w:pos="6840"/>
        </w:tabs>
        <w:jc w:val="center"/>
        <w:rPr>
          <w:rFonts w:ascii="Verdana" w:eastAsia="Malgun Gothic" w:hAnsi="Verdana" w:cs="Arial"/>
          <w:b/>
          <w:sz w:val="18"/>
          <w:szCs w:val="18"/>
          <w:u w:val="single"/>
          <w:lang w:val="el-GR"/>
        </w:rPr>
      </w:pPr>
    </w:p>
    <w:p w14:paraId="4B13CA5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1462513"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B092FF5"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A818C9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6FC4F3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8786F5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F550FF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6D522DA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4AE3EF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BB2D87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726DFF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96AC9F0"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8F414D2" w14:textId="36CF79F5" w:rsidR="001712CF" w:rsidRDefault="001712CF" w:rsidP="000E4CB0">
      <w:pPr>
        <w:jc w:val="both"/>
        <w:rPr>
          <w:rFonts w:ascii="Verdana" w:hAnsi="Verdana" w:cs="Arial"/>
          <w:sz w:val="18"/>
          <w:szCs w:val="18"/>
          <w:lang w:val="el-GR"/>
        </w:rPr>
      </w:pPr>
    </w:p>
    <w:p w14:paraId="50867249" w14:textId="50DB42E5" w:rsidR="001712CF" w:rsidRDefault="001712CF" w:rsidP="000E4CB0">
      <w:pPr>
        <w:jc w:val="both"/>
        <w:rPr>
          <w:rFonts w:ascii="Verdana" w:hAnsi="Verdana" w:cs="Arial"/>
          <w:sz w:val="18"/>
          <w:szCs w:val="18"/>
          <w:lang w:val="el-GR"/>
        </w:rPr>
      </w:pPr>
    </w:p>
    <w:p w14:paraId="06A22602" w14:textId="1598D3E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8D74DF">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0A38" w14:textId="77777777" w:rsidR="0075096F" w:rsidRDefault="0075096F" w:rsidP="00FB398F">
      <w:r>
        <w:separator/>
      </w:r>
    </w:p>
  </w:endnote>
  <w:endnote w:type="continuationSeparator" w:id="0">
    <w:p w14:paraId="766F90D9" w14:textId="77777777" w:rsidR="0075096F" w:rsidRDefault="0075096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1B7448">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7E47D0">
      <w:rPr>
        <w:lang w:val="el-GR"/>
      </w:rPr>
      <w:instrText xml:space="preserve"> "</w:instrText>
    </w:r>
    <w:r w:rsidR="00000000">
      <w:instrText>mailto</w:instrText>
    </w:r>
    <w:r w:rsidR="00000000" w:rsidRPr="007E47D0">
      <w:rPr>
        <w:lang w:val="el-GR"/>
      </w:rPr>
      <w:instrText>:</w:instrText>
    </w:r>
    <w:r w:rsidR="00000000">
      <w:instrText>enquiries</w:instrText>
    </w:r>
    <w:r w:rsidR="00000000" w:rsidRPr="007E47D0">
      <w:rPr>
        <w:lang w:val="el-GR"/>
      </w:rPr>
      <w:instrText>@</w:instrText>
    </w:r>
    <w:r w:rsidR="00000000">
      <w:instrText>cystat</w:instrText>
    </w:r>
    <w:r w:rsidR="00000000" w:rsidRPr="007E47D0">
      <w:rPr>
        <w:lang w:val="el-GR"/>
      </w:rPr>
      <w:instrText>.</w:instrText>
    </w:r>
    <w:r w:rsidR="00000000">
      <w:instrText>mof</w:instrText>
    </w:r>
    <w:r w:rsidR="00000000" w:rsidRPr="007E47D0">
      <w:rPr>
        <w:lang w:val="el-GR"/>
      </w:rPr>
      <w:instrText>.</w:instrText>
    </w:r>
    <w:r w:rsidR="00000000">
      <w:instrText>gov</w:instrText>
    </w:r>
    <w:r w:rsidR="00000000" w:rsidRPr="007E47D0">
      <w:rPr>
        <w:lang w:val="el-GR"/>
      </w:rPr>
      <w:instrText>.</w:instrText>
    </w:r>
    <w:r w:rsidR="00000000">
      <w:instrText>cy</w:instrText>
    </w:r>
    <w:r w:rsidR="00000000" w:rsidRPr="007E47D0">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E036" w14:textId="77777777" w:rsidR="0075096F" w:rsidRDefault="0075096F" w:rsidP="00FB398F">
      <w:r>
        <w:separator/>
      </w:r>
    </w:p>
  </w:footnote>
  <w:footnote w:type="continuationSeparator" w:id="0">
    <w:p w14:paraId="3CAEE637" w14:textId="77777777" w:rsidR="0075096F" w:rsidRDefault="0075096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06152CA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24572557">
    <w:abstractNumId w:val="4"/>
  </w:num>
  <w:num w:numId="2" w16cid:durableId="1210069212">
    <w:abstractNumId w:val="1"/>
  </w:num>
  <w:num w:numId="3" w16cid:durableId="2038852595">
    <w:abstractNumId w:val="2"/>
  </w:num>
  <w:num w:numId="4" w16cid:durableId="1726370462">
    <w:abstractNumId w:val="3"/>
  </w:num>
  <w:num w:numId="5" w16cid:durableId="268464844">
    <w:abstractNumId w:val="0"/>
  </w:num>
  <w:num w:numId="6" w16cid:durableId="1868130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07"/>
    <w:rsid w:val="00002458"/>
    <w:rsid w:val="0000542E"/>
    <w:rsid w:val="00006064"/>
    <w:rsid w:val="00013E40"/>
    <w:rsid w:val="000161B1"/>
    <w:rsid w:val="00025A39"/>
    <w:rsid w:val="00027853"/>
    <w:rsid w:val="00030E18"/>
    <w:rsid w:val="00031D32"/>
    <w:rsid w:val="00034877"/>
    <w:rsid w:val="0003603D"/>
    <w:rsid w:val="00036B5B"/>
    <w:rsid w:val="00045088"/>
    <w:rsid w:val="00045A06"/>
    <w:rsid w:val="00050391"/>
    <w:rsid w:val="00055291"/>
    <w:rsid w:val="000563D3"/>
    <w:rsid w:val="00057383"/>
    <w:rsid w:val="00057E44"/>
    <w:rsid w:val="00061299"/>
    <w:rsid w:val="00061476"/>
    <w:rsid w:val="00070576"/>
    <w:rsid w:val="000706CB"/>
    <w:rsid w:val="00072A06"/>
    <w:rsid w:val="000752BB"/>
    <w:rsid w:val="00080528"/>
    <w:rsid w:val="00080852"/>
    <w:rsid w:val="00081ADF"/>
    <w:rsid w:val="0008445B"/>
    <w:rsid w:val="00084A02"/>
    <w:rsid w:val="00084BF7"/>
    <w:rsid w:val="000870E9"/>
    <w:rsid w:val="0009236F"/>
    <w:rsid w:val="000932CF"/>
    <w:rsid w:val="0009481F"/>
    <w:rsid w:val="00096ED8"/>
    <w:rsid w:val="000A0E1A"/>
    <w:rsid w:val="000A1A88"/>
    <w:rsid w:val="000A28F7"/>
    <w:rsid w:val="000A2B5C"/>
    <w:rsid w:val="000A3601"/>
    <w:rsid w:val="000A6FA8"/>
    <w:rsid w:val="000B6C36"/>
    <w:rsid w:val="000C1070"/>
    <w:rsid w:val="000C4E72"/>
    <w:rsid w:val="000D1E7A"/>
    <w:rsid w:val="000D779C"/>
    <w:rsid w:val="000E24B1"/>
    <w:rsid w:val="000E2735"/>
    <w:rsid w:val="000E32D6"/>
    <w:rsid w:val="000E4CB0"/>
    <w:rsid w:val="000E57F2"/>
    <w:rsid w:val="000E72A7"/>
    <w:rsid w:val="000F1162"/>
    <w:rsid w:val="000F3467"/>
    <w:rsid w:val="000F38DE"/>
    <w:rsid w:val="000F532A"/>
    <w:rsid w:val="000F5D6C"/>
    <w:rsid w:val="00106852"/>
    <w:rsid w:val="00110AC4"/>
    <w:rsid w:val="00110F9D"/>
    <w:rsid w:val="00114A67"/>
    <w:rsid w:val="00115E99"/>
    <w:rsid w:val="001218D6"/>
    <w:rsid w:val="00122828"/>
    <w:rsid w:val="001253B6"/>
    <w:rsid w:val="001262C3"/>
    <w:rsid w:val="00127320"/>
    <w:rsid w:val="00127456"/>
    <w:rsid w:val="001312D8"/>
    <w:rsid w:val="0013137B"/>
    <w:rsid w:val="00143637"/>
    <w:rsid w:val="0015118B"/>
    <w:rsid w:val="001519CE"/>
    <w:rsid w:val="0015607B"/>
    <w:rsid w:val="00161CF3"/>
    <w:rsid w:val="00162C00"/>
    <w:rsid w:val="001639EF"/>
    <w:rsid w:val="0016589F"/>
    <w:rsid w:val="00166B3C"/>
    <w:rsid w:val="001712CF"/>
    <w:rsid w:val="0017769A"/>
    <w:rsid w:val="00180CAC"/>
    <w:rsid w:val="00183DFC"/>
    <w:rsid w:val="00184384"/>
    <w:rsid w:val="00186717"/>
    <w:rsid w:val="00187FFC"/>
    <w:rsid w:val="0019391C"/>
    <w:rsid w:val="001A2018"/>
    <w:rsid w:val="001B16AF"/>
    <w:rsid w:val="001B2C39"/>
    <w:rsid w:val="001B305A"/>
    <w:rsid w:val="001B3675"/>
    <w:rsid w:val="001B3A6A"/>
    <w:rsid w:val="001B5E10"/>
    <w:rsid w:val="001B6AB3"/>
    <w:rsid w:val="001B73D5"/>
    <w:rsid w:val="001B7448"/>
    <w:rsid w:val="001C0681"/>
    <w:rsid w:val="001C62B3"/>
    <w:rsid w:val="001C7C8C"/>
    <w:rsid w:val="001D0D6A"/>
    <w:rsid w:val="001D20A4"/>
    <w:rsid w:val="001E00D1"/>
    <w:rsid w:val="001E0E58"/>
    <w:rsid w:val="001E14F3"/>
    <w:rsid w:val="001E15ED"/>
    <w:rsid w:val="001E61AA"/>
    <w:rsid w:val="0020309E"/>
    <w:rsid w:val="00210B58"/>
    <w:rsid w:val="00214791"/>
    <w:rsid w:val="00222423"/>
    <w:rsid w:val="00225B28"/>
    <w:rsid w:val="00225EED"/>
    <w:rsid w:val="00226891"/>
    <w:rsid w:val="0022799A"/>
    <w:rsid w:val="00230D9B"/>
    <w:rsid w:val="002313AC"/>
    <w:rsid w:val="00235FB2"/>
    <w:rsid w:val="00237BC1"/>
    <w:rsid w:val="00237E43"/>
    <w:rsid w:val="00241893"/>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55B9"/>
    <w:rsid w:val="0028338F"/>
    <w:rsid w:val="002915C4"/>
    <w:rsid w:val="00297E6B"/>
    <w:rsid w:val="002A108B"/>
    <w:rsid w:val="002A1D1C"/>
    <w:rsid w:val="002A4D64"/>
    <w:rsid w:val="002A7603"/>
    <w:rsid w:val="002B4969"/>
    <w:rsid w:val="002B6554"/>
    <w:rsid w:val="002D05F0"/>
    <w:rsid w:val="002D2829"/>
    <w:rsid w:val="002D7D4A"/>
    <w:rsid w:val="002E3846"/>
    <w:rsid w:val="002E3F78"/>
    <w:rsid w:val="002F00AD"/>
    <w:rsid w:val="002F400C"/>
    <w:rsid w:val="002F4D76"/>
    <w:rsid w:val="002F6D26"/>
    <w:rsid w:val="0030231E"/>
    <w:rsid w:val="003042C4"/>
    <w:rsid w:val="00304CB4"/>
    <w:rsid w:val="00313F37"/>
    <w:rsid w:val="003141D0"/>
    <w:rsid w:val="003168C1"/>
    <w:rsid w:val="00322FBE"/>
    <w:rsid w:val="00325632"/>
    <w:rsid w:val="003269CB"/>
    <w:rsid w:val="00327549"/>
    <w:rsid w:val="003342A5"/>
    <w:rsid w:val="00334616"/>
    <w:rsid w:val="00336C36"/>
    <w:rsid w:val="0034139D"/>
    <w:rsid w:val="00343815"/>
    <w:rsid w:val="003522BB"/>
    <w:rsid w:val="00352F6C"/>
    <w:rsid w:val="003556EA"/>
    <w:rsid w:val="00365251"/>
    <w:rsid w:val="00375ABE"/>
    <w:rsid w:val="00386FC7"/>
    <w:rsid w:val="00390A32"/>
    <w:rsid w:val="003A1E91"/>
    <w:rsid w:val="003A40F2"/>
    <w:rsid w:val="003A50D1"/>
    <w:rsid w:val="003B196D"/>
    <w:rsid w:val="003B2710"/>
    <w:rsid w:val="003B4608"/>
    <w:rsid w:val="003B6B46"/>
    <w:rsid w:val="003C2392"/>
    <w:rsid w:val="003C5174"/>
    <w:rsid w:val="003C5240"/>
    <w:rsid w:val="003C76E6"/>
    <w:rsid w:val="003D1190"/>
    <w:rsid w:val="003D14E0"/>
    <w:rsid w:val="003D1EA5"/>
    <w:rsid w:val="003D3348"/>
    <w:rsid w:val="003D4E63"/>
    <w:rsid w:val="003D6822"/>
    <w:rsid w:val="003D724C"/>
    <w:rsid w:val="003E0CE2"/>
    <w:rsid w:val="003E1C96"/>
    <w:rsid w:val="003F49E4"/>
    <w:rsid w:val="003F4D2F"/>
    <w:rsid w:val="003F5E32"/>
    <w:rsid w:val="003F75F6"/>
    <w:rsid w:val="00404670"/>
    <w:rsid w:val="00414CA0"/>
    <w:rsid w:val="004150AE"/>
    <w:rsid w:val="00422F54"/>
    <w:rsid w:val="00427269"/>
    <w:rsid w:val="00431516"/>
    <w:rsid w:val="004361B3"/>
    <w:rsid w:val="0044249D"/>
    <w:rsid w:val="00442EAE"/>
    <w:rsid w:val="0044379F"/>
    <w:rsid w:val="00444FCC"/>
    <w:rsid w:val="00446FB1"/>
    <w:rsid w:val="00450A17"/>
    <w:rsid w:val="00452753"/>
    <w:rsid w:val="0045648E"/>
    <w:rsid w:val="0046078F"/>
    <w:rsid w:val="00463214"/>
    <w:rsid w:val="00463A3E"/>
    <w:rsid w:val="0046434D"/>
    <w:rsid w:val="004656FA"/>
    <w:rsid w:val="00471D77"/>
    <w:rsid w:val="00473686"/>
    <w:rsid w:val="00475587"/>
    <w:rsid w:val="00480BC2"/>
    <w:rsid w:val="004845C3"/>
    <w:rsid w:val="004929C2"/>
    <w:rsid w:val="00492E57"/>
    <w:rsid w:val="00493FC1"/>
    <w:rsid w:val="00493FDD"/>
    <w:rsid w:val="0049586B"/>
    <w:rsid w:val="00496692"/>
    <w:rsid w:val="004A3E44"/>
    <w:rsid w:val="004B12C5"/>
    <w:rsid w:val="004B2018"/>
    <w:rsid w:val="004B2896"/>
    <w:rsid w:val="004B38E9"/>
    <w:rsid w:val="004B3FBA"/>
    <w:rsid w:val="004B6599"/>
    <w:rsid w:val="004C6CA7"/>
    <w:rsid w:val="004D4357"/>
    <w:rsid w:val="004D4950"/>
    <w:rsid w:val="004D5733"/>
    <w:rsid w:val="004E2393"/>
    <w:rsid w:val="004E3745"/>
    <w:rsid w:val="004E3CC1"/>
    <w:rsid w:val="004E42BE"/>
    <w:rsid w:val="004E4F42"/>
    <w:rsid w:val="004E63D5"/>
    <w:rsid w:val="004F03FD"/>
    <w:rsid w:val="004F52F0"/>
    <w:rsid w:val="004F6250"/>
    <w:rsid w:val="004F677C"/>
    <w:rsid w:val="004F6D8F"/>
    <w:rsid w:val="00505503"/>
    <w:rsid w:val="00510C3B"/>
    <w:rsid w:val="0051107B"/>
    <w:rsid w:val="00512F9C"/>
    <w:rsid w:val="00527CDB"/>
    <w:rsid w:val="005341C9"/>
    <w:rsid w:val="005369CA"/>
    <w:rsid w:val="00536DE9"/>
    <w:rsid w:val="005415A7"/>
    <w:rsid w:val="00541E08"/>
    <w:rsid w:val="00554FE0"/>
    <w:rsid w:val="0055614C"/>
    <w:rsid w:val="0055789A"/>
    <w:rsid w:val="00560952"/>
    <w:rsid w:val="00563DB5"/>
    <w:rsid w:val="005652D1"/>
    <w:rsid w:val="005660A0"/>
    <w:rsid w:val="00566A4F"/>
    <w:rsid w:val="00567D64"/>
    <w:rsid w:val="00584FA1"/>
    <w:rsid w:val="0058614D"/>
    <w:rsid w:val="00591245"/>
    <w:rsid w:val="005978D4"/>
    <w:rsid w:val="005A23FA"/>
    <w:rsid w:val="005A32CA"/>
    <w:rsid w:val="005B2A67"/>
    <w:rsid w:val="005B3DCD"/>
    <w:rsid w:val="005B4AD4"/>
    <w:rsid w:val="005C2798"/>
    <w:rsid w:val="005C36C3"/>
    <w:rsid w:val="005C49D2"/>
    <w:rsid w:val="005C56EE"/>
    <w:rsid w:val="005C5ACC"/>
    <w:rsid w:val="005D1714"/>
    <w:rsid w:val="005D7638"/>
    <w:rsid w:val="005F12F5"/>
    <w:rsid w:val="005F7C7D"/>
    <w:rsid w:val="006044B7"/>
    <w:rsid w:val="006071CE"/>
    <w:rsid w:val="00607399"/>
    <w:rsid w:val="006075B5"/>
    <w:rsid w:val="0061018C"/>
    <w:rsid w:val="0061094E"/>
    <w:rsid w:val="00613440"/>
    <w:rsid w:val="00613BE3"/>
    <w:rsid w:val="0062327B"/>
    <w:rsid w:val="00625510"/>
    <w:rsid w:val="00632777"/>
    <w:rsid w:val="00633750"/>
    <w:rsid w:val="00634491"/>
    <w:rsid w:val="0063679C"/>
    <w:rsid w:val="00637055"/>
    <w:rsid w:val="00641D59"/>
    <w:rsid w:val="00644507"/>
    <w:rsid w:val="00646880"/>
    <w:rsid w:val="00647D2A"/>
    <w:rsid w:val="006537BB"/>
    <w:rsid w:val="00655CDC"/>
    <w:rsid w:val="0065643E"/>
    <w:rsid w:val="00667E07"/>
    <w:rsid w:val="00671785"/>
    <w:rsid w:val="00671C46"/>
    <w:rsid w:val="006725B5"/>
    <w:rsid w:val="00672BA9"/>
    <w:rsid w:val="00673005"/>
    <w:rsid w:val="006804BE"/>
    <w:rsid w:val="0068434A"/>
    <w:rsid w:val="006846A7"/>
    <w:rsid w:val="0069008E"/>
    <w:rsid w:val="0069087E"/>
    <w:rsid w:val="006925C4"/>
    <w:rsid w:val="006A02B7"/>
    <w:rsid w:val="006A7019"/>
    <w:rsid w:val="006B46D5"/>
    <w:rsid w:val="006B46F4"/>
    <w:rsid w:val="006C452D"/>
    <w:rsid w:val="006C7AF3"/>
    <w:rsid w:val="006D0B9D"/>
    <w:rsid w:val="006D6548"/>
    <w:rsid w:val="006E0E20"/>
    <w:rsid w:val="006E4256"/>
    <w:rsid w:val="006E4BBA"/>
    <w:rsid w:val="006E5F43"/>
    <w:rsid w:val="006E60A6"/>
    <w:rsid w:val="006E7DE7"/>
    <w:rsid w:val="006F0F69"/>
    <w:rsid w:val="006F116B"/>
    <w:rsid w:val="006F117F"/>
    <w:rsid w:val="006F13DF"/>
    <w:rsid w:val="006F2780"/>
    <w:rsid w:val="006F570B"/>
    <w:rsid w:val="0070211B"/>
    <w:rsid w:val="00702F26"/>
    <w:rsid w:val="0070313E"/>
    <w:rsid w:val="00703799"/>
    <w:rsid w:val="00705C5C"/>
    <w:rsid w:val="00711475"/>
    <w:rsid w:val="007240EE"/>
    <w:rsid w:val="0072548A"/>
    <w:rsid w:val="007277A6"/>
    <w:rsid w:val="007413F2"/>
    <w:rsid w:val="007437AB"/>
    <w:rsid w:val="00745425"/>
    <w:rsid w:val="0075096F"/>
    <w:rsid w:val="007534F8"/>
    <w:rsid w:val="007541FF"/>
    <w:rsid w:val="007545AD"/>
    <w:rsid w:val="00763722"/>
    <w:rsid w:val="00764BC1"/>
    <w:rsid w:val="00770869"/>
    <w:rsid w:val="007738AA"/>
    <w:rsid w:val="00780A62"/>
    <w:rsid w:val="00783241"/>
    <w:rsid w:val="00784BDC"/>
    <w:rsid w:val="00792F28"/>
    <w:rsid w:val="007935CA"/>
    <w:rsid w:val="0079543F"/>
    <w:rsid w:val="00795880"/>
    <w:rsid w:val="00797FAC"/>
    <w:rsid w:val="007A4367"/>
    <w:rsid w:val="007B0867"/>
    <w:rsid w:val="007B1AC1"/>
    <w:rsid w:val="007B5A08"/>
    <w:rsid w:val="007B693D"/>
    <w:rsid w:val="007C0F44"/>
    <w:rsid w:val="007C4CDC"/>
    <w:rsid w:val="007E041B"/>
    <w:rsid w:val="007E17D1"/>
    <w:rsid w:val="007E199A"/>
    <w:rsid w:val="007E1AED"/>
    <w:rsid w:val="007E2415"/>
    <w:rsid w:val="007E39F3"/>
    <w:rsid w:val="007E405E"/>
    <w:rsid w:val="007E47D0"/>
    <w:rsid w:val="007E68F4"/>
    <w:rsid w:val="007E6DE2"/>
    <w:rsid w:val="007F31BA"/>
    <w:rsid w:val="007F4078"/>
    <w:rsid w:val="0080014B"/>
    <w:rsid w:val="00801793"/>
    <w:rsid w:val="00803642"/>
    <w:rsid w:val="00806EA2"/>
    <w:rsid w:val="00812A2B"/>
    <w:rsid w:val="00814A30"/>
    <w:rsid w:val="00814A4C"/>
    <w:rsid w:val="00816492"/>
    <w:rsid w:val="008246F5"/>
    <w:rsid w:val="00831AAB"/>
    <w:rsid w:val="00833BCD"/>
    <w:rsid w:val="00833DCE"/>
    <w:rsid w:val="00834B82"/>
    <w:rsid w:val="008350D7"/>
    <w:rsid w:val="0083574E"/>
    <w:rsid w:val="0083640C"/>
    <w:rsid w:val="008374E3"/>
    <w:rsid w:val="0084157B"/>
    <w:rsid w:val="00842BFB"/>
    <w:rsid w:val="00843617"/>
    <w:rsid w:val="00846B85"/>
    <w:rsid w:val="00847DC3"/>
    <w:rsid w:val="00847F49"/>
    <w:rsid w:val="008535C5"/>
    <w:rsid w:val="00853765"/>
    <w:rsid w:val="0085516F"/>
    <w:rsid w:val="00855BD3"/>
    <w:rsid w:val="00867186"/>
    <w:rsid w:val="008677F2"/>
    <w:rsid w:val="00870AF6"/>
    <w:rsid w:val="00871441"/>
    <w:rsid w:val="00872FD4"/>
    <w:rsid w:val="00877452"/>
    <w:rsid w:val="00881268"/>
    <w:rsid w:val="0088394A"/>
    <w:rsid w:val="008860BD"/>
    <w:rsid w:val="00887399"/>
    <w:rsid w:val="0088779E"/>
    <w:rsid w:val="00890C50"/>
    <w:rsid w:val="008912AF"/>
    <w:rsid w:val="00892114"/>
    <w:rsid w:val="00892CB9"/>
    <w:rsid w:val="008935CB"/>
    <w:rsid w:val="00893BB6"/>
    <w:rsid w:val="008B0E7E"/>
    <w:rsid w:val="008B6569"/>
    <w:rsid w:val="008B65BD"/>
    <w:rsid w:val="008B7900"/>
    <w:rsid w:val="008C71BF"/>
    <w:rsid w:val="008C7FE0"/>
    <w:rsid w:val="008D5717"/>
    <w:rsid w:val="008D74DF"/>
    <w:rsid w:val="008E44A9"/>
    <w:rsid w:val="008E6B4D"/>
    <w:rsid w:val="008E6BFF"/>
    <w:rsid w:val="008F21AF"/>
    <w:rsid w:val="008F2400"/>
    <w:rsid w:val="008F61BA"/>
    <w:rsid w:val="008F6E3C"/>
    <w:rsid w:val="008F7C55"/>
    <w:rsid w:val="00914A23"/>
    <w:rsid w:val="009178B1"/>
    <w:rsid w:val="00930754"/>
    <w:rsid w:val="00934F68"/>
    <w:rsid w:val="009355AC"/>
    <w:rsid w:val="00935F38"/>
    <w:rsid w:val="00937586"/>
    <w:rsid w:val="00947889"/>
    <w:rsid w:val="009478BD"/>
    <w:rsid w:val="00960E98"/>
    <w:rsid w:val="00963A82"/>
    <w:rsid w:val="00972912"/>
    <w:rsid w:val="00976D1F"/>
    <w:rsid w:val="00981C81"/>
    <w:rsid w:val="00982624"/>
    <w:rsid w:val="009A2D24"/>
    <w:rsid w:val="009A456C"/>
    <w:rsid w:val="009B00E0"/>
    <w:rsid w:val="009B292A"/>
    <w:rsid w:val="009B76D5"/>
    <w:rsid w:val="009C165D"/>
    <w:rsid w:val="009C3CEA"/>
    <w:rsid w:val="009C583D"/>
    <w:rsid w:val="009C7812"/>
    <w:rsid w:val="009D0EBD"/>
    <w:rsid w:val="009D2611"/>
    <w:rsid w:val="009D79D2"/>
    <w:rsid w:val="009E247C"/>
    <w:rsid w:val="009E31BA"/>
    <w:rsid w:val="009E73C7"/>
    <w:rsid w:val="009F0528"/>
    <w:rsid w:val="009F0806"/>
    <w:rsid w:val="009F233B"/>
    <w:rsid w:val="00A00F24"/>
    <w:rsid w:val="00A02117"/>
    <w:rsid w:val="00A05D16"/>
    <w:rsid w:val="00A0659F"/>
    <w:rsid w:val="00A079BA"/>
    <w:rsid w:val="00A13ABE"/>
    <w:rsid w:val="00A14E8C"/>
    <w:rsid w:val="00A2013F"/>
    <w:rsid w:val="00A20C70"/>
    <w:rsid w:val="00A30701"/>
    <w:rsid w:val="00A33875"/>
    <w:rsid w:val="00A360A1"/>
    <w:rsid w:val="00A402B3"/>
    <w:rsid w:val="00A4655D"/>
    <w:rsid w:val="00A47ED6"/>
    <w:rsid w:val="00A5352C"/>
    <w:rsid w:val="00A544B7"/>
    <w:rsid w:val="00A618CF"/>
    <w:rsid w:val="00A62770"/>
    <w:rsid w:val="00A62EEB"/>
    <w:rsid w:val="00A660FF"/>
    <w:rsid w:val="00A732B4"/>
    <w:rsid w:val="00A73395"/>
    <w:rsid w:val="00A771E3"/>
    <w:rsid w:val="00A82B4C"/>
    <w:rsid w:val="00A93A4C"/>
    <w:rsid w:val="00A94D5D"/>
    <w:rsid w:val="00AA1D9B"/>
    <w:rsid w:val="00AA2543"/>
    <w:rsid w:val="00AA2810"/>
    <w:rsid w:val="00AA3804"/>
    <w:rsid w:val="00AA55C2"/>
    <w:rsid w:val="00AB0ACA"/>
    <w:rsid w:val="00AB1D41"/>
    <w:rsid w:val="00AC57F9"/>
    <w:rsid w:val="00AC5E9A"/>
    <w:rsid w:val="00AC704B"/>
    <w:rsid w:val="00AD553E"/>
    <w:rsid w:val="00AD5848"/>
    <w:rsid w:val="00AE5ADA"/>
    <w:rsid w:val="00AF6145"/>
    <w:rsid w:val="00B01386"/>
    <w:rsid w:val="00B01915"/>
    <w:rsid w:val="00B01BB5"/>
    <w:rsid w:val="00B026CC"/>
    <w:rsid w:val="00B04AF4"/>
    <w:rsid w:val="00B05166"/>
    <w:rsid w:val="00B05214"/>
    <w:rsid w:val="00B1372E"/>
    <w:rsid w:val="00B20458"/>
    <w:rsid w:val="00B21E89"/>
    <w:rsid w:val="00B276D0"/>
    <w:rsid w:val="00B30D97"/>
    <w:rsid w:val="00B31074"/>
    <w:rsid w:val="00B3181A"/>
    <w:rsid w:val="00B35A7C"/>
    <w:rsid w:val="00B44ECD"/>
    <w:rsid w:val="00B450D1"/>
    <w:rsid w:val="00B51685"/>
    <w:rsid w:val="00B53D47"/>
    <w:rsid w:val="00B54A25"/>
    <w:rsid w:val="00B618C3"/>
    <w:rsid w:val="00B63652"/>
    <w:rsid w:val="00B668B0"/>
    <w:rsid w:val="00B70F5C"/>
    <w:rsid w:val="00B71873"/>
    <w:rsid w:val="00B75AE5"/>
    <w:rsid w:val="00B800C0"/>
    <w:rsid w:val="00B8132B"/>
    <w:rsid w:val="00B814B7"/>
    <w:rsid w:val="00B84C5A"/>
    <w:rsid w:val="00B858F5"/>
    <w:rsid w:val="00B93668"/>
    <w:rsid w:val="00BA40F3"/>
    <w:rsid w:val="00BA68C6"/>
    <w:rsid w:val="00BB12F1"/>
    <w:rsid w:val="00BB276E"/>
    <w:rsid w:val="00BB3FEE"/>
    <w:rsid w:val="00BB5EB0"/>
    <w:rsid w:val="00BC245A"/>
    <w:rsid w:val="00BD08D3"/>
    <w:rsid w:val="00BD16FA"/>
    <w:rsid w:val="00BD41C3"/>
    <w:rsid w:val="00BD488B"/>
    <w:rsid w:val="00BD7CCC"/>
    <w:rsid w:val="00BE002A"/>
    <w:rsid w:val="00BE0283"/>
    <w:rsid w:val="00BE1BC9"/>
    <w:rsid w:val="00BE5CDA"/>
    <w:rsid w:val="00BE608F"/>
    <w:rsid w:val="00BF23BB"/>
    <w:rsid w:val="00BF33DD"/>
    <w:rsid w:val="00BF5755"/>
    <w:rsid w:val="00BF5ED7"/>
    <w:rsid w:val="00BF684B"/>
    <w:rsid w:val="00C016F3"/>
    <w:rsid w:val="00C05128"/>
    <w:rsid w:val="00C05C86"/>
    <w:rsid w:val="00C15193"/>
    <w:rsid w:val="00C15609"/>
    <w:rsid w:val="00C15F6A"/>
    <w:rsid w:val="00C23EA7"/>
    <w:rsid w:val="00C256F3"/>
    <w:rsid w:val="00C270A2"/>
    <w:rsid w:val="00C30A90"/>
    <w:rsid w:val="00C315B5"/>
    <w:rsid w:val="00C326F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11E8"/>
    <w:rsid w:val="00C72B76"/>
    <w:rsid w:val="00C733AA"/>
    <w:rsid w:val="00C83027"/>
    <w:rsid w:val="00C84B8A"/>
    <w:rsid w:val="00C85E65"/>
    <w:rsid w:val="00C87CA1"/>
    <w:rsid w:val="00C911B4"/>
    <w:rsid w:val="00C91B3B"/>
    <w:rsid w:val="00C91DEA"/>
    <w:rsid w:val="00C9378B"/>
    <w:rsid w:val="00C94262"/>
    <w:rsid w:val="00C945F1"/>
    <w:rsid w:val="00C976E1"/>
    <w:rsid w:val="00CA148E"/>
    <w:rsid w:val="00CA3A9A"/>
    <w:rsid w:val="00CA7249"/>
    <w:rsid w:val="00CB1F4A"/>
    <w:rsid w:val="00CB6BC1"/>
    <w:rsid w:val="00CB7021"/>
    <w:rsid w:val="00CD3294"/>
    <w:rsid w:val="00CD4524"/>
    <w:rsid w:val="00CD784D"/>
    <w:rsid w:val="00CE7B7D"/>
    <w:rsid w:val="00CF3A1C"/>
    <w:rsid w:val="00CF40F8"/>
    <w:rsid w:val="00D008DA"/>
    <w:rsid w:val="00D0416F"/>
    <w:rsid w:val="00D05851"/>
    <w:rsid w:val="00D10FED"/>
    <w:rsid w:val="00D11736"/>
    <w:rsid w:val="00D12EE8"/>
    <w:rsid w:val="00D14CDF"/>
    <w:rsid w:val="00D15FF1"/>
    <w:rsid w:val="00D164DA"/>
    <w:rsid w:val="00D167F4"/>
    <w:rsid w:val="00D17882"/>
    <w:rsid w:val="00D2092A"/>
    <w:rsid w:val="00D2216D"/>
    <w:rsid w:val="00D31A6F"/>
    <w:rsid w:val="00D33B3B"/>
    <w:rsid w:val="00D3531F"/>
    <w:rsid w:val="00D353D1"/>
    <w:rsid w:val="00D367DB"/>
    <w:rsid w:val="00D36E05"/>
    <w:rsid w:val="00D44F27"/>
    <w:rsid w:val="00D451F9"/>
    <w:rsid w:val="00D45304"/>
    <w:rsid w:val="00D46165"/>
    <w:rsid w:val="00D461C7"/>
    <w:rsid w:val="00D50424"/>
    <w:rsid w:val="00D50445"/>
    <w:rsid w:val="00D525C9"/>
    <w:rsid w:val="00D57D3E"/>
    <w:rsid w:val="00D644FE"/>
    <w:rsid w:val="00D645F6"/>
    <w:rsid w:val="00D76249"/>
    <w:rsid w:val="00DA7D12"/>
    <w:rsid w:val="00DC205C"/>
    <w:rsid w:val="00DC23CF"/>
    <w:rsid w:val="00DC2DEE"/>
    <w:rsid w:val="00DC6562"/>
    <w:rsid w:val="00DD53A0"/>
    <w:rsid w:val="00DE117E"/>
    <w:rsid w:val="00DE130D"/>
    <w:rsid w:val="00DE24CF"/>
    <w:rsid w:val="00DE407C"/>
    <w:rsid w:val="00DE4F2E"/>
    <w:rsid w:val="00DE7C7D"/>
    <w:rsid w:val="00DF229B"/>
    <w:rsid w:val="00DF2992"/>
    <w:rsid w:val="00DF2D0C"/>
    <w:rsid w:val="00E00058"/>
    <w:rsid w:val="00E01B9D"/>
    <w:rsid w:val="00E0468F"/>
    <w:rsid w:val="00E04F5E"/>
    <w:rsid w:val="00E0522E"/>
    <w:rsid w:val="00E120F4"/>
    <w:rsid w:val="00E17172"/>
    <w:rsid w:val="00E207FB"/>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52CF"/>
    <w:rsid w:val="00ED721A"/>
    <w:rsid w:val="00EE393D"/>
    <w:rsid w:val="00EF01CF"/>
    <w:rsid w:val="00EF3FEE"/>
    <w:rsid w:val="00EF6A47"/>
    <w:rsid w:val="00EF72BE"/>
    <w:rsid w:val="00EF7AF9"/>
    <w:rsid w:val="00F00952"/>
    <w:rsid w:val="00F01495"/>
    <w:rsid w:val="00F05ABE"/>
    <w:rsid w:val="00F10138"/>
    <w:rsid w:val="00F13F92"/>
    <w:rsid w:val="00F22ECA"/>
    <w:rsid w:val="00F240E8"/>
    <w:rsid w:val="00F244FA"/>
    <w:rsid w:val="00F27191"/>
    <w:rsid w:val="00F366A2"/>
    <w:rsid w:val="00F37649"/>
    <w:rsid w:val="00F44F43"/>
    <w:rsid w:val="00F450E1"/>
    <w:rsid w:val="00F4577F"/>
    <w:rsid w:val="00F50DF4"/>
    <w:rsid w:val="00F57AFE"/>
    <w:rsid w:val="00F6278E"/>
    <w:rsid w:val="00F63C41"/>
    <w:rsid w:val="00F63E96"/>
    <w:rsid w:val="00F701E3"/>
    <w:rsid w:val="00F71008"/>
    <w:rsid w:val="00F71F8C"/>
    <w:rsid w:val="00F86AD4"/>
    <w:rsid w:val="00F9558B"/>
    <w:rsid w:val="00F96322"/>
    <w:rsid w:val="00FA0113"/>
    <w:rsid w:val="00FA12B2"/>
    <w:rsid w:val="00FA733F"/>
    <w:rsid w:val="00FA7610"/>
    <w:rsid w:val="00FB02BD"/>
    <w:rsid w:val="00FB398F"/>
    <w:rsid w:val="00FB4EF8"/>
    <w:rsid w:val="00FB54AE"/>
    <w:rsid w:val="00FB709A"/>
    <w:rsid w:val="00FB78DD"/>
    <w:rsid w:val="00FB7E16"/>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5C49D2"/>
    <w:rPr>
      <w:color w:val="605E5C"/>
      <w:shd w:val="clear" w:color="auto" w:fill="E1DFDD"/>
    </w:rPr>
  </w:style>
  <w:style w:type="character" w:styleId="FollowedHyperlink">
    <w:name w:val="FollowedHyperlink"/>
    <w:basedOn w:val="DefaultParagraphFont"/>
    <w:uiPriority w:val="99"/>
    <w:semiHidden/>
    <w:unhideWhenUsed/>
    <w:rsid w:val="00CB1F4A"/>
    <w:rPr>
      <w:color w:val="954F72" w:themeColor="followedHyperlink"/>
      <w:u w:val="single"/>
    </w:rPr>
  </w:style>
  <w:style w:type="paragraph" w:styleId="Revision">
    <w:name w:val="Revision"/>
    <w:hidden/>
    <w:uiPriority w:val="99"/>
    <w:semiHidden/>
    <w:rsid w:val="00C945F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916;&#951;&#956;&#959;&#963;&#943;&#949;&#965;&#963;&#951;%20-%20&#913;&#960;&#945;&#963;&#967;&#972;&#955;&#951;&#963;&#951;%20&#922;&#965;&#946;&#941;&#961;&#957;&#951;&#963;&#951;&#962;%20&#945;&#957;&#940;%20&#922;&#945;&#964;&#951;&#947;&#959;&#961;&#943;&#945;,%20&#913;&#960;&#961;%202023\Monthly_GLF_Graphs_M04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Verdana"/>
                <a:ea typeface="Verdana"/>
                <a:cs typeface="Verdana"/>
              </a:defRPr>
            </a:pPr>
            <a:r>
              <a:rPr lang="el-GR"/>
              <a:t>Απασχόληση Κυβέρνησης ανά Κατηγορία  </a:t>
            </a:r>
          </a:p>
        </c:rich>
      </c:tx>
      <c:layout>
        <c:manualLayout>
          <c:xMode val="edge"/>
          <c:yMode val="edge"/>
          <c:x val="0.22926039157942024"/>
          <c:y val="3.382663847780127E-2"/>
        </c:manualLayout>
      </c:layout>
      <c:overlay val="0"/>
    </c:title>
    <c:autoTitleDeleted val="0"/>
    <c:plotArea>
      <c:layout>
        <c:manualLayout>
          <c:layoutTarget val="inner"/>
          <c:xMode val="edge"/>
          <c:yMode val="edge"/>
          <c:x val="0.13453838345782648"/>
          <c:y val="8.8821117233495922E-2"/>
          <c:w val="0.80622628295996013"/>
          <c:h val="0.66942029709288464"/>
        </c:manualLayout>
      </c:layout>
      <c:lineChart>
        <c:grouping val="standard"/>
        <c:varyColors val="0"/>
        <c:ser>
          <c:idx val="0"/>
          <c:order val="0"/>
          <c:tx>
            <c:strRef>
              <c:f>'GRK-Απασχόληση στο ΔΤ'!$D$4</c:f>
              <c:strCache>
                <c:ptCount val="1"/>
                <c:pt idx="0">
                  <c:v>Δημόσια Υπηρεσία</c:v>
                </c:pt>
              </c:strCache>
            </c:strRef>
          </c:tx>
          <c:cat>
            <c:multiLvlStrRef>
              <c:f>'GRK-Απασχόληση στο ΔΤ'!$B$68:$C$92</c:f>
              <c:multiLvlStrCache>
                <c:ptCount val="25"/>
                <c:lvl>
                  <c:pt idx="0">
                    <c:v>ΑΠΡ</c:v>
                  </c:pt>
                  <c:pt idx="1">
                    <c:v>ΜΑΪΟΣ</c:v>
                  </c:pt>
                  <c:pt idx="2">
                    <c:v>ΙΟΥΝ</c:v>
                  </c:pt>
                  <c:pt idx="3">
                    <c:v>ΙΟΥΛ</c:v>
                  </c:pt>
                  <c:pt idx="4">
                    <c:v>ΑΥΓ</c:v>
                  </c:pt>
                  <c:pt idx="5">
                    <c:v>ΣΕΠ</c:v>
                  </c:pt>
                  <c:pt idx="6">
                    <c:v>ΟΚΤ</c:v>
                  </c:pt>
                  <c:pt idx="7">
                    <c:v>ΝΟΕ</c:v>
                  </c:pt>
                  <c:pt idx="8">
                    <c:v>ΔΕΚ</c:v>
                  </c:pt>
                  <c:pt idx="9">
                    <c:v>ΙΑΝ</c:v>
                  </c:pt>
                  <c:pt idx="10">
                    <c:v>ΦΕΒ</c:v>
                  </c:pt>
                  <c:pt idx="11">
                    <c:v>ΜΑΡ</c:v>
                  </c:pt>
                  <c:pt idx="12">
                    <c:v>ΑΠΡ</c:v>
                  </c:pt>
                  <c:pt idx="13">
                    <c:v>ΜΑΪΟΣ</c:v>
                  </c:pt>
                  <c:pt idx="14">
                    <c:v>ΙΟΥΝ</c:v>
                  </c:pt>
                  <c:pt idx="15">
                    <c:v>ΙΟΥΛ</c:v>
                  </c:pt>
                  <c:pt idx="16">
                    <c:v>ΑΥΓ</c:v>
                  </c:pt>
                  <c:pt idx="17">
                    <c:v>ΣΕΠ</c:v>
                  </c:pt>
                  <c:pt idx="18">
                    <c:v>ΟΚΤ</c:v>
                  </c:pt>
                  <c:pt idx="19">
                    <c:v>ΝΟΕ</c:v>
                  </c:pt>
                  <c:pt idx="20">
                    <c:v>ΔΕΚ</c:v>
                  </c:pt>
                  <c:pt idx="21">
                    <c:v>ΙΑΝ</c:v>
                  </c:pt>
                  <c:pt idx="22">
                    <c:v>ΦΕΒ</c:v>
                  </c:pt>
                  <c:pt idx="23">
                    <c:v>ΜΑΡ</c:v>
                  </c:pt>
                  <c:pt idx="24">
                    <c:v>ΑΠΡ</c:v>
                  </c:pt>
                </c:lvl>
                <c:lvl>
                  <c:pt idx="0">
                    <c:v>2021</c:v>
                  </c:pt>
                  <c:pt idx="9">
                    <c:v>2022</c:v>
                  </c:pt>
                  <c:pt idx="21">
                    <c:v>2023</c:v>
                  </c:pt>
                </c:lvl>
              </c:multiLvlStrCache>
            </c:multiLvlStrRef>
          </c:cat>
          <c:val>
            <c:numRef>
              <c:f>'GRK-Απασχόληση στο ΔΤ'!$D$68:$D$92</c:f>
              <c:numCache>
                <c:formatCode>#,##0</c:formatCode>
                <c:ptCount val="25"/>
                <c:pt idx="0">
                  <c:v>17330</c:v>
                </c:pt>
                <c:pt idx="1">
                  <c:v>17355</c:v>
                </c:pt>
                <c:pt idx="2">
                  <c:v>17298</c:v>
                </c:pt>
                <c:pt idx="3">
                  <c:v>17364</c:v>
                </c:pt>
                <c:pt idx="4">
                  <c:v>17329</c:v>
                </c:pt>
                <c:pt idx="5">
                  <c:v>17306</c:v>
                </c:pt>
                <c:pt idx="6">
                  <c:v>17357</c:v>
                </c:pt>
                <c:pt idx="7">
                  <c:v>17340</c:v>
                </c:pt>
                <c:pt idx="8">
                  <c:v>17303</c:v>
                </c:pt>
                <c:pt idx="9">
                  <c:v>17320</c:v>
                </c:pt>
                <c:pt idx="10">
                  <c:v>17317</c:v>
                </c:pt>
                <c:pt idx="11">
                  <c:v>17354</c:v>
                </c:pt>
                <c:pt idx="12">
                  <c:v>17349</c:v>
                </c:pt>
                <c:pt idx="13">
                  <c:v>17383</c:v>
                </c:pt>
                <c:pt idx="14">
                  <c:v>17430</c:v>
                </c:pt>
                <c:pt idx="15">
                  <c:v>17414</c:v>
                </c:pt>
                <c:pt idx="16">
                  <c:v>17396</c:v>
                </c:pt>
                <c:pt idx="17">
                  <c:v>17380</c:v>
                </c:pt>
                <c:pt idx="18">
                  <c:v>17407</c:v>
                </c:pt>
                <c:pt idx="19">
                  <c:v>17356</c:v>
                </c:pt>
                <c:pt idx="20">
                  <c:v>17375</c:v>
                </c:pt>
                <c:pt idx="21">
                  <c:v>17396</c:v>
                </c:pt>
                <c:pt idx="22">
                  <c:v>17414</c:v>
                </c:pt>
                <c:pt idx="23">
                  <c:v>17421</c:v>
                </c:pt>
                <c:pt idx="24">
                  <c:v>17449</c:v>
                </c:pt>
              </c:numCache>
            </c:numRef>
          </c:val>
          <c:smooth val="0"/>
          <c:extLst>
            <c:ext xmlns:c16="http://schemas.microsoft.com/office/drawing/2014/chart" uri="{C3380CC4-5D6E-409C-BE32-E72D297353CC}">
              <c16:uniqueId val="{00000000-FD1B-4605-A0ED-566303F0E16E}"/>
            </c:ext>
          </c:extLst>
        </c:ser>
        <c:ser>
          <c:idx val="1"/>
          <c:order val="1"/>
          <c:tx>
            <c:strRef>
              <c:f>'GRK-Απασχόληση στο ΔΤ'!$E$4</c:f>
              <c:strCache>
                <c:ptCount val="1"/>
                <c:pt idx="0">
                  <c:v>Εκπαιδευτική Υπηρεσία</c:v>
                </c:pt>
              </c:strCache>
            </c:strRef>
          </c:tx>
          <c:cat>
            <c:multiLvlStrRef>
              <c:f>'GRK-Απασχόληση στο ΔΤ'!$B$68:$C$92</c:f>
              <c:multiLvlStrCache>
                <c:ptCount val="25"/>
                <c:lvl>
                  <c:pt idx="0">
                    <c:v>ΑΠΡ</c:v>
                  </c:pt>
                  <c:pt idx="1">
                    <c:v>ΜΑΪΟΣ</c:v>
                  </c:pt>
                  <c:pt idx="2">
                    <c:v>ΙΟΥΝ</c:v>
                  </c:pt>
                  <c:pt idx="3">
                    <c:v>ΙΟΥΛ</c:v>
                  </c:pt>
                  <c:pt idx="4">
                    <c:v>ΑΥΓ</c:v>
                  </c:pt>
                  <c:pt idx="5">
                    <c:v>ΣΕΠ</c:v>
                  </c:pt>
                  <c:pt idx="6">
                    <c:v>ΟΚΤ</c:v>
                  </c:pt>
                  <c:pt idx="7">
                    <c:v>ΝΟΕ</c:v>
                  </c:pt>
                  <c:pt idx="8">
                    <c:v>ΔΕΚ</c:v>
                  </c:pt>
                  <c:pt idx="9">
                    <c:v>ΙΑΝ</c:v>
                  </c:pt>
                  <c:pt idx="10">
                    <c:v>ΦΕΒ</c:v>
                  </c:pt>
                  <c:pt idx="11">
                    <c:v>ΜΑΡ</c:v>
                  </c:pt>
                  <c:pt idx="12">
                    <c:v>ΑΠΡ</c:v>
                  </c:pt>
                  <c:pt idx="13">
                    <c:v>ΜΑΪΟΣ</c:v>
                  </c:pt>
                  <c:pt idx="14">
                    <c:v>ΙΟΥΝ</c:v>
                  </c:pt>
                  <c:pt idx="15">
                    <c:v>ΙΟΥΛ</c:v>
                  </c:pt>
                  <c:pt idx="16">
                    <c:v>ΑΥΓ</c:v>
                  </c:pt>
                  <c:pt idx="17">
                    <c:v>ΣΕΠ</c:v>
                  </c:pt>
                  <c:pt idx="18">
                    <c:v>ΟΚΤ</c:v>
                  </c:pt>
                  <c:pt idx="19">
                    <c:v>ΝΟΕ</c:v>
                  </c:pt>
                  <c:pt idx="20">
                    <c:v>ΔΕΚ</c:v>
                  </c:pt>
                  <c:pt idx="21">
                    <c:v>ΙΑΝ</c:v>
                  </c:pt>
                  <c:pt idx="22">
                    <c:v>ΦΕΒ</c:v>
                  </c:pt>
                  <c:pt idx="23">
                    <c:v>ΜΑΡ</c:v>
                  </c:pt>
                  <c:pt idx="24">
                    <c:v>ΑΠΡ</c:v>
                  </c:pt>
                </c:lvl>
                <c:lvl>
                  <c:pt idx="0">
                    <c:v>2021</c:v>
                  </c:pt>
                  <c:pt idx="9">
                    <c:v>2022</c:v>
                  </c:pt>
                  <c:pt idx="21">
                    <c:v>2023</c:v>
                  </c:pt>
                </c:lvl>
              </c:multiLvlStrCache>
            </c:multiLvlStrRef>
          </c:cat>
          <c:val>
            <c:numRef>
              <c:f>'GRK-Απασχόληση στο ΔΤ'!$E$68:$E$92</c:f>
              <c:numCache>
                <c:formatCode>#,##0</c:formatCode>
                <c:ptCount val="25"/>
                <c:pt idx="0">
                  <c:v>14897</c:v>
                </c:pt>
                <c:pt idx="1">
                  <c:v>14848</c:v>
                </c:pt>
                <c:pt idx="2">
                  <c:v>14600</c:v>
                </c:pt>
                <c:pt idx="3">
                  <c:v>14231</c:v>
                </c:pt>
                <c:pt idx="4">
                  <c:v>13609</c:v>
                </c:pt>
                <c:pt idx="5">
                  <c:v>13813</c:v>
                </c:pt>
                <c:pt idx="6">
                  <c:v>14482</c:v>
                </c:pt>
                <c:pt idx="7">
                  <c:v>14616</c:v>
                </c:pt>
                <c:pt idx="8">
                  <c:v>14795</c:v>
                </c:pt>
                <c:pt idx="9">
                  <c:v>14973</c:v>
                </c:pt>
                <c:pt idx="10">
                  <c:v>15316</c:v>
                </c:pt>
                <c:pt idx="11">
                  <c:v>15510</c:v>
                </c:pt>
                <c:pt idx="12">
                  <c:v>15530</c:v>
                </c:pt>
                <c:pt idx="13">
                  <c:v>15209</c:v>
                </c:pt>
                <c:pt idx="14">
                  <c:v>14891</c:v>
                </c:pt>
                <c:pt idx="15">
                  <c:v>14557</c:v>
                </c:pt>
                <c:pt idx="16">
                  <c:v>13948</c:v>
                </c:pt>
                <c:pt idx="17">
                  <c:v>14154</c:v>
                </c:pt>
                <c:pt idx="18">
                  <c:v>14879</c:v>
                </c:pt>
                <c:pt idx="19">
                  <c:v>15072</c:v>
                </c:pt>
                <c:pt idx="20">
                  <c:v>15227</c:v>
                </c:pt>
                <c:pt idx="21">
                  <c:v>15277</c:v>
                </c:pt>
                <c:pt idx="22">
                  <c:v>15189</c:v>
                </c:pt>
                <c:pt idx="23">
                  <c:v>15349</c:v>
                </c:pt>
                <c:pt idx="24">
                  <c:v>15433</c:v>
                </c:pt>
              </c:numCache>
            </c:numRef>
          </c:val>
          <c:smooth val="0"/>
          <c:extLst>
            <c:ext xmlns:c16="http://schemas.microsoft.com/office/drawing/2014/chart" uri="{C3380CC4-5D6E-409C-BE32-E72D297353CC}">
              <c16:uniqueId val="{00000001-FD1B-4605-A0ED-566303F0E16E}"/>
            </c:ext>
          </c:extLst>
        </c:ser>
        <c:ser>
          <c:idx val="2"/>
          <c:order val="2"/>
          <c:tx>
            <c:strRef>
              <c:f>'GRK-Απασχόληση στο ΔΤ'!$F$4</c:f>
              <c:strCache>
                <c:ptCount val="1"/>
                <c:pt idx="0">
                  <c:v>Δυνάμεις Ασφαλείας</c:v>
                </c:pt>
              </c:strCache>
            </c:strRef>
          </c:tx>
          <c:cat>
            <c:multiLvlStrRef>
              <c:f>'GRK-Απασχόληση στο ΔΤ'!$B$68:$C$92</c:f>
              <c:multiLvlStrCache>
                <c:ptCount val="25"/>
                <c:lvl>
                  <c:pt idx="0">
                    <c:v>ΑΠΡ</c:v>
                  </c:pt>
                  <c:pt idx="1">
                    <c:v>ΜΑΪΟΣ</c:v>
                  </c:pt>
                  <c:pt idx="2">
                    <c:v>ΙΟΥΝ</c:v>
                  </c:pt>
                  <c:pt idx="3">
                    <c:v>ΙΟΥΛ</c:v>
                  </c:pt>
                  <c:pt idx="4">
                    <c:v>ΑΥΓ</c:v>
                  </c:pt>
                  <c:pt idx="5">
                    <c:v>ΣΕΠ</c:v>
                  </c:pt>
                  <c:pt idx="6">
                    <c:v>ΟΚΤ</c:v>
                  </c:pt>
                  <c:pt idx="7">
                    <c:v>ΝΟΕ</c:v>
                  </c:pt>
                  <c:pt idx="8">
                    <c:v>ΔΕΚ</c:v>
                  </c:pt>
                  <c:pt idx="9">
                    <c:v>ΙΑΝ</c:v>
                  </c:pt>
                  <c:pt idx="10">
                    <c:v>ΦΕΒ</c:v>
                  </c:pt>
                  <c:pt idx="11">
                    <c:v>ΜΑΡ</c:v>
                  </c:pt>
                  <c:pt idx="12">
                    <c:v>ΑΠΡ</c:v>
                  </c:pt>
                  <c:pt idx="13">
                    <c:v>ΜΑΪΟΣ</c:v>
                  </c:pt>
                  <c:pt idx="14">
                    <c:v>ΙΟΥΝ</c:v>
                  </c:pt>
                  <c:pt idx="15">
                    <c:v>ΙΟΥΛ</c:v>
                  </c:pt>
                  <c:pt idx="16">
                    <c:v>ΑΥΓ</c:v>
                  </c:pt>
                  <c:pt idx="17">
                    <c:v>ΣΕΠ</c:v>
                  </c:pt>
                  <c:pt idx="18">
                    <c:v>ΟΚΤ</c:v>
                  </c:pt>
                  <c:pt idx="19">
                    <c:v>ΝΟΕ</c:v>
                  </c:pt>
                  <c:pt idx="20">
                    <c:v>ΔΕΚ</c:v>
                  </c:pt>
                  <c:pt idx="21">
                    <c:v>ΙΑΝ</c:v>
                  </c:pt>
                  <c:pt idx="22">
                    <c:v>ΦΕΒ</c:v>
                  </c:pt>
                  <c:pt idx="23">
                    <c:v>ΜΑΡ</c:v>
                  </c:pt>
                  <c:pt idx="24">
                    <c:v>ΑΠΡ</c:v>
                  </c:pt>
                </c:lvl>
                <c:lvl>
                  <c:pt idx="0">
                    <c:v>2021</c:v>
                  </c:pt>
                  <c:pt idx="9">
                    <c:v>2022</c:v>
                  </c:pt>
                  <c:pt idx="21">
                    <c:v>2023</c:v>
                  </c:pt>
                </c:lvl>
              </c:multiLvlStrCache>
            </c:multiLvlStrRef>
          </c:cat>
          <c:val>
            <c:numRef>
              <c:f>'GRK-Απασχόληση στο ΔΤ'!$F$68:$F$92</c:f>
              <c:numCache>
                <c:formatCode>#,##0</c:formatCode>
                <c:ptCount val="25"/>
                <c:pt idx="0">
                  <c:v>12709</c:v>
                </c:pt>
                <c:pt idx="1">
                  <c:v>12678</c:v>
                </c:pt>
                <c:pt idx="2">
                  <c:v>12829</c:v>
                </c:pt>
                <c:pt idx="3">
                  <c:v>12902</c:v>
                </c:pt>
                <c:pt idx="4">
                  <c:v>12906</c:v>
                </c:pt>
                <c:pt idx="5">
                  <c:v>12866</c:v>
                </c:pt>
                <c:pt idx="6">
                  <c:v>12811</c:v>
                </c:pt>
                <c:pt idx="7">
                  <c:v>12766</c:v>
                </c:pt>
                <c:pt idx="8">
                  <c:v>12772</c:v>
                </c:pt>
                <c:pt idx="9">
                  <c:v>12822</c:v>
                </c:pt>
                <c:pt idx="10">
                  <c:v>12776</c:v>
                </c:pt>
                <c:pt idx="11">
                  <c:v>12738</c:v>
                </c:pt>
                <c:pt idx="12">
                  <c:v>12709</c:v>
                </c:pt>
                <c:pt idx="13">
                  <c:v>12662</c:v>
                </c:pt>
                <c:pt idx="14">
                  <c:v>12609</c:v>
                </c:pt>
                <c:pt idx="15">
                  <c:v>12653</c:v>
                </c:pt>
                <c:pt idx="16">
                  <c:v>12641</c:v>
                </c:pt>
                <c:pt idx="17">
                  <c:v>12594</c:v>
                </c:pt>
                <c:pt idx="18">
                  <c:v>12549</c:v>
                </c:pt>
                <c:pt idx="19">
                  <c:v>12712</c:v>
                </c:pt>
                <c:pt idx="20">
                  <c:v>12844</c:v>
                </c:pt>
                <c:pt idx="21">
                  <c:v>12780</c:v>
                </c:pt>
                <c:pt idx="22">
                  <c:v>12758</c:v>
                </c:pt>
                <c:pt idx="23">
                  <c:v>12718</c:v>
                </c:pt>
                <c:pt idx="24">
                  <c:v>12880</c:v>
                </c:pt>
              </c:numCache>
            </c:numRef>
          </c:val>
          <c:smooth val="0"/>
          <c:extLst>
            <c:ext xmlns:c16="http://schemas.microsoft.com/office/drawing/2014/chart" uri="{C3380CC4-5D6E-409C-BE32-E72D297353CC}">
              <c16:uniqueId val="{00000002-FD1B-4605-A0ED-566303F0E16E}"/>
            </c:ext>
          </c:extLst>
        </c:ser>
        <c:ser>
          <c:idx val="3"/>
          <c:order val="3"/>
          <c:tx>
            <c:strRef>
              <c:f>'GRK-Απασχόληση στο ΔΤ'!$G$4</c:f>
              <c:strCache>
                <c:ptCount val="1"/>
                <c:pt idx="0">
                  <c:v>Ωρομίσθιο Προσωπικό</c:v>
                </c:pt>
              </c:strCache>
            </c:strRef>
          </c:tx>
          <c:cat>
            <c:multiLvlStrRef>
              <c:f>'GRK-Απασχόληση στο ΔΤ'!$B$68:$C$92</c:f>
              <c:multiLvlStrCache>
                <c:ptCount val="25"/>
                <c:lvl>
                  <c:pt idx="0">
                    <c:v>ΑΠΡ</c:v>
                  </c:pt>
                  <c:pt idx="1">
                    <c:v>ΜΑΪΟΣ</c:v>
                  </c:pt>
                  <c:pt idx="2">
                    <c:v>ΙΟΥΝ</c:v>
                  </c:pt>
                  <c:pt idx="3">
                    <c:v>ΙΟΥΛ</c:v>
                  </c:pt>
                  <c:pt idx="4">
                    <c:v>ΑΥΓ</c:v>
                  </c:pt>
                  <c:pt idx="5">
                    <c:v>ΣΕΠ</c:v>
                  </c:pt>
                  <c:pt idx="6">
                    <c:v>ΟΚΤ</c:v>
                  </c:pt>
                  <c:pt idx="7">
                    <c:v>ΝΟΕ</c:v>
                  </c:pt>
                  <c:pt idx="8">
                    <c:v>ΔΕΚ</c:v>
                  </c:pt>
                  <c:pt idx="9">
                    <c:v>ΙΑΝ</c:v>
                  </c:pt>
                  <c:pt idx="10">
                    <c:v>ΦΕΒ</c:v>
                  </c:pt>
                  <c:pt idx="11">
                    <c:v>ΜΑΡ</c:v>
                  </c:pt>
                  <c:pt idx="12">
                    <c:v>ΑΠΡ</c:v>
                  </c:pt>
                  <c:pt idx="13">
                    <c:v>ΜΑΪΟΣ</c:v>
                  </c:pt>
                  <c:pt idx="14">
                    <c:v>ΙΟΥΝ</c:v>
                  </c:pt>
                  <c:pt idx="15">
                    <c:v>ΙΟΥΛ</c:v>
                  </c:pt>
                  <c:pt idx="16">
                    <c:v>ΑΥΓ</c:v>
                  </c:pt>
                  <c:pt idx="17">
                    <c:v>ΣΕΠ</c:v>
                  </c:pt>
                  <c:pt idx="18">
                    <c:v>ΟΚΤ</c:v>
                  </c:pt>
                  <c:pt idx="19">
                    <c:v>ΝΟΕ</c:v>
                  </c:pt>
                  <c:pt idx="20">
                    <c:v>ΔΕΚ</c:v>
                  </c:pt>
                  <c:pt idx="21">
                    <c:v>ΙΑΝ</c:v>
                  </c:pt>
                  <c:pt idx="22">
                    <c:v>ΦΕΒ</c:v>
                  </c:pt>
                  <c:pt idx="23">
                    <c:v>ΜΑΡ</c:v>
                  </c:pt>
                  <c:pt idx="24">
                    <c:v>ΑΠΡ</c:v>
                  </c:pt>
                </c:lvl>
                <c:lvl>
                  <c:pt idx="0">
                    <c:v>2021</c:v>
                  </c:pt>
                  <c:pt idx="9">
                    <c:v>2022</c:v>
                  </c:pt>
                  <c:pt idx="21">
                    <c:v>2023</c:v>
                  </c:pt>
                </c:lvl>
              </c:multiLvlStrCache>
            </c:multiLvlStrRef>
          </c:cat>
          <c:val>
            <c:numRef>
              <c:f>'GRK-Απασχόληση στο ΔΤ'!$G$68:$G$92</c:f>
              <c:numCache>
                <c:formatCode>#,##0</c:formatCode>
                <c:ptCount val="25"/>
                <c:pt idx="0">
                  <c:v>8401</c:v>
                </c:pt>
                <c:pt idx="1">
                  <c:v>8427</c:v>
                </c:pt>
                <c:pt idx="2">
                  <c:v>8482</c:v>
                </c:pt>
                <c:pt idx="3">
                  <c:v>8460</c:v>
                </c:pt>
                <c:pt idx="4">
                  <c:v>8477</c:v>
                </c:pt>
                <c:pt idx="5">
                  <c:v>8423</c:v>
                </c:pt>
                <c:pt idx="6">
                  <c:v>8358</c:v>
                </c:pt>
                <c:pt idx="7">
                  <c:v>8296</c:v>
                </c:pt>
                <c:pt idx="8">
                  <c:v>8184</c:v>
                </c:pt>
                <c:pt idx="9">
                  <c:v>8267</c:v>
                </c:pt>
                <c:pt idx="10">
                  <c:v>8293</c:v>
                </c:pt>
                <c:pt idx="11">
                  <c:v>8279</c:v>
                </c:pt>
                <c:pt idx="12">
                  <c:v>8342</c:v>
                </c:pt>
                <c:pt idx="13">
                  <c:v>8414</c:v>
                </c:pt>
                <c:pt idx="14">
                  <c:v>8544</c:v>
                </c:pt>
                <c:pt idx="15">
                  <c:v>8494</c:v>
                </c:pt>
                <c:pt idx="16">
                  <c:v>8485</c:v>
                </c:pt>
                <c:pt idx="17">
                  <c:v>8473</c:v>
                </c:pt>
                <c:pt idx="18">
                  <c:v>8436</c:v>
                </c:pt>
                <c:pt idx="19">
                  <c:v>8397</c:v>
                </c:pt>
                <c:pt idx="20">
                  <c:v>8240</c:v>
                </c:pt>
                <c:pt idx="21">
                  <c:v>6566</c:v>
                </c:pt>
                <c:pt idx="22">
                  <c:v>6578</c:v>
                </c:pt>
                <c:pt idx="23">
                  <c:v>6615</c:v>
                </c:pt>
                <c:pt idx="24">
                  <c:v>6736</c:v>
                </c:pt>
              </c:numCache>
            </c:numRef>
          </c:val>
          <c:smooth val="0"/>
          <c:extLst>
            <c:ext xmlns:c16="http://schemas.microsoft.com/office/drawing/2014/chart" uri="{C3380CC4-5D6E-409C-BE32-E72D297353CC}">
              <c16:uniqueId val="{00000003-FD1B-4605-A0ED-566303F0E16E}"/>
            </c:ext>
          </c:extLst>
        </c:ser>
        <c:dLbls>
          <c:showLegendKey val="0"/>
          <c:showVal val="0"/>
          <c:showCatName val="0"/>
          <c:showSerName val="0"/>
          <c:showPercent val="0"/>
          <c:showBubbleSize val="0"/>
        </c:dLbls>
        <c:marker val="1"/>
        <c:smooth val="0"/>
        <c:axId val="1939792415"/>
        <c:axId val="1"/>
      </c:lineChart>
      <c:catAx>
        <c:axId val="1939792415"/>
        <c:scaling>
          <c:orientation val="minMax"/>
        </c:scaling>
        <c:delete val="0"/>
        <c:axPos val="b"/>
        <c:numFmt formatCode="General" sourceLinked="1"/>
        <c:majorTickMark val="none"/>
        <c:minorTickMark val="out"/>
        <c:tickLblPos val="nextTo"/>
        <c:spPr>
          <a:ln>
            <a:solidFill>
              <a:sysClr val="windowText" lastClr="000000">
                <a:alpha val="50000"/>
              </a:sysClr>
            </a:solidFill>
          </a:ln>
        </c:spPr>
        <c:txPr>
          <a:bodyPr rot="-5400000" vert="horz"/>
          <a:lstStyle/>
          <a:p>
            <a:pPr>
              <a:defRPr sz="900" b="0" i="0" u="none" strike="noStrike" baseline="0">
                <a:solidFill>
                  <a:srgbClr val="000000"/>
                </a:solidFill>
                <a:latin typeface="Verdana"/>
                <a:ea typeface="Verdana"/>
                <a:cs typeface="Verdana"/>
              </a:defRPr>
            </a:pPr>
            <a:endParaRPr lang="en-CY"/>
          </a:p>
        </c:txPr>
        <c:crossAx val="1"/>
        <c:crosses val="autoZero"/>
        <c:auto val="1"/>
        <c:lblAlgn val="ctr"/>
        <c:lblOffset val="100"/>
        <c:tickMarkSkip val="1"/>
        <c:noMultiLvlLbl val="0"/>
      </c:catAx>
      <c:valAx>
        <c:axId val="1"/>
        <c:scaling>
          <c:orientation val="minMax"/>
          <c:max val="19000"/>
          <c:min val="6000"/>
        </c:scaling>
        <c:delete val="0"/>
        <c:axPos val="l"/>
        <c:majorGridlines>
          <c:spPr>
            <a:ln>
              <a:solidFill>
                <a:sysClr val="windowText" lastClr="000000">
                  <a:alpha val="25000"/>
                </a:sysClr>
              </a:solidFill>
            </a:ln>
          </c:spPr>
        </c:majorGridlines>
        <c:title>
          <c:tx>
            <c:rich>
              <a:bodyPr/>
              <a:lstStyle/>
              <a:p>
                <a:pPr>
                  <a:defRPr sz="1000" b="0" i="0" u="none" strike="noStrike" baseline="0">
                    <a:solidFill>
                      <a:srgbClr val="000000"/>
                    </a:solidFill>
                    <a:latin typeface="Verdana" panose="020B0604030504040204" pitchFamily="34" charset="0"/>
                    <a:ea typeface="Verdana" panose="020B0604030504040204" pitchFamily="34" charset="0"/>
                    <a:cs typeface="Calibri"/>
                  </a:defRPr>
                </a:pPr>
                <a:r>
                  <a:rPr lang="el-GR" sz="1000">
                    <a:latin typeface="Verdana" panose="020B0604030504040204" pitchFamily="34" charset="0"/>
                    <a:ea typeface="Verdana" panose="020B0604030504040204" pitchFamily="34" charset="0"/>
                  </a:rPr>
                  <a:t>Άτομα</a:t>
                </a:r>
              </a:p>
            </c:rich>
          </c:tx>
          <c:layout>
            <c:manualLayout>
              <c:xMode val="edge"/>
              <c:yMode val="edge"/>
              <c:x val="9.8333270940181607E-3"/>
              <c:y val="0.37210056988119616"/>
            </c:manualLayout>
          </c:layout>
          <c:overlay val="0"/>
        </c:title>
        <c:numFmt formatCode="#,##0" sourceLinked="1"/>
        <c:majorTickMark val="none"/>
        <c:minorTickMark val="none"/>
        <c:tickLblPos val="nextTo"/>
        <c:spPr>
          <a:ln w="9525">
            <a:noFill/>
          </a:ln>
        </c:spPr>
        <c:txPr>
          <a:bodyPr rot="0" vert="horz"/>
          <a:lstStyle/>
          <a:p>
            <a:pPr>
              <a:defRPr sz="900" b="0" i="0" u="none" strike="noStrike" baseline="0">
                <a:solidFill>
                  <a:srgbClr val="000000"/>
                </a:solidFill>
                <a:latin typeface="Verdana"/>
                <a:ea typeface="Verdana"/>
                <a:cs typeface="Verdana"/>
              </a:defRPr>
            </a:pPr>
            <a:endParaRPr lang="en-CY"/>
          </a:p>
        </c:txPr>
        <c:crossAx val="1939792415"/>
        <c:crosses val="autoZero"/>
        <c:crossBetween val="between"/>
      </c:valAx>
      <c:spPr>
        <a:ln>
          <a:noFill/>
        </a:ln>
      </c:spPr>
    </c:plotArea>
    <c:legend>
      <c:legendPos val="r"/>
      <c:layout>
        <c:manualLayout>
          <c:xMode val="edge"/>
          <c:yMode val="edge"/>
          <c:x val="9.1596973516186869E-2"/>
          <c:y val="0.9187674585074328"/>
          <c:w val="0.86494461567898306"/>
          <c:h val="7.2829152169932243E-2"/>
        </c:manualLayout>
      </c:layout>
      <c:overlay val="0"/>
      <c:txPr>
        <a:bodyPr/>
        <a:lstStyle/>
        <a:p>
          <a:pPr>
            <a:defRPr sz="900" b="0" i="0" u="none" strike="noStrike" baseline="0">
              <a:solidFill>
                <a:srgbClr val="000000"/>
              </a:solidFill>
              <a:latin typeface="Verdana"/>
              <a:ea typeface="Verdana"/>
              <a:cs typeface="Verdana"/>
            </a:defRPr>
          </a:pPr>
          <a:endParaRPr lang="en-CY"/>
        </a:p>
      </c:txPr>
    </c:legend>
    <c:plotVisOnly val="1"/>
    <c:dispBlanksAs val="gap"/>
    <c:showDLblsOverMax val="0"/>
  </c:chart>
  <c:spPr>
    <a:ln>
      <a:solidFill>
        <a:schemeClr val="accent1">
          <a:lumMod val="60000"/>
          <a:lumOff val="40000"/>
        </a:schemeClr>
      </a:solidFill>
    </a:ln>
  </c:spPr>
  <c:txPr>
    <a:bodyPr/>
    <a:lstStyle/>
    <a:p>
      <a:pPr>
        <a:defRPr sz="1000" b="0" i="0" u="none" strike="noStrike" baseline="0">
          <a:solidFill>
            <a:srgbClr val="000000"/>
          </a:solidFill>
          <a:latin typeface="Calibri"/>
          <a:ea typeface="Calibri"/>
          <a:cs typeface="Calibri"/>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22</cp:revision>
  <cp:lastPrinted>2023-05-10T11:14:00Z</cp:lastPrinted>
  <dcterms:created xsi:type="dcterms:W3CDTF">2023-04-07T05:38:00Z</dcterms:created>
  <dcterms:modified xsi:type="dcterms:W3CDTF">2023-05-10T11:38:00Z</dcterms:modified>
</cp:coreProperties>
</file>