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EE65" w14:textId="0A3CDBE9" w:rsidR="00833DCE" w:rsidRPr="00D5420D" w:rsidRDefault="00833DCE" w:rsidP="00833DCE">
      <w:pPr>
        <w:tabs>
          <w:tab w:val="left" w:pos="1080"/>
          <w:tab w:val="left" w:pos="7088"/>
        </w:tabs>
        <w:jc w:val="right"/>
        <w:rPr>
          <w:rFonts w:ascii="Verdana" w:hAnsi="Verdana" w:cs="Arial"/>
          <w:sz w:val="18"/>
          <w:szCs w:val="18"/>
          <w:lang w:val="el-GR"/>
        </w:rPr>
      </w:pPr>
      <w:r w:rsidRPr="00833DCE">
        <w:rPr>
          <w:rFonts w:ascii="Verdana" w:hAnsi="Verdana" w:cs="Arial"/>
          <w:sz w:val="18"/>
          <w:szCs w:val="18"/>
          <w:lang w:val="el-GR"/>
        </w:rPr>
        <w:t>1</w:t>
      </w:r>
      <w:r w:rsidR="00F8473D">
        <w:rPr>
          <w:rFonts w:ascii="Verdana" w:hAnsi="Verdana" w:cs="Arial"/>
          <w:sz w:val="18"/>
          <w:szCs w:val="18"/>
          <w:lang w:val="el-GR"/>
        </w:rPr>
        <w:t>6</w:t>
      </w:r>
      <w:r w:rsidR="006725B5">
        <w:rPr>
          <w:rFonts w:ascii="Verdana" w:hAnsi="Verdana" w:cs="Arial"/>
          <w:sz w:val="18"/>
          <w:szCs w:val="18"/>
          <w:lang w:val="el-GR"/>
        </w:rPr>
        <w:t xml:space="preserve"> </w:t>
      </w:r>
      <w:r w:rsidR="00431281">
        <w:rPr>
          <w:rFonts w:ascii="Verdana" w:hAnsi="Verdana" w:cs="Arial"/>
          <w:sz w:val="18"/>
          <w:szCs w:val="18"/>
          <w:lang w:val="el-GR"/>
        </w:rPr>
        <w:t>Φεβρουαρίου</w:t>
      </w:r>
      <w:r>
        <w:rPr>
          <w:rFonts w:ascii="Verdana" w:eastAsia="Malgun Gothic" w:hAnsi="Verdana" w:cs="Arial"/>
          <w:sz w:val="18"/>
          <w:szCs w:val="18"/>
          <w:lang w:val="el-GR"/>
        </w:rPr>
        <w:t>, 202</w:t>
      </w:r>
      <w:r w:rsidR="00EA3FCC">
        <w:rPr>
          <w:rFonts w:ascii="Verdana" w:eastAsia="Malgun Gothic" w:hAnsi="Verdana" w:cs="Arial"/>
          <w:sz w:val="18"/>
          <w:szCs w:val="18"/>
          <w:lang w:val="el-GR"/>
        </w:rPr>
        <w:t>4</w:t>
      </w:r>
    </w:p>
    <w:p w14:paraId="548644E6" w14:textId="77777777" w:rsidR="00833DCE" w:rsidRPr="00336C36" w:rsidRDefault="00833DCE" w:rsidP="00833DCE">
      <w:pPr>
        <w:jc w:val="center"/>
        <w:rPr>
          <w:rFonts w:ascii="Verdana" w:eastAsia="Malgun Gothic" w:hAnsi="Verdana" w:cs="Arial"/>
          <w:b/>
          <w:sz w:val="24"/>
          <w:szCs w:val="24"/>
          <w:lang w:val="el-GR"/>
        </w:rPr>
      </w:pPr>
    </w:p>
    <w:p w14:paraId="3E0E0BD7" w14:textId="77777777" w:rsidR="00833DCE" w:rsidRPr="00CF40F8" w:rsidRDefault="00833DCE" w:rsidP="00833DCE">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3BE8FA3E" w14:textId="77777777" w:rsidR="00833DCE" w:rsidRPr="00FA2633" w:rsidRDefault="00833DCE" w:rsidP="00833DCE">
      <w:pPr>
        <w:rPr>
          <w:rFonts w:ascii="Verdana" w:eastAsia="Malgun Gothic" w:hAnsi="Verdana" w:cs="Arial"/>
          <w:lang w:val="el-GR"/>
        </w:rPr>
      </w:pPr>
    </w:p>
    <w:p w14:paraId="73D4ECC5" w14:textId="0700A073" w:rsidR="00833DCE" w:rsidRPr="00BA13AB" w:rsidRDefault="00833DCE" w:rsidP="00833DCE">
      <w:pPr>
        <w:pStyle w:val="Heading6"/>
        <w:tabs>
          <w:tab w:val="clear" w:pos="6840"/>
        </w:tabs>
        <w:jc w:val="left"/>
        <w:rPr>
          <w:rFonts w:ascii="Verdana" w:eastAsia="Malgun Gothic" w:hAnsi="Verdana" w:cs="Arial"/>
          <w:szCs w:val="22"/>
        </w:rPr>
      </w:pPr>
      <w:r w:rsidRPr="00BA679D">
        <w:rPr>
          <w:rFonts w:ascii="Verdana" w:eastAsia="Malgun Gothic" w:hAnsi="Verdana" w:cs="Arial"/>
          <w:b w:val="0"/>
          <w:szCs w:val="22"/>
        </w:rPr>
        <w:t xml:space="preserve">ΑΠΑΣΧΟΛΗΣΗ ΚΥΒΕΡΝΗΣΗΣ ΑΝΑ ΚΑΤΗΓΟΡΙΑ: </w:t>
      </w:r>
      <w:r w:rsidR="00431281">
        <w:rPr>
          <w:rFonts w:ascii="Verdana" w:eastAsia="Malgun Gothic" w:hAnsi="Verdana" w:cs="Arial"/>
          <w:szCs w:val="22"/>
        </w:rPr>
        <w:t>ΙΑΝΟΥΑΡΙΟΣ</w:t>
      </w:r>
      <w:r w:rsidR="00B1372E">
        <w:rPr>
          <w:rFonts w:ascii="Verdana" w:eastAsia="Malgun Gothic" w:hAnsi="Verdana" w:cs="Arial"/>
          <w:szCs w:val="22"/>
        </w:rPr>
        <w:t xml:space="preserve"> </w:t>
      </w:r>
      <w:r>
        <w:rPr>
          <w:rFonts w:ascii="Verdana" w:eastAsia="Malgun Gothic" w:hAnsi="Verdana" w:cs="Arial"/>
          <w:szCs w:val="22"/>
        </w:rPr>
        <w:t>202</w:t>
      </w:r>
      <w:r w:rsidR="00431281">
        <w:rPr>
          <w:rFonts w:ascii="Verdana" w:eastAsia="Malgun Gothic" w:hAnsi="Verdana" w:cs="Arial"/>
          <w:szCs w:val="22"/>
        </w:rPr>
        <w:t>4</w:t>
      </w:r>
    </w:p>
    <w:p w14:paraId="4A8C3003" w14:textId="77777777" w:rsidR="00833DCE" w:rsidRPr="00214791" w:rsidRDefault="00833DCE" w:rsidP="00833DCE">
      <w:pPr>
        <w:jc w:val="center"/>
        <w:rPr>
          <w:rFonts w:ascii="Verdana" w:hAnsi="Verdana"/>
          <w:b/>
          <w:bCs/>
          <w:sz w:val="18"/>
          <w:szCs w:val="18"/>
          <w:lang w:val="el-GR"/>
        </w:rPr>
      </w:pPr>
    </w:p>
    <w:p w14:paraId="3756E8A0" w14:textId="37B34175" w:rsidR="0034139D" w:rsidRPr="00023FA7" w:rsidRDefault="00833DCE" w:rsidP="0034139D">
      <w:pPr>
        <w:jc w:val="center"/>
        <w:rPr>
          <w:rFonts w:ascii="Verdana" w:eastAsia="Malgun Gothic" w:hAnsi="Verdana" w:cs="Arial"/>
          <w:b/>
          <w:lang w:val="el-GR"/>
        </w:rPr>
      </w:pPr>
      <w:r>
        <w:rPr>
          <w:rFonts w:ascii="Verdana" w:eastAsia="Malgun Gothic" w:hAnsi="Verdana" w:cs="Arial"/>
          <w:b/>
          <w:lang w:val="el-GR"/>
        </w:rPr>
        <w:t>Συνολική Απασχόληση</w:t>
      </w:r>
      <w:r w:rsidRPr="00505B65">
        <w:rPr>
          <w:rFonts w:ascii="Verdana" w:eastAsia="Malgun Gothic" w:hAnsi="Verdana" w:cs="Arial"/>
          <w:b/>
          <w:lang w:val="el-GR"/>
        </w:rPr>
        <w:t xml:space="preserve">: </w:t>
      </w:r>
      <w:r w:rsidRPr="00FF6760">
        <w:rPr>
          <w:rFonts w:ascii="Verdana" w:eastAsia="Malgun Gothic" w:hAnsi="Verdana" w:cs="Arial"/>
          <w:b/>
          <w:lang w:val="el-GR"/>
        </w:rPr>
        <w:t>5</w:t>
      </w:r>
      <w:r w:rsidR="00A5788B">
        <w:rPr>
          <w:rFonts w:ascii="Verdana" w:eastAsia="Malgun Gothic" w:hAnsi="Verdana" w:cs="Arial"/>
          <w:b/>
          <w:lang w:val="el-GR"/>
        </w:rPr>
        <w:t>4</w:t>
      </w:r>
      <w:r w:rsidR="00716482">
        <w:rPr>
          <w:rFonts w:ascii="Verdana" w:eastAsia="Malgun Gothic" w:hAnsi="Verdana" w:cs="Arial"/>
          <w:b/>
          <w:lang w:val="el-GR"/>
        </w:rPr>
        <w:t>.</w:t>
      </w:r>
      <w:r w:rsidR="00431281">
        <w:rPr>
          <w:rFonts w:ascii="Verdana" w:eastAsia="Malgun Gothic" w:hAnsi="Verdana" w:cs="Arial"/>
          <w:b/>
          <w:lang w:val="el-GR"/>
        </w:rPr>
        <w:t>706</w:t>
      </w:r>
    </w:p>
    <w:p w14:paraId="3E535934" w14:textId="77777777" w:rsidR="00833DCE" w:rsidRPr="003B1E41" w:rsidRDefault="00833DCE" w:rsidP="00833DCE">
      <w:pPr>
        <w:jc w:val="both"/>
        <w:rPr>
          <w:rFonts w:ascii="Verdana" w:hAnsi="Verdana" w:cs="Arial"/>
          <w:color w:val="FF0000"/>
          <w:sz w:val="18"/>
          <w:szCs w:val="18"/>
          <w:lang w:val="el-GR"/>
        </w:rPr>
      </w:pPr>
    </w:p>
    <w:p w14:paraId="1E920053" w14:textId="723AC84E" w:rsidR="00833DCE" w:rsidRPr="00CD2ADA" w:rsidRDefault="00833DCE" w:rsidP="00833DCE">
      <w:pPr>
        <w:spacing w:line="276" w:lineRule="auto"/>
        <w:jc w:val="both"/>
        <w:rPr>
          <w:rFonts w:ascii="Verdana" w:eastAsia="Malgun Gothic" w:hAnsi="Verdana" w:cs="Arial"/>
          <w:sz w:val="18"/>
          <w:szCs w:val="18"/>
          <w:lang w:val="el-GR"/>
        </w:rPr>
      </w:pPr>
      <w:r>
        <w:rPr>
          <w:rFonts w:ascii="Verdana" w:eastAsia="Malgun Gothic" w:hAnsi="Verdana" w:cs="Arial"/>
          <w:sz w:val="18"/>
          <w:szCs w:val="18"/>
          <w:lang w:val="el-GR"/>
        </w:rPr>
        <w:t>Η απασχόληση στην Κυβέρνηση τον</w:t>
      </w:r>
      <w:r w:rsidR="00A5788B">
        <w:rPr>
          <w:rFonts w:ascii="Verdana" w:eastAsia="Malgun Gothic" w:hAnsi="Verdana" w:cs="Arial"/>
          <w:sz w:val="18"/>
          <w:szCs w:val="18"/>
          <w:lang w:val="el-GR"/>
        </w:rPr>
        <w:t xml:space="preserve"> </w:t>
      </w:r>
      <w:r w:rsidR="00431281">
        <w:rPr>
          <w:rFonts w:ascii="Verdana" w:eastAsia="Malgun Gothic" w:hAnsi="Verdana" w:cs="Arial"/>
          <w:sz w:val="18"/>
          <w:szCs w:val="18"/>
          <w:lang w:val="el-GR"/>
        </w:rPr>
        <w:t>Ιανουάριο</w:t>
      </w:r>
      <w:r w:rsidRPr="003B25D4">
        <w:rPr>
          <w:rFonts w:ascii="Verdana" w:eastAsia="Malgun Gothic" w:hAnsi="Verdana" w:cs="Arial"/>
          <w:sz w:val="18"/>
          <w:szCs w:val="18"/>
          <w:lang w:val="el-GR"/>
        </w:rPr>
        <w:t xml:space="preserve"> του 20</w:t>
      </w:r>
      <w:r>
        <w:rPr>
          <w:rFonts w:ascii="Verdana" w:eastAsia="Malgun Gothic" w:hAnsi="Verdana" w:cs="Arial"/>
          <w:sz w:val="18"/>
          <w:szCs w:val="18"/>
          <w:lang w:val="el-GR"/>
        </w:rPr>
        <w:t>2</w:t>
      </w:r>
      <w:r w:rsidR="00431281">
        <w:rPr>
          <w:rFonts w:ascii="Verdana" w:eastAsia="Malgun Gothic" w:hAnsi="Verdana" w:cs="Arial"/>
          <w:sz w:val="18"/>
          <w:szCs w:val="18"/>
          <w:lang w:val="el-GR"/>
        </w:rPr>
        <w:t>4</w:t>
      </w:r>
      <w:r w:rsidRPr="003B25D4">
        <w:rPr>
          <w:rFonts w:ascii="Verdana" w:eastAsia="Malgun Gothic" w:hAnsi="Verdana" w:cs="Arial"/>
          <w:sz w:val="18"/>
          <w:szCs w:val="18"/>
          <w:lang w:val="el-GR"/>
        </w:rPr>
        <w:t xml:space="preserve"> </w:t>
      </w:r>
      <w:r w:rsidR="00972EB1">
        <w:rPr>
          <w:rFonts w:ascii="Verdana" w:eastAsia="Malgun Gothic" w:hAnsi="Verdana" w:cs="Arial"/>
          <w:sz w:val="18"/>
          <w:szCs w:val="18"/>
          <w:lang w:val="el-GR"/>
        </w:rPr>
        <w:t>αυξήθηκε</w:t>
      </w:r>
      <w:r w:rsidRPr="003B25D4">
        <w:rPr>
          <w:rFonts w:ascii="Verdana" w:eastAsia="Malgun Gothic" w:hAnsi="Verdana" w:cs="Arial"/>
          <w:sz w:val="18"/>
          <w:szCs w:val="18"/>
          <w:lang w:val="el-GR"/>
        </w:rPr>
        <w:t xml:space="preserve"> κατά </w:t>
      </w:r>
      <w:r w:rsidR="00431281">
        <w:rPr>
          <w:rFonts w:ascii="Verdana" w:eastAsia="Malgun Gothic" w:hAnsi="Verdana" w:cs="Arial"/>
          <w:sz w:val="18"/>
          <w:szCs w:val="18"/>
          <w:lang w:val="el-GR"/>
        </w:rPr>
        <w:t>2.687</w:t>
      </w:r>
      <w:r w:rsidR="003E0CD3">
        <w:rPr>
          <w:rFonts w:ascii="Verdana" w:eastAsia="Malgun Gothic" w:hAnsi="Verdana" w:cs="Arial"/>
          <w:sz w:val="18"/>
          <w:szCs w:val="18"/>
          <w:lang w:val="el-GR"/>
        </w:rPr>
        <w:t xml:space="preserve"> ά</w:t>
      </w:r>
      <w:r w:rsidRPr="003B25D4">
        <w:rPr>
          <w:rFonts w:ascii="Verdana" w:eastAsia="Malgun Gothic" w:hAnsi="Verdana" w:cs="Arial"/>
          <w:sz w:val="18"/>
          <w:szCs w:val="18"/>
          <w:lang w:val="el-GR"/>
        </w:rPr>
        <w:t>τομα (</w:t>
      </w:r>
      <w:r w:rsidR="00431281">
        <w:rPr>
          <w:rFonts w:ascii="Verdana" w:eastAsia="Malgun Gothic" w:hAnsi="Verdana" w:cs="Arial"/>
          <w:sz w:val="18"/>
          <w:szCs w:val="18"/>
          <w:lang w:val="el-GR"/>
        </w:rPr>
        <w:t>5</w:t>
      </w:r>
      <w:r w:rsidRPr="003B25D4">
        <w:rPr>
          <w:rFonts w:ascii="Verdana" w:eastAsia="Malgun Gothic" w:hAnsi="Verdana" w:cs="Arial"/>
          <w:sz w:val="18"/>
          <w:szCs w:val="18"/>
          <w:lang w:val="el-GR"/>
        </w:rPr>
        <w:t>,</w:t>
      </w:r>
      <w:r w:rsidR="00431281">
        <w:rPr>
          <w:rFonts w:ascii="Verdana" w:eastAsia="Malgun Gothic" w:hAnsi="Verdana" w:cs="Arial"/>
          <w:sz w:val="18"/>
          <w:szCs w:val="18"/>
          <w:lang w:val="el-GR"/>
        </w:rPr>
        <w:t>2</w:t>
      </w:r>
      <w:r w:rsidRPr="003B25D4">
        <w:rPr>
          <w:rFonts w:ascii="Verdana" w:eastAsia="Malgun Gothic" w:hAnsi="Verdana" w:cs="Arial"/>
          <w:sz w:val="18"/>
          <w:szCs w:val="18"/>
          <w:lang w:val="el-GR"/>
        </w:rPr>
        <w:t xml:space="preserve">%) σε </w:t>
      </w:r>
      <w:r>
        <w:rPr>
          <w:rFonts w:ascii="Verdana" w:eastAsia="Malgun Gothic" w:hAnsi="Verdana" w:cs="Arial"/>
          <w:sz w:val="18"/>
          <w:szCs w:val="18"/>
          <w:lang w:val="el-GR"/>
        </w:rPr>
        <w:t>σύγκριση</w:t>
      </w:r>
      <w:r w:rsidRPr="003B25D4">
        <w:rPr>
          <w:rFonts w:ascii="Verdana" w:eastAsia="Malgun Gothic" w:hAnsi="Verdana" w:cs="Arial"/>
          <w:sz w:val="18"/>
          <w:szCs w:val="18"/>
          <w:lang w:val="el-GR"/>
        </w:rPr>
        <w:t xml:space="preserve"> με τον αντίστοιχο μήνα του 20</w:t>
      </w:r>
      <w:r>
        <w:rPr>
          <w:rFonts w:ascii="Verdana" w:eastAsia="Malgun Gothic" w:hAnsi="Verdana" w:cs="Arial"/>
          <w:sz w:val="18"/>
          <w:szCs w:val="18"/>
          <w:lang w:val="el-GR"/>
        </w:rPr>
        <w:t>2</w:t>
      </w:r>
      <w:r w:rsidR="00431281">
        <w:rPr>
          <w:rFonts w:ascii="Verdana" w:eastAsia="Malgun Gothic" w:hAnsi="Verdana" w:cs="Arial"/>
          <w:sz w:val="18"/>
          <w:szCs w:val="18"/>
          <w:lang w:val="el-GR"/>
        </w:rPr>
        <w:t>3</w:t>
      </w:r>
      <w:r w:rsidRPr="003B25D4">
        <w:rPr>
          <w:rFonts w:ascii="Verdana" w:eastAsia="Malgun Gothic" w:hAnsi="Verdana" w:cs="Arial"/>
          <w:sz w:val="18"/>
          <w:szCs w:val="18"/>
          <w:lang w:val="el-GR"/>
        </w:rPr>
        <w:t xml:space="preserve"> και έφτασε τα 5</w:t>
      </w:r>
      <w:r w:rsidR="00A5788B">
        <w:rPr>
          <w:rFonts w:ascii="Verdana" w:eastAsia="Malgun Gothic" w:hAnsi="Verdana" w:cs="Arial"/>
          <w:sz w:val="18"/>
          <w:szCs w:val="18"/>
          <w:lang w:val="el-GR"/>
        </w:rPr>
        <w:t>4</w:t>
      </w:r>
      <w:r w:rsidR="0034139D">
        <w:rPr>
          <w:rFonts w:ascii="Verdana" w:eastAsia="Malgun Gothic" w:hAnsi="Verdana" w:cs="Arial"/>
          <w:sz w:val="18"/>
          <w:szCs w:val="18"/>
          <w:lang w:val="el-GR"/>
        </w:rPr>
        <w:t>.</w:t>
      </w:r>
      <w:r w:rsidR="00431281">
        <w:rPr>
          <w:rFonts w:ascii="Verdana" w:eastAsia="Malgun Gothic" w:hAnsi="Verdana" w:cs="Arial"/>
          <w:sz w:val="18"/>
          <w:szCs w:val="18"/>
          <w:lang w:val="el-GR"/>
        </w:rPr>
        <w:t>706</w:t>
      </w:r>
      <w:r w:rsidRPr="003B25D4">
        <w:rPr>
          <w:rFonts w:ascii="Verdana" w:eastAsia="Malgun Gothic" w:hAnsi="Verdana" w:cs="Arial"/>
          <w:sz w:val="18"/>
          <w:szCs w:val="18"/>
          <w:lang w:val="el-GR"/>
        </w:rPr>
        <w:t xml:space="preserve"> άτομα.</w:t>
      </w:r>
      <w:r w:rsidR="00CD2ADA" w:rsidRPr="00CD2ADA">
        <w:rPr>
          <w:rFonts w:ascii="Verdana" w:eastAsia="Malgun Gothic" w:hAnsi="Verdana" w:cs="Arial"/>
          <w:sz w:val="18"/>
          <w:szCs w:val="18"/>
          <w:lang w:val="el-GR"/>
        </w:rPr>
        <w:t xml:space="preserve"> </w:t>
      </w:r>
      <w:r w:rsidR="00CD2ADA">
        <w:rPr>
          <w:rFonts w:ascii="Verdana" w:eastAsia="Malgun Gothic" w:hAnsi="Verdana" w:cs="Arial"/>
          <w:sz w:val="18"/>
          <w:szCs w:val="18"/>
          <w:lang w:val="el-GR"/>
        </w:rPr>
        <w:t>Η</w:t>
      </w:r>
      <w:r w:rsidR="00CD2ADA" w:rsidRPr="00CD2ADA">
        <w:rPr>
          <w:rFonts w:ascii="Verdana" w:eastAsia="Malgun Gothic" w:hAnsi="Verdana" w:cs="Arial"/>
          <w:sz w:val="18"/>
          <w:szCs w:val="18"/>
          <w:lang w:val="el-GR"/>
        </w:rPr>
        <w:t xml:space="preserve"> </w:t>
      </w:r>
      <w:r w:rsidR="00CD2ADA">
        <w:rPr>
          <w:rFonts w:ascii="Verdana" w:eastAsia="Malgun Gothic" w:hAnsi="Verdana" w:cs="Arial"/>
          <w:sz w:val="18"/>
          <w:szCs w:val="18"/>
          <w:lang w:val="el-GR"/>
        </w:rPr>
        <w:t>αύξηση αποδίδεται κατά κύριο λόγο στην αύξηση του προσωπικού της Εκπαιδευτικής Υπηρεσίας</w:t>
      </w:r>
      <w:r w:rsidR="00F8473D">
        <w:rPr>
          <w:rFonts w:ascii="Verdana" w:eastAsia="Malgun Gothic" w:hAnsi="Verdana" w:cs="Arial"/>
          <w:sz w:val="18"/>
          <w:szCs w:val="18"/>
          <w:lang w:val="el-GR"/>
        </w:rPr>
        <w:t xml:space="preserve"> (13,5%)</w:t>
      </w:r>
      <w:r w:rsidR="00CD2ADA">
        <w:rPr>
          <w:rFonts w:ascii="Verdana" w:eastAsia="Malgun Gothic" w:hAnsi="Verdana" w:cs="Arial"/>
          <w:sz w:val="18"/>
          <w:szCs w:val="18"/>
          <w:lang w:val="el-GR"/>
        </w:rPr>
        <w:t xml:space="preserve">, που </w:t>
      </w:r>
      <w:r w:rsidR="00CD2ADA" w:rsidRPr="00CD2ADA">
        <w:rPr>
          <w:rFonts w:ascii="Verdana" w:eastAsia="Malgun Gothic" w:hAnsi="Verdana" w:cs="Arial"/>
          <w:sz w:val="18"/>
          <w:szCs w:val="18"/>
          <w:lang w:val="el-GR"/>
        </w:rPr>
        <w:t>οφείλεται κυρίως στην κατάργηση του καθεστώτος αγοράς υπηρεσιών στα υποστηρικτικά προγράμματα του Υπουργείου Παιδείας, Αθλητισμού και Νεολαίας από τη σχολική χρονιά 2023 – 2024.</w:t>
      </w:r>
      <w:r w:rsidR="00D245DD">
        <w:rPr>
          <w:rFonts w:ascii="Verdana" w:eastAsia="Malgun Gothic" w:hAnsi="Verdana" w:cs="Arial"/>
          <w:sz w:val="18"/>
          <w:szCs w:val="18"/>
          <w:lang w:val="el-GR"/>
        </w:rPr>
        <w:t xml:space="preserve"> Στις υπόλοιπες κατηγορίες προσωπικού, Δημόσια Υπηρεσία, Δυνάμεις Ασφαλείας και Ωρομίσθιο Προσωπικό, παρουσιάστηκε αύξηση 0,8%, 2,8% και 1,8% αντίστοιχα, σε σχέση με τον Ιανουάριο 2023.</w:t>
      </w:r>
    </w:p>
    <w:p w14:paraId="79D75D2F" w14:textId="77777777" w:rsidR="00972EB1" w:rsidRDefault="00972EB1" w:rsidP="00833DCE">
      <w:pPr>
        <w:spacing w:line="276" w:lineRule="auto"/>
        <w:jc w:val="both"/>
        <w:rPr>
          <w:rFonts w:ascii="Verdana" w:eastAsia="Malgun Gothic" w:hAnsi="Verdana" w:cs="Arial"/>
          <w:sz w:val="18"/>
          <w:szCs w:val="18"/>
          <w:lang w:val="el-GR"/>
        </w:rPr>
      </w:pPr>
    </w:p>
    <w:p w14:paraId="23170BC6" w14:textId="77777777" w:rsidR="00833DCE" w:rsidRDefault="00833DCE" w:rsidP="00833DCE">
      <w:pPr>
        <w:spacing w:line="276" w:lineRule="auto"/>
        <w:jc w:val="both"/>
        <w:rPr>
          <w:rFonts w:ascii="Verdana" w:eastAsia="Malgun Gothic" w:hAnsi="Verdana" w:cs="Arial"/>
          <w:sz w:val="18"/>
          <w:szCs w:val="18"/>
          <w:lang w:val="el-GR"/>
        </w:rPr>
      </w:pPr>
    </w:p>
    <w:p w14:paraId="61AE0C0D" w14:textId="56A7A32A" w:rsidR="001712CF" w:rsidRDefault="00431281" w:rsidP="00A93590">
      <w:pPr>
        <w:jc w:val="center"/>
        <w:rPr>
          <w:rFonts w:ascii="Verdana" w:hAnsi="Verdana" w:cs="Arial"/>
          <w:sz w:val="18"/>
          <w:szCs w:val="18"/>
          <w:lang w:val="el-GR"/>
        </w:rPr>
      </w:pPr>
      <w:r>
        <w:rPr>
          <w:rFonts w:ascii="Verdana" w:hAnsi="Verdana" w:cs="Arial"/>
          <w:noProof/>
          <w:sz w:val="18"/>
          <w:szCs w:val="18"/>
          <w:lang w:val="el-GR"/>
        </w:rPr>
        <w:drawing>
          <wp:inline distT="0" distB="0" distL="0" distR="0" wp14:anchorId="4ADA910B" wp14:editId="1C35CA89">
            <wp:extent cx="6078220" cy="4517390"/>
            <wp:effectExtent l="0" t="0" r="0" b="0"/>
            <wp:docPr id="17639086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8220" cy="4517390"/>
                    </a:xfrm>
                    <a:prstGeom prst="rect">
                      <a:avLst/>
                    </a:prstGeom>
                    <a:noFill/>
                  </pic:spPr>
                </pic:pic>
              </a:graphicData>
            </a:graphic>
          </wp:inline>
        </w:drawing>
      </w:r>
    </w:p>
    <w:p w14:paraId="4A3EE097" w14:textId="693AE5A2" w:rsidR="001712CF" w:rsidRDefault="001712CF" w:rsidP="000E4CB0">
      <w:pPr>
        <w:jc w:val="both"/>
        <w:rPr>
          <w:rFonts w:ascii="Verdana" w:hAnsi="Verdana" w:cs="Arial"/>
          <w:sz w:val="18"/>
          <w:szCs w:val="18"/>
          <w:lang w:val="el-GR"/>
        </w:rPr>
      </w:pPr>
    </w:p>
    <w:p w14:paraId="581757ED" w14:textId="77777777" w:rsidR="0051198D" w:rsidRDefault="0051198D" w:rsidP="00C9378B">
      <w:pPr>
        <w:spacing w:line="276" w:lineRule="auto"/>
        <w:jc w:val="both"/>
        <w:rPr>
          <w:rFonts w:ascii="Verdana" w:eastAsia="Malgun Gothic" w:hAnsi="Verdana" w:cs="Arial"/>
          <w:color w:val="000000" w:themeColor="text1"/>
          <w:sz w:val="18"/>
          <w:szCs w:val="18"/>
          <w:lang w:val="el-GR"/>
        </w:rPr>
      </w:pPr>
    </w:p>
    <w:p w14:paraId="7A86052E" w14:textId="77777777" w:rsidR="0051198D" w:rsidRDefault="0051198D" w:rsidP="00C9378B">
      <w:pPr>
        <w:spacing w:line="276" w:lineRule="auto"/>
        <w:jc w:val="both"/>
        <w:rPr>
          <w:rFonts w:ascii="Verdana" w:eastAsia="Malgun Gothic" w:hAnsi="Verdana" w:cs="Arial"/>
          <w:color w:val="000000" w:themeColor="text1"/>
          <w:sz w:val="18"/>
          <w:szCs w:val="18"/>
          <w:lang w:val="el-GR"/>
        </w:rPr>
      </w:pPr>
    </w:p>
    <w:p w14:paraId="452CA3C1" w14:textId="77777777" w:rsidR="0051198D" w:rsidRDefault="0051198D" w:rsidP="00C9378B">
      <w:pPr>
        <w:spacing w:line="276" w:lineRule="auto"/>
        <w:jc w:val="both"/>
        <w:rPr>
          <w:rFonts w:ascii="Verdana" w:eastAsia="Malgun Gothic" w:hAnsi="Verdana" w:cs="Arial"/>
          <w:color w:val="000000" w:themeColor="text1"/>
          <w:sz w:val="18"/>
          <w:szCs w:val="18"/>
          <w:lang w:val="el-GR"/>
        </w:rPr>
      </w:pPr>
    </w:p>
    <w:p w14:paraId="0EF91A11" w14:textId="77777777" w:rsidR="0051198D" w:rsidRPr="00704A7A" w:rsidRDefault="0051198D" w:rsidP="00C9378B">
      <w:pPr>
        <w:spacing w:line="276" w:lineRule="auto"/>
        <w:jc w:val="both"/>
        <w:rPr>
          <w:rFonts w:ascii="Verdana" w:eastAsia="Malgun Gothic" w:hAnsi="Verdana" w:cs="Arial"/>
          <w:color w:val="000000" w:themeColor="text1"/>
          <w:sz w:val="18"/>
          <w:szCs w:val="18"/>
        </w:rPr>
      </w:pPr>
    </w:p>
    <w:p w14:paraId="0A490AC8" w14:textId="7FA4E1E6" w:rsidR="00933369" w:rsidRDefault="00933369" w:rsidP="00933369">
      <w:pPr>
        <w:spacing w:line="276" w:lineRule="auto"/>
        <w:jc w:val="both"/>
        <w:rPr>
          <w:rFonts w:ascii="Verdana" w:eastAsia="Malgun Gothic" w:hAnsi="Verdana" w:cs="Arial"/>
          <w:sz w:val="18"/>
          <w:szCs w:val="18"/>
          <w:lang w:val="el-GR"/>
        </w:rPr>
      </w:pPr>
      <w:r w:rsidRPr="00AC6796">
        <w:rPr>
          <w:rFonts w:ascii="Verdana" w:eastAsia="Malgun Gothic" w:hAnsi="Verdana" w:cs="Arial"/>
          <w:sz w:val="18"/>
          <w:szCs w:val="18"/>
          <w:lang w:val="el-GR"/>
        </w:rPr>
        <w:lastRenderedPageBreak/>
        <w:t>Σε σύγκριση με το</w:t>
      </w:r>
      <w:r w:rsidR="00431281">
        <w:rPr>
          <w:rFonts w:ascii="Verdana" w:eastAsia="Malgun Gothic" w:hAnsi="Verdana" w:cs="Arial"/>
          <w:sz w:val="18"/>
          <w:szCs w:val="18"/>
          <w:lang w:val="el-GR"/>
        </w:rPr>
        <w:t>ν</w:t>
      </w:r>
      <w:r w:rsidRPr="00AC6796">
        <w:rPr>
          <w:rFonts w:ascii="Verdana" w:eastAsia="Malgun Gothic" w:hAnsi="Verdana" w:cs="Arial"/>
          <w:sz w:val="18"/>
          <w:szCs w:val="18"/>
          <w:lang w:val="el-GR"/>
        </w:rPr>
        <w:t xml:space="preserve"> </w:t>
      </w:r>
      <w:r w:rsidR="00431281">
        <w:rPr>
          <w:rFonts w:ascii="Verdana" w:eastAsia="Malgun Gothic" w:hAnsi="Verdana" w:cs="Arial"/>
          <w:sz w:val="18"/>
          <w:szCs w:val="18"/>
          <w:lang w:val="el-GR"/>
        </w:rPr>
        <w:t>Δεκέμβριο</w:t>
      </w:r>
      <w:r>
        <w:rPr>
          <w:rFonts w:ascii="Verdana" w:eastAsia="Malgun Gothic" w:hAnsi="Verdana" w:cs="Arial"/>
          <w:sz w:val="18"/>
          <w:szCs w:val="18"/>
          <w:lang w:val="el-GR"/>
        </w:rPr>
        <w:t xml:space="preserve"> του 2023</w:t>
      </w:r>
      <w:r w:rsidRPr="00AC6796">
        <w:rPr>
          <w:rFonts w:ascii="Verdana" w:eastAsia="Malgun Gothic" w:hAnsi="Verdana" w:cs="Arial"/>
          <w:sz w:val="18"/>
          <w:szCs w:val="18"/>
          <w:lang w:val="el-GR"/>
        </w:rPr>
        <w:t xml:space="preserve">, </w:t>
      </w:r>
      <w:r w:rsidR="00972EB1">
        <w:rPr>
          <w:rFonts w:ascii="Verdana" w:eastAsia="Malgun Gothic" w:hAnsi="Verdana" w:cs="Arial"/>
          <w:sz w:val="18"/>
          <w:szCs w:val="18"/>
          <w:lang w:val="el-GR"/>
        </w:rPr>
        <w:t xml:space="preserve">η μεγαλύτερη μεταβολή παρατηρείται στο </w:t>
      </w:r>
      <w:r w:rsidR="00972EB1" w:rsidRPr="00320EA9">
        <w:rPr>
          <w:rFonts w:ascii="Verdana" w:eastAsia="Malgun Gothic" w:hAnsi="Verdana" w:cs="Arial"/>
          <w:sz w:val="18"/>
          <w:szCs w:val="18"/>
          <w:lang w:val="el-GR"/>
        </w:rPr>
        <w:t>προσωπικό τ</w:t>
      </w:r>
      <w:r w:rsidR="003F02E6">
        <w:rPr>
          <w:rFonts w:ascii="Verdana" w:eastAsia="Malgun Gothic" w:hAnsi="Verdana" w:cs="Arial"/>
          <w:sz w:val="18"/>
          <w:szCs w:val="18"/>
          <w:lang w:val="el-GR"/>
        </w:rPr>
        <w:t>ων</w:t>
      </w:r>
      <w:r w:rsidR="00972EB1" w:rsidRPr="00320EA9">
        <w:rPr>
          <w:rFonts w:ascii="Verdana" w:eastAsia="Malgun Gothic" w:hAnsi="Verdana" w:cs="Arial"/>
          <w:sz w:val="18"/>
          <w:szCs w:val="18"/>
          <w:lang w:val="el-GR"/>
        </w:rPr>
        <w:t xml:space="preserve"> </w:t>
      </w:r>
      <w:r w:rsidR="003F02E6">
        <w:rPr>
          <w:rFonts w:ascii="Verdana" w:eastAsia="Malgun Gothic" w:hAnsi="Verdana" w:cs="Arial"/>
          <w:sz w:val="18"/>
          <w:szCs w:val="18"/>
          <w:lang w:val="el-GR"/>
        </w:rPr>
        <w:t>Δυνάμεων Ασφαλείας</w:t>
      </w:r>
      <w:r w:rsidR="00972EB1" w:rsidRPr="00320EA9">
        <w:rPr>
          <w:rFonts w:ascii="Verdana" w:eastAsia="Malgun Gothic" w:hAnsi="Verdana" w:cs="Arial"/>
          <w:sz w:val="18"/>
          <w:szCs w:val="18"/>
          <w:lang w:val="el-GR"/>
        </w:rPr>
        <w:t xml:space="preserve"> (</w:t>
      </w:r>
      <w:r w:rsidR="00972EB1">
        <w:rPr>
          <w:rFonts w:ascii="Verdana" w:eastAsia="Malgun Gothic" w:hAnsi="Verdana" w:cs="Arial"/>
          <w:sz w:val="18"/>
          <w:szCs w:val="18"/>
          <w:lang w:val="el-GR"/>
        </w:rPr>
        <w:t xml:space="preserve">αύξηση </w:t>
      </w:r>
      <w:r w:rsidR="00D245DD">
        <w:rPr>
          <w:rFonts w:ascii="Verdana" w:eastAsia="Malgun Gothic" w:hAnsi="Verdana" w:cs="Arial"/>
          <w:sz w:val="18"/>
          <w:szCs w:val="18"/>
          <w:lang w:val="el-GR"/>
        </w:rPr>
        <w:t>0</w:t>
      </w:r>
      <w:r w:rsidR="00972EB1">
        <w:rPr>
          <w:rFonts w:ascii="Verdana" w:eastAsia="Malgun Gothic" w:hAnsi="Verdana" w:cs="Arial"/>
          <w:sz w:val="18"/>
          <w:szCs w:val="18"/>
          <w:lang w:val="el-GR"/>
        </w:rPr>
        <w:t>,</w:t>
      </w:r>
      <w:r w:rsidR="00D245DD">
        <w:rPr>
          <w:rFonts w:ascii="Verdana" w:eastAsia="Malgun Gothic" w:hAnsi="Verdana" w:cs="Arial"/>
          <w:sz w:val="18"/>
          <w:szCs w:val="18"/>
          <w:lang w:val="el-GR"/>
        </w:rPr>
        <w:t>7</w:t>
      </w:r>
      <w:r w:rsidR="00972EB1" w:rsidRPr="00320EA9">
        <w:rPr>
          <w:rFonts w:ascii="Verdana" w:eastAsia="Malgun Gothic" w:hAnsi="Verdana" w:cs="Arial"/>
          <w:sz w:val="18"/>
          <w:szCs w:val="18"/>
          <w:lang w:val="el-GR"/>
        </w:rPr>
        <w:t>%)</w:t>
      </w:r>
      <w:r w:rsidR="002D5C7D">
        <w:rPr>
          <w:rFonts w:ascii="Verdana" w:eastAsia="Malgun Gothic" w:hAnsi="Verdana" w:cs="Arial"/>
          <w:sz w:val="18"/>
          <w:szCs w:val="18"/>
          <w:lang w:val="el-GR"/>
        </w:rPr>
        <w:t xml:space="preserve">. </w:t>
      </w:r>
      <w:r w:rsidR="00972EB1">
        <w:rPr>
          <w:rFonts w:ascii="Verdana" w:eastAsia="Malgun Gothic" w:hAnsi="Verdana" w:cs="Arial"/>
          <w:sz w:val="18"/>
          <w:szCs w:val="18"/>
          <w:lang w:val="el-GR"/>
        </w:rPr>
        <w:t>Η απασχόληση στις υπόλοιπες κατηγορίες προσωπικού παρέμειν</w:t>
      </w:r>
      <w:r w:rsidR="006B6114">
        <w:rPr>
          <w:rFonts w:ascii="Verdana" w:eastAsia="Malgun Gothic" w:hAnsi="Verdana" w:cs="Arial"/>
          <w:sz w:val="18"/>
          <w:szCs w:val="18"/>
          <w:lang w:val="el-GR"/>
        </w:rPr>
        <w:t>ε</w:t>
      </w:r>
      <w:r w:rsidR="00972EB1">
        <w:rPr>
          <w:rFonts w:ascii="Verdana" w:eastAsia="Malgun Gothic" w:hAnsi="Verdana" w:cs="Arial"/>
          <w:sz w:val="18"/>
          <w:szCs w:val="18"/>
          <w:lang w:val="el-GR"/>
        </w:rPr>
        <w:t xml:space="preserve"> πολύ κοντά στα επίπεδα του</w:t>
      </w:r>
      <w:r w:rsidR="0053337E">
        <w:rPr>
          <w:rFonts w:ascii="Verdana" w:eastAsia="Malgun Gothic" w:hAnsi="Verdana" w:cs="Arial"/>
          <w:sz w:val="18"/>
          <w:szCs w:val="18"/>
          <w:lang w:val="el-GR"/>
        </w:rPr>
        <w:t xml:space="preserve"> </w:t>
      </w:r>
      <w:r w:rsidR="003F02E6">
        <w:rPr>
          <w:rFonts w:ascii="Verdana" w:eastAsia="Malgun Gothic" w:hAnsi="Verdana" w:cs="Arial"/>
          <w:sz w:val="18"/>
          <w:szCs w:val="18"/>
          <w:lang w:val="el-GR"/>
        </w:rPr>
        <w:t>Δεκεμβρίου</w:t>
      </w:r>
      <w:r w:rsidR="00972EB1">
        <w:rPr>
          <w:rFonts w:ascii="Verdana" w:eastAsia="Malgun Gothic" w:hAnsi="Verdana" w:cs="Arial"/>
          <w:sz w:val="18"/>
          <w:szCs w:val="18"/>
          <w:lang w:val="el-GR"/>
        </w:rPr>
        <w:t>, 2023.</w:t>
      </w:r>
    </w:p>
    <w:p w14:paraId="42D6D0A8" w14:textId="77777777" w:rsidR="00915E46" w:rsidRDefault="00915E46" w:rsidP="00ED6131">
      <w:pPr>
        <w:spacing w:line="276" w:lineRule="auto"/>
        <w:jc w:val="both"/>
        <w:rPr>
          <w:rFonts w:ascii="Verdana" w:eastAsia="Malgun Gothic" w:hAnsi="Verdana" w:cs="Arial"/>
          <w:sz w:val="18"/>
          <w:szCs w:val="18"/>
          <w:lang w:val="el-GR"/>
        </w:rPr>
      </w:pPr>
    </w:p>
    <w:p w14:paraId="3C74EA06" w14:textId="77777777" w:rsidR="00493FC1" w:rsidRDefault="00493FC1" w:rsidP="000E4CB0">
      <w:pPr>
        <w:jc w:val="both"/>
        <w:rPr>
          <w:rFonts w:ascii="Verdana" w:hAnsi="Verdana" w:cs="Arial"/>
          <w:sz w:val="18"/>
          <w:szCs w:val="18"/>
          <w:lang w:val="el-GR"/>
        </w:rPr>
      </w:pPr>
    </w:p>
    <w:tbl>
      <w:tblPr>
        <w:tblW w:w="4707" w:type="pct"/>
        <w:tblBorders>
          <w:top w:val="single" w:sz="8" w:space="0" w:color="4F81BD"/>
          <w:bottom w:val="single" w:sz="8" w:space="0" w:color="4F81BD"/>
        </w:tblBorders>
        <w:tblLook w:val="04A0" w:firstRow="1" w:lastRow="0" w:firstColumn="1" w:lastColumn="0" w:noHBand="0" w:noVBand="1"/>
      </w:tblPr>
      <w:tblGrid>
        <w:gridCol w:w="2254"/>
        <w:gridCol w:w="1207"/>
        <w:gridCol w:w="1193"/>
        <w:gridCol w:w="1195"/>
        <w:gridCol w:w="312"/>
        <w:gridCol w:w="1352"/>
        <w:gridCol w:w="1513"/>
      </w:tblGrid>
      <w:tr w:rsidR="008E3762" w:rsidRPr="00C67B80" w14:paraId="62E42BA2" w14:textId="77777777" w:rsidTr="008E3762">
        <w:trPr>
          <w:trHeight w:val="403"/>
        </w:trPr>
        <w:tc>
          <w:tcPr>
            <w:tcW w:w="1248" w:type="pct"/>
            <w:tcBorders>
              <w:top w:val="nil"/>
              <w:left w:val="nil"/>
              <w:bottom w:val="single" w:sz="8" w:space="0" w:color="4F81BD"/>
              <w:right w:val="nil"/>
            </w:tcBorders>
            <w:vAlign w:val="center"/>
            <w:hideMark/>
          </w:tcPr>
          <w:p w14:paraId="4E5CDF6A" w14:textId="77777777" w:rsidR="008E3762" w:rsidRPr="00C67B80" w:rsidRDefault="008E3762" w:rsidP="00FF09CA">
            <w:pPr>
              <w:rPr>
                <w:rFonts w:ascii="Verdana" w:eastAsia="Malgun Gothic" w:hAnsi="Verdana" w:cs="Arial"/>
                <w:b/>
                <w:bCs/>
                <w:color w:val="365F91"/>
                <w:sz w:val="18"/>
                <w:szCs w:val="18"/>
                <w:lang w:val="el-GR"/>
              </w:rPr>
            </w:pPr>
            <w:r w:rsidRPr="00C67B80">
              <w:rPr>
                <w:rFonts w:ascii="Verdana" w:eastAsia="Malgun Gothic" w:hAnsi="Verdana" w:cs="Arial"/>
                <w:b/>
                <w:bCs/>
                <w:color w:val="365F91"/>
                <w:sz w:val="18"/>
                <w:szCs w:val="18"/>
                <w:lang w:val="el-GR"/>
              </w:rPr>
              <w:t>Πίνακας</w:t>
            </w:r>
          </w:p>
        </w:tc>
        <w:tc>
          <w:tcPr>
            <w:tcW w:w="668" w:type="pct"/>
            <w:tcBorders>
              <w:top w:val="nil"/>
              <w:left w:val="nil"/>
              <w:bottom w:val="single" w:sz="8" w:space="0" w:color="4F81BD"/>
              <w:right w:val="nil"/>
            </w:tcBorders>
            <w:vAlign w:val="center"/>
          </w:tcPr>
          <w:p w14:paraId="32E93505" w14:textId="77777777" w:rsidR="008E3762" w:rsidRPr="00C67B80" w:rsidRDefault="008E3762" w:rsidP="00FF09CA">
            <w:pPr>
              <w:rPr>
                <w:rFonts w:ascii="Verdana" w:eastAsia="Malgun Gothic" w:hAnsi="Verdana" w:cs="Arial"/>
                <w:b/>
                <w:bCs/>
                <w:color w:val="365F91"/>
                <w:sz w:val="18"/>
                <w:szCs w:val="18"/>
                <w:lang w:val="el-GR"/>
              </w:rPr>
            </w:pPr>
          </w:p>
        </w:tc>
        <w:tc>
          <w:tcPr>
            <w:tcW w:w="661" w:type="pct"/>
            <w:tcBorders>
              <w:top w:val="nil"/>
              <w:left w:val="nil"/>
              <w:bottom w:val="single" w:sz="8" w:space="0" w:color="4F81BD"/>
              <w:right w:val="nil"/>
            </w:tcBorders>
            <w:vAlign w:val="center"/>
          </w:tcPr>
          <w:p w14:paraId="37A3D02B" w14:textId="77777777" w:rsidR="008E3762" w:rsidRPr="00C67B80" w:rsidRDefault="008E3762" w:rsidP="00FF09CA">
            <w:pPr>
              <w:rPr>
                <w:rFonts w:ascii="Verdana" w:eastAsia="Malgun Gothic" w:hAnsi="Verdana" w:cs="Arial"/>
                <w:b/>
                <w:bCs/>
                <w:color w:val="365F91"/>
                <w:sz w:val="18"/>
                <w:szCs w:val="18"/>
                <w:lang w:val="el-GR"/>
              </w:rPr>
            </w:pPr>
          </w:p>
        </w:tc>
        <w:tc>
          <w:tcPr>
            <w:tcW w:w="662" w:type="pct"/>
            <w:tcBorders>
              <w:top w:val="nil"/>
              <w:left w:val="nil"/>
              <w:bottom w:val="single" w:sz="8" w:space="0" w:color="4F81BD"/>
              <w:right w:val="nil"/>
            </w:tcBorders>
            <w:vAlign w:val="center"/>
          </w:tcPr>
          <w:p w14:paraId="2275C2D0" w14:textId="77777777" w:rsidR="008E3762" w:rsidRPr="00C67B80" w:rsidRDefault="008E3762" w:rsidP="00FF09CA">
            <w:pPr>
              <w:rPr>
                <w:rFonts w:ascii="Verdana" w:eastAsia="Malgun Gothic" w:hAnsi="Verdana" w:cs="Arial"/>
                <w:b/>
                <w:bCs/>
                <w:color w:val="365F91"/>
                <w:sz w:val="18"/>
                <w:szCs w:val="18"/>
                <w:lang w:val="el-GR"/>
              </w:rPr>
            </w:pPr>
          </w:p>
        </w:tc>
        <w:tc>
          <w:tcPr>
            <w:tcW w:w="173" w:type="pct"/>
            <w:tcBorders>
              <w:top w:val="nil"/>
              <w:left w:val="nil"/>
              <w:bottom w:val="single" w:sz="8" w:space="0" w:color="4F81BD"/>
              <w:right w:val="nil"/>
            </w:tcBorders>
            <w:vAlign w:val="center"/>
          </w:tcPr>
          <w:p w14:paraId="1ABF5A17" w14:textId="77777777" w:rsidR="008E3762" w:rsidRPr="00C67B80" w:rsidRDefault="008E3762" w:rsidP="00FF09CA">
            <w:pPr>
              <w:rPr>
                <w:rFonts w:ascii="Verdana" w:eastAsia="Malgun Gothic" w:hAnsi="Verdana" w:cs="Arial"/>
                <w:b/>
                <w:bCs/>
                <w:color w:val="365F91"/>
                <w:sz w:val="18"/>
                <w:szCs w:val="18"/>
                <w:lang w:val="el-GR"/>
              </w:rPr>
            </w:pPr>
          </w:p>
        </w:tc>
        <w:tc>
          <w:tcPr>
            <w:tcW w:w="749" w:type="pct"/>
            <w:tcBorders>
              <w:top w:val="nil"/>
              <w:left w:val="nil"/>
              <w:bottom w:val="single" w:sz="8" w:space="0" w:color="4F81BD"/>
              <w:right w:val="nil"/>
            </w:tcBorders>
            <w:vAlign w:val="center"/>
          </w:tcPr>
          <w:p w14:paraId="39EFE47F" w14:textId="77777777" w:rsidR="008E3762" w:rsidRPr="00C67B80" w:rsidRDefault="008E3762" w:rsidP="00FF09CA">
            <w:pPr>
              <w:rPr>
                <w:rFonts w:ascii="Verdana" w:eastAsia="Malgun Gothic" w:hAnsi="Verdana" w:cs="Arial"/>
                <w:b/>
                <w:bCs/>
                <w:color w:val="365F91"/>
                <w:sz w:val="18"/>
                <w:szCs w:val="18"/>
                <w:lang w:val="el-GR"/>
              </w:rPr>
            </w:pPr>
          </w:p>
        </w:tc>
        <w:tc>
          <w:tcPr>
            <w:tcW w:w="837" w:type="pct"/>
            <w:tcBorders>
              <w:top w:val="nil"/>
              <w:left w:val="nil"/>
              <w:bottom w:val="single" w:sz="8" w:space="0" w:color="4F81BD"/>
              <w:right w:val="nil"/>
            </w:tcBorders>
            <w:vAlign w:val="center"/>
          </w:tcPr>
          <w:p w14:paraId="431DA232" w14:textId="77777777" w:rsidR="008E3762" w:rsidRPr="00C67B80" w:rsidRDefault="008E3762" w:rsidP="00FF09CA">
            <w:pPr>
              <w:rPr>
                <w:rFonts w:ascii="Verdana" w:eastAsia="Malgun Gothic" w:hAnsi="Verdana" w:cs="Arial"/>
                <w:b/>
                <w:bCs/>
                <w:color w:val="365F91"/>
                <w:sz w:val="18"/>
                <w:szCs w:val="18"/>
                <w:lang w:val="el-GR"/>
              </w:rPr>
            </w:pPr>
          </w:p>
        </w:tc>
      </w:tr>
      <w:tr w:rsidR="008E3762" w:rsidRPr="00C67B80" w14:paraId="255DED37" w14:textId="77777777" w:rsidTr="008E3762">
        <w:trPr>
          <w:trHeight w:val="403"/>
        </w:trPr>
        <w:tc>
          <w:tcPr>
            <w:tcW w:w="1248" w:type="pct"/>
            <w:vMerge w:val="restart"/>
            <w:tcBorders>
              <w:top w:val="nil"/>
              <w:left w:val="nil"/>
              <w:bottom w:val="single" w:sz="8" w:space="0" w:color="4F81BD"/>
              <w:right w:val="nil"/>
            </w:tcBorders>
            <w:vAlign w:val="center"/>
            <w:hideMark/>
          </w:tcPr>
          <w:p w14:paraId="666ACD07" w14:textId="77777777" w:rsidR="008E3762" w:rsidRPr="00C67B80" w:rsidRDefault="008E3762" w:rsidP="00FF09CA">
            <w:pPr>
              <w:jc w:val="center"/>
              <w:rPr>
                <w:rFonts w:ascii="Verdana" w:eastAsia="Malgun Gothic" w:hAnsi="Verdana" w:cs="Arial"/>
                <w:b/>
                <w:bCs/>
                <w:color w:val="365F91"/>
                <w:sz w:val="18"/>
                <w:szCs w:val="18"/>
                <w:lang w:val="el-GR"/>
              </w:rPr>
            </w:pPr>
            <w:r w:rsidRPr="00C67B80">
              <w:rPr>
                <w:rFonts w:ascii="Verdana" w:eastAsia="Malgun Gothic" w:hAnsi="Verdana" w:cs="Arial"/>
                <w:b/>
                <w:bCs/>
                <w:color w:val="365F91"/>
                <w:sz w:val="18"/>
                <w:szCs w:val="18"/>
                <w:lang w:val="el-GR"/>
              </w:rPr>
              <w:t>Κατηγορία Προσωπικού</w:t>
            </w:r>
          </w:p>
        </w:tc>
        <w:tc>
          <w:tcPr>
            <w:tcW w:w="1991" w:type="pct"/>
            <w:gridSpan w:val="3"/>
            <w:tcBorders>
              <w:top w:val="single" w:sz="8" w:space="0" w:color="4F81BD"/>
              <w:left w:val="nil"/>
              <w:bottom w:val="single" w:sz="8" w:space="0" w:color="4F81BD"/>
              <w:right w:val="single" w:sz="8" w:space="0" w:color="4F81BD"/>
            </w:tcBorders>
            <w:vAlign w:val="center"/>
            <w:hideMark/>
          </w:tcPr>
          <w:p w14:paraId="362F5C63" w14:textId="57517613" w:rsidR="008E3762" w:rsidRPr="00C67B80" w:rsidRDefault="008E3762" w:rsidP="00FF09CA">
            <w:pPr>
              <w:jc w:val="center"/>
              <w:rPr>
                <w:rFonts w:ascii="Verdana" w:eastAsia="Malgun Gothic" w:hAnsi="Verdana" w:cs="Arial"/>
                <w:color w:val="365F91"/>
                <w:sz w:val="18"/>
                <w:szCs w:val="18"/>
                <w:lang w:val="el-GR"/>
              </w:rPr>
            </w:pPr>
            <w:r w:rsidRPr="00C67B80">
              <w:rPr>
                <w:rFonts w:ascii="Verdana" w:eastAsia="Malgun Gothic" w:hAnsi="Verdana" w:cs="Arial"/>
                <w:b/>
                <w:color w:val="365F91"/>
                <w:sz w:val="18"/>
                <w:szCs w:val="18"/>
                <w:lang w:val="el-GR"/>
              </w:rPr>
              <w:t>Αριθμός Ατόμων</w:t>
            </w:r>
          </w:p>
        </w:tc>
        <w:tc>
          <w:tcPr>
            <w:tcW w:w="173" w:type="pct"/>
            <w:tcBorders>
              <w:top w:val="nil"/>
              <w:left w:val="single" w:sz="8" w:space="0" w:color="4F81BD"/>
              <w:bottom w:val="single" w:sz="8" w:space="0" w:color="4F81BD"/>
              <w:right w:val="nil"/>
            </w:tcBorders>
            <w:vAlign w:val="center"/>
          </w:tcPr>
          <w:p w14:paraId="51F80626" w14:textId="77777777" w:rsidR="008E3762" w:rsidRPr="00C67B80" w:rsidRDefault="008E3762" w:rsidP="00FF09CA">
            <w:pPr>
              <w:jc w:val="center"/>
              <w:rPr>
                <w:rFonts w:ascii="Verdana" w:eastAsia="Malgun Gothic" w:hAnsi="Verdana" w:cs="Arial"/>
                <w:color w:val="365F91"/>
                <w:sz w:val="18"/>
                <w:szCs w:val="18"/>
                <w:lang w:val="el-GR"/>
              </w:rPr>
            </w:pPr>
          </w:p>
        </w:tc>
        <w:tc>
          <w:tcPr>
            <w:tcW w:w="1587" w:type="pct"/>
            <w:gridSpan w:val="2"/>
            <w:tcBorders>
              <w:top w:val="nil"/>
              <w:left w:val="nil"/>
              <w:bottom w:val="single" w:sz="8" w:space="0" w:color="4F81BD"/>
              <w:right w:val="nil"/>
            </w:tcBorders>
            <w:vAlign w:val="center"/>
            <w:hideMark/>
          </w:tcPr>
          <w:p w14:paraId="3310C4E2" w14:textId="77777777" w:rsidR="008E3762" w:rsidRPr="00C67B80" w:rsidRDefault="008E3762" w:rsidP="00FF09CA">
            <w:pPr>
              <w:jc w:val="center"/>
              <w:rPr>
                <w:rFonts w:ascii="Verdana" w:eastAsia="Malgun Gothic" w:hAnsi="Verdana" w:cs="Arial"/>
                <w:color w:val="365F91"/>
                <w:sz w:val="18"/>
                <w:szCs w:val="18"/>
                <w:lang w:val="el-GR"/>
              </w:rPr>
            </w:pPr>
            <w:r w:rsidRPr="00C67B80">
              <w:rPr>
                <w:rFonts w:ascii="Verdana" w:eastAsia="Malgun Gothic" w:hAnsi="Verdana" w:cs="Arial"/>
                <w:b/>
                <w:color w:val="365F91"/>
                <w:sz w:val="18"/>
                <w:szCs w:val="18"/>
                <w:lang w:val="el-GR"/>
              </w:rPr>
              <w:t>% Μεταβολή</w:t>
            </w:r>
          </w:p>
        </w:tc>
      </w:tr>
      <w:tr w:rsidR="008E3762" w:rsidRPr="00C67B80" w14:paraId="32D047E3" w14:textId="77777777" w:rsidTr="008E3762">
        <w:trPr>
          <w:trHeight w:val="403"/>
        </w:trPr>
        <w:tc>
          <w:tcPr>
            <w:tcW w:w="0" w:type="auto"/>
            <w:vMerge/>
            <w:tcBorders>
              <w:top w:val="nil"/>
              <w:left w:val="nil"/>
              <w:bottom w:val="single" w:sz="8" w:space="0" w:color="4F81BD"/>
              <w:right w:val="nil"/>
            </w:tcBorders>
            <w:vAlign w:val="center"/>
            <w:hideMark/>
          </w:tcPr>
          <w:p w14:paraId="1F622C07" w14:textId="77777777" w:rsidR="008E3762" w:rsidRPr="00C67B80" w:rsidRDefault="008E3762" w:rsidP="00FF09CA">
            <w:pPr>
              <w:rPr>
                <w:rFonts w:ascii="Verdana" w:eastAsia="Malgun Gothic" w:hAnsi="Verdana" w:cs="Arial"/>
                <w:b/>
                <w:bCs/>
                <w:color w:val="365F91"/>
                <w:sz w:val="18"/>
                <w:szCs w:val="18"/>
                <w:lang w:val="el-GR"/>
              </w:rPr>
            </w:pPr>
          </w:p>
        </w:tc>
        <w:tc>
          <w:tcPr>
            <w:tcW w:w="668" w:type="pct"/>
            <w:tcBorders>
              <w:top w:val="single" w:sz="8" w:space="0" w:color="4F81BD"/>
              <w:left w:val="nil"/>
              <w:bottom w:val="single" w:sz="8" w:space="0" w:color="4F81BD"/>
              <w:right w:val="nil"/>
            </w:tcBorders>
            <w:hideMark/>
          </w:tcPr>
          <w:p w14:paraId="6D0B72C0" w14:textId="7CEFDF33" w:rsidR="008E3762" w:rsidRPr="00C67B80" w:rsidRDefault="008E3762" w:rsidP="00FF09CA">
            <w:pPr>
              <w:jc w:val="center"/>
              <w:rPr>
                <w:rFonts w:ascii="Verdana" w:eastAsia="Malgun Gothic" w:hAnsi="Verdana" w:cs="Arial"/>
                <w:b/>
                <w:color w:val="365F91"/>
                <w:sz w:val="18"/>
                <w:szCs w:val="18"/>
                <w:lang w:val="el-GR"/>
              </w:rPr>
            </w:pPr>
            <w:r w:rsidRPr="00C67B80">
              <w:rPr>
                <w:rFonts w:ascii="Verdana" w:eastAsia="Malgun Gothic" w:hAnsi="Verdana" w:cs="Arial"/>
                <w:b/>
                <w:color w:val="365F91"/>
                <w:sz w:val="18"/>
                <w:szCs w:val="18"/>
                <w:lang w:val="el-GR"/>
              </w:rPr>
              <w:t>Ιαν 2023</w:t>
            </w:r>
          </w:p>
        </w:tc>
        <w:tc>
          <w:tcPr>
            <w:tcW w:w="661" w:type="pct"/>
            <w:tcBorders>
              <w:top w:val="single" w:sz="8" w:space="0" w:color="4F81BD"/>
              <w:left w:val="nil"/>
              <w:bottom w:val="single" w:sz="8" w:space="0" w:color="4F81BD"/>
              <w:right w:val="nil"/>
            </w:tcBorders>
            <w:hideMark/>
          </w:tcPr>
          <w:p w14:paraId="6B3E32B9" w14:textId="65CA788C" w:rsidR="008E3762" w:rsidRPr="00C67B80" w:rsidRDefault="008E3762" w:rsidP="00FF09CA">
            <w:pPr>
              <w:jc w:val="center"/>
              <w:rPr>
                <w:rFonts w:ascii="Verdana" w:eastAsia="Malgun Gothic" w:hAnsi="Verdana" w:cs="Arial"/>
                <w:b/>
                <w:color w:val="365F91"/>
                <w:sz w:val="18"/>
                <w:szCs w:val="18"/>
                <w:lang w:val="el-GR"/>
              </w:rPr>
            </w:pPr>
            <w:r w:rsidRPr="00C67B80">
              <w:rPr>
                <w:rFonts w:ascii="Verdana" w:eastAsia="Malgun Gothic" w:hAnsi="Verdana" w:cs="Arial"/>
                <w:b/>
                <w:color w:val="365F91"/>
                <w:sz w:val="18"/>
                <w:szCs w:val="18"/>
                <w:lang w:val="el-GR"/>
              </w:rPr>
              <w:t>Δεκ 2023</w:t>
            </w:r>
          </w:p>
        </w:tc>
        <w:tc>
          <w:tcPr>
            <w:tcW w:w="662" w:type="pct"/>
            <w:tcBorders>
              <w:top w:val="single" w:sz="8" w:space="0" w:color="4F81BD"/>
              <w:left w:val="nil"/>
              <w:bottom w:val="single" w:sz="8" w:space="0" w:color="4F81BD"/>
              <w:right w:val="single" w:sz="8" w:space="0" w:color="4F81BD"/>
            </w:tcBorders>
            <w:hideMark/>
          </w:tcPr>
          <w:p w14:paraId="4C2CD087" w14:textId="6884CAA2" w:rsidR="008E3762" w:rsidRPr="00C67B80" w:rsidRDefault="008E3762" w:rsidP="00FF09CA">
            <w:pPr>
              <w:jc w:val="center"/>
              <w:rPr>
                <w:rFonts w:ascii="Verdana" w:eastAsia="Malgun Gothic" w:hAnsi="Verdana" w:cs="Arial"/>
                <w:b/>
                <w:color w:val="365F91"/>
                <w:sz w:val="18"/>
                <w:szCs w:val="18"/>
                <w:lang w:val="el-GR"/>
              </w:rPr>
            </w:pPr>
            <w:r w:rsidRPr="00C67B80">
              <w:rPr>
                <w:rFonts w:ascii="Verdana" w:eastAsia="Malgun Gothic" w:hAnsi="Verdana" w:cs="Arial"/>
                <w:b/>
                <w:color w:val="365F91"/>
                <w:sz w:val="18"/>
                <w:szCs w:val="18"/>
                <w:lang w:val="el-GR"/>
              </w:rPr>
              <w:t>Ιαν 2024</w:t>
            </w:r>
          </w:p>
        </w:tc>
        <w:tc>
          <w:tcPr>
            <w:tcW w:w="173" w:type="pct"/>
            <w:tcBorders>
              <w:top w:val="single" w:sz="8" w:space="0" w:color="4F81BD"/>
              <w:left w:val="single" w:sz="8" w:space="0" w:color="4F81BD"/>
              <w:bottom w:val="single" w:sz="8" w:space="0" w:color="4F81BD"/>
              <w:right w:val="nil"/>
            </w:tcBorders>
          </w:tcPr>
          <w:p w14:paraId="6E48A57B" w14:textId="77777777" w:rsidR="008E3762" w:rsidRPr="00C67B80" w:rsidRDefault="008E3762" w:rsidP="00FF09CA">
            <w:pPr>
              <w:jc w:val="center"/>
              <w:rPr>
                <w:rFonts w:ascii="Verdana" w:eastAsia="Malgun Gothic" w:hAnsi="Verdana" w:cs="Arial"/>
                <w:color w:val="365F91"/>
                <w:sz w:val="18"/>
                <w:szCs w:val="18"/>
                <w:lang w:val="el-GR"/>
              </w:rPr>
            </w:pPr>
          </w:p>
        </w:tc>
        <w:tc>
          <w:tcPr>
            <w:tcW w:w="749" w:type="pct"/>
            <w:tcBorders>
              <w:top w:val="single" w:sz="8" w:space="0" w:color="4F81BD"/>
              <w:left w:val="nil"/>
              <w:bottom w:val="single" w:sz="8" w:space="0" w:color="4F81BD"/>
              <w:right w:val="nil"/>
            </w:tcBorders>
            <w:hideMark/>
          </w:tcPr>
          <w:p w14:paraId="650F571E" w14:textId="0E1DAC66" w:rsidR="008E3762" w:rsidRPr="00C67B80" w:rsidRDefault="008E3762" w:rsidP="00C05C86">
            <w:pPr>
              <w:ind w:left="-139" w:right="-52"/>
              <w:jc w:val="center"/>
              <w:rPr>
                <w:rFonts w:ascii="Verdana" w:eastAsia="Malgun Gothic" w:hAnsi="Verdana" w:cs="Arial"/>
                <w:b/>
                <w:color w:val="365F91"/>
                <w:sz w:val="18"/>
                <w:szCs w:val="18"/>
                <w:lang w:val="el-GR"/>
              </w:rPr>
            </w:pPr>
            <w:r w:rsidRPr="00C67B80">
              <w:rPr>
                <w:rFonts w:ascii="Verdana" w:eastAsia="Malgun Gothic" w:hAnsi="Verdana" w:cs="Arial"/>
                <w:b/>
                <w:color w:val="365F91"/>
                <w:sz w:val="18"/>
                <w:szCs w:val="18"/>
                <w:lang w:val="el-GR"/>
              </w:rPr>
              <w:t xml:space="preserve"> Ιαν 2024/</w:t>
            </w:r>
          </w:p>
          <w:p w14:paraId="740142BC" w14:textId="69909535" w:rsidR="008E3762" w:rsidRPr="00C67B80" w:rsidRDefault="008E3762" w:rsidP="00C05C86">
            <w:pPr>
              <w:ind w:left="-81"/>
              <w:jc w:val="center"/>
              <w:rPr>
                <w:rFonts w:ascii="Verdana" w:eastAsia="Malgun Gothic" w:hAnsi="Verdana" w:cs="Arial"/>
                <w:color w:val="365F91"/>
                <w:sz w:val="18"/>
                <w:szCs w:val="18"/>
                <w:lang w:val="el-GR"/>
              </w:rPr>
            </w:pPr>
            <w:r w:rsidRPr="00C67B80">
              <w:rPr>
                <w:rFonts w:ascii="Verdana" w:eastAsia="Malgun Gothic" w:hAnsi="Verdana" w:cs="Arial"/>
                <w:b/>
                <w:color w:val="365F91"/>
                <w:sz w:val="18"/>
                <w:szCs w:val="18"/>
                <w:lang w:val="el-GR"/>
              </w:rPr>
              <w:t>Δεκ</w:t>
            </w:r>
            <w:r w:rsidRPr="00C67B80">
              <w:rPr>
                <w:rFonts w:ascii="Verdana" w:eastAsia="Malgun Gothic" w:hAnsi="Verdana" w:cs="Arial"/>
                <w:b/>
                <w:color w:val="365F91"/>
                <w:sz w:val="18"/>
                <w:szCs w:val="18"/>
              </w:rPr>
              <w:t xml:space="preserve"> </w:t>
            </w:r>
            <w:r w:rsidRPr="00C67B80">
              <w:rPr>
                <w:rFonts w:ascii="Verdana" w:eastAsia="Malgun Gothic" w:hAnsi="Verdana" w:cs="Arial"/>
                <w:b/>
                <w:color w:val="365F91"/>
                <w:sz w:val="18"/>
                <w:szCs w:val="18"/>
                <w:lang w:val="el-GR"/>
              </w:rPr>
              <w:t>2023</w:t>
            </w:r>
          </w:p>
        </w:tc>
        <w:tc>
          <w:tcPr>
            <w:tcW w:w="837" w:type="pct"/>
            <w:tcBorders>
              <w:top w:val="single" w:sz="8" w:space="0" w:color="4F81BD"/>
              <w:left w:val="nil"/>
              <w:bottom w:val="single" w:sz="8" w:space="0" w:color="4F81BD"/>
              <w:right w:val="nil"/>
            </w:tcBorders>
            <w:tcMar>
              <w:left w:w="57" w:type="dxa"/>
              <w:right w:w="57" w:type="dxa"/>
            </w:tcMar>
            <w:hideMark/>
          </w:tcPr>
          <w:p w14:paraId="57174574" w14:textId="78D94C47" w:rsidR="008E3762" w:rsidRPr="00C67B80" w:rsidRDefault="008E3762" w:rsidP="00EE2AE3">
            <w:pPr>
              <w:ind w:left="92" w:right="-52" w:hanging="156"/>
              <w:jc w:val="center"/>
              <w:rPr>
                <w:rFonts w:ascii="Verdana" w:eastAsia="Malgun Gothic" w:hAnsi="Verdana" w:cs="Arial"/>
                <w:color w:val="365F91"/>
                <w:sz w:val="18"/>
                <w:szCs w:val="18"/>
                <w:lang w:val="el-GR"/>
              </w:rPr>
            </w:pPr>
            <w:r w:rsidRPr="00C67B80">
              <w:rPr>
                <w:rFonts w:ascii="Verdana" w:eastAsia="Malgun Gothic" w:hAnsi="Verdana" w:cs="Arial"/>
                <w:b/>
                <w:color w:val="365F91"/>
                <w:sz w:val="18"/>
                <w:szCs w:val="18"/>
                <w:lang w:val="el-GR"/>
              </w:rPr>
              <w:t xml:space="preserve">Ιαν  </w:t>
            </w:r>
            <w:r w:rsidRPr="00C67B80">
              <w:rPr>
                <w:rFonts w:ascii="Verdana" w:eastAsia="Malgun Gothic" w:hAnsi="Verdana" w:cs="Arial"/>
                <w:b/>
                <w:color w:val="365F91"/>
                <w:sz w:val="18"/>
                <w:szCs w:val="18"/>
              </w:rPr>
              <w:t xml:space="preserve">        </w:t>
            </w:r>
            <w:r w:rsidRPr="00C67B80">
              <w:rPr>
                <w:rFonts w:ascii="Verdana" w:eastAsia="Malgun Gothic" w:hAnsi="Verdana" w:cs="Arial"/>
                <w:b/>
                <w:color w:val="365F91"/>
                <w:sz w:val="18"/>
                <w:szCs w:val="18"/>
                <w:lang w:val="el-GR"/>
              </w:rPr>
              <w:t>2024/2023</w:t>
            </w:r>
          </w:p>
        </w:tc>
      </w:tr>
      <w:tr w:rsidR="008E3762" w:rsidRPr="00C67B80" w14:paraId="7099274A" w14:textId="77777777" w:rsidTr="00A20803">
        <w:trPr>
          <w:trHeight w:val="576"/>
        </w:trPr>
        <w:tc>
          <w:tcPr>
            <w:tcW w:w="1248" w:type="pct"/>
            <w:tcBorders>
              <w:top w:val="single" w:sz="8" w:space="0" w:color="4F81BD"/>
              <w:left w:val="nil"/>
              <w:bottom w:val="nil"/>
              <w:right w:val="nil"/>
            </w:tcBorders>
            <w:vAlign w:val="center"/>
            <w:hideMark/>
          </w:tcPr>
          <w:p w14:paraId="7B6293A5" w14:textId="77777777" w:rsidR="008E3762" w:rsidRPr="00C67B80" w:rsidRDefault="008E3762" w:rsidP="003F02E6">
            <w:pPr>
              <w:rPr>
                <w:rFonts w:ascii="Verdana" w:eastAsia="Malgun Gothic" w:hAnsi="Verdana" w:cs="Arial"/>
                <w:b/>
                <w:bCs/>
                <w:color w:val="365F91"/>
                <w:sz w:val="18"/>
                <w:szCs w:val="18"/>
                <w:lang w:val="el-GR"/>
              </w:rPr>
            </w:pPr>
            <w:r w:rsidRPr="00C67B80">
              <w:rPr>
                <w:rFonts w:ascii="Verdana" w:eastAsia="Malgun Gothic" w:hAnsi="Verdana" w:cs="Arial"/>
                <w:b/>
                <w:bCs/>
                <w:color w:val="365F91"/>
                <w:sz w:val="18"/>
                <w:szCs w:val="18"/>
                <w:lang w:val="el-GR"/>
              </w:rPr>
              <w:t>Δημόσια</w:t>
            </w:r>
          </w:p>
          <w:p w14:paraId="0FC72C63" w14:textId="77777777" w:rsidR="008E3762" w:rsidRPr="00C67B80" w:rsidRDefault="008E3762" w:rsidP="003F02E6">
            <w:pPr>
              <w:rPr>
                <w:rFonts w:ascii="Verdana" w:eastAsia="Malgun Gothic" w:hAnsi="Verdana" w:cs="Arial"/>
                <w:b/>
                <w:bCs/>
                <w:color w:val="365F91"/>
                <w:sz w:val="18"/>
                <w:szCs w:val="18"/>
                <w:lang w:val="el-GR"/>
              </w:rPr>
            </w:pPr>
            <w:r w:rsidRPr="00C67B80">
              <w:rPr>
                <w:rFonts w:ascii="Verdana" w:eastAsia="Malgun Gothic" w:hAnsi="Verdana" w:cs="Arial"/>
                <w:b/>
                <w:bCs/>
                <w:color w:val="365F91"/>
                <w:sz w:val="18"/>
                <w:szCs w:val="18"/>
                <w:lang w:val="el-GR"/>
              </w:rPr>
              <w:t>Υπηρεσία</w:t>
            </w:r>
          </w:p>
        </w:tc>
        <w:tc>
          <w:tcPr>
            <w:tcW w:w="668" w:type="pct"/>
            <w:tcBorders>
              <w:top w:val="single" w:sz="8" w:space="0" w:color="4F81BD"/>
              <w:left w:val="nil"/>
              <w:bottom w:val="nil"/>
              <w:right w:val="nil"/>
            </w:tcBorders>
            <w:tcMar>
              <w:right w:w="227" w:type="dxa"/>
            </w:tcMar>
            <w:vAlign w:val="center"/>
          </w:tcPr>
          <w:p w14:paraId="4D85CF65" w14:textId="28EBF7F7" w:rsidR="008E3762" w:rsidRPr="00C67B80" w:rsidRDefault="008E3762" w:rsidP="003F02E6">
            <w:pPr>
              <w:jc w:val="right"/>
              <w:rPr>
                <w:rFonts w:ascii="Verdana" w:hAnsi="Verdana"/>
                <w:b/>
                <w:bCs/>
                <w:color w:val="365F91"/>
                <w:sz w:val="18"/>
                <w:szCs w:val="18"/>
              </w:rPr>
            </w:pPr>
            <w:r w:rsidRPr="00C67B80">
              <w:rPr>
                <w:rFonts w:ascii="Verdana" w:hAnsi="Verdana" w:cs="Calibri"/>
                <w:b/>
                <w:bCs/>
                <w:color w:val="365F91"/>
                <w:sz w:val="18"/>
                <w:szCs w:val="18"/>
              </w:rPr>
              <w:t>17.396</w:t>
            </w:r>
          </w:p>
        </w:tc>
        <w:tc>
          <w:tcPr>
            <w:tcW w:w="661" w:type="pct"/>
            <w:tcBorders>
              <w:top w:val="single" w:sz="8" w:space="0" w:color="4F81BD"/>
              <w:left w:val="nil"/>
              <w:bottom w:val="nil"/>
              <w:right w:val="nil"/>
            </w:tcBorders>
            <w:tcMar>
              <w:right w:w="255" w:type="dxa"/>
            </w:tcMar>
            <w:vAlign w:val="center"/>
          </w:tcPr>
          <w:p w14:paraId="217231A1" w14:textId="00F33EA2" w:rsidR="008E3762" w:rsidRPr="00C67B80" w:rsidRDefault="008E3762" w:rsidP="003F02E6">
            <w:pPr>
              <w:jc w:val="right"/>
              <w:rPr>
                <w:rFonts w:ascii="Verdana" w:hAnsi="Verdana"/>
                <w:b/>
                <w:bCs/>
                <w:color w:val="365F91"/>
                <w:sz w:val="18"/>
                <w:szCs w:val="18"/>
              </w:rPr>
            </w:pPr>
            <w:r w:rsidRPr="00C67B80">
              <w:rPr>
                <w:rFonts w:ascii="Verdana" w:hAnsi="Verdana" w:cs="Calibri"/>
                <w:b/>
                <w:bCs/>
                <w:color w:val="365F91"/>
                <w:sz w:val="18"/>
                <w:szCs w:val="18"/>
              </w:rPr>
              <w:t>17.585</w:t>
            </w:r>
          </w:p>
        </w:tc>
        <w:tc>
          <w:tcPr>
            <w:tcW w:w="662" w:type="pct"/>
            <w:tcBorders>
              <w:top w:val="single" w:sz="8" w:space="0" w:color="4F81BD"/>
              <w:left w:val="nil"/>
              <w:bottom w:val="nil"/>
              <w:right w:val="single" w:sz="8" w:space="0" w:color="4F81BD"/>
            </w:tcBorders>
            <w:tcMar>
              <w:right w:w="255" w:type="dxa"/>
            </w:tcMar>
            <w:vAlign w:val="center"/>
          </w:tcPr>
          <w:p w14:paraId="34E6C275" w14:textId="07B4073B" w:rsidR="008E3762" w:rsidRPr="00C67B80" w:rsidRDefault="008E3762" w:rsidP="003F02E6">
            <w:pPr>
              <w:jc w:val="right"/>
              <w:rPr>
                <w:rFonts w:ascii="Verdana" w:hAnsi="Verdana"/>
                <w:b/>
                <w:bCs/>
                <w:color w:val="365F91"/>
                <w:sz w:val="18"/>
                <w:szCs w:val="18"/>
              </w:rPr>
            </w:pPr>
            <w:r w:rsidRPr="00C67B80">
              <w:rPr>
                <w:rFonts w:ascii="Verdana" w:hAnsi="Verdana" w:cs="Calibri"/>
                <w:b/>
                <w:bCs/>
                <w:color w:val="365F91"/>
                <w:sz w:val="18"/>
                <w:szCs w:val="18"/>
              </w:rPr>
              <w:t>17.534</w:t>
            </w:r>
          </w:p>
        </w:tc>
        <w:tc>
          <w:tcPr>
            <w:tcW w:w="173" w:type="pct"/>
            <w:tcBorders>
              <w:top w:val="single" w:sz="8" w:space="0" w:color="4F81BD"/>
              <w:left w:val="single" w:sz="8" w:space="0" w:color="4F81BD"/>
              <w:bottom w:val="nil"/>
              <w:right w:val="nil"/>
            </w:tcBorders>
            <w:vAlign w:val="center"/>
          </w:tcPr>
          <w:p w14:paraId="13BEDB99" w14:textId="536968B9" w:rsidR="008E3762" w:rsidRPr="00C67B80" w:rsidRDefault="008E3762" w:rsidP="003F02E6">
            <w:pPr>
              <w:jc w:val="right"/>
              <w:rPr>
                <w:rFonts w:ascii="Verdana" w:hAnsi="Verdana"/>
                <w:b/>
                <w:bCs/>
                <w:color w:val="365F91"/>
                <w:sz w:val="18"/>
                <w:szCs w:val="18"/>
              </w:rPr>
            </w:pPr>
            <w:r w:rsidRPr="00C67B80">
              <w:rPr>
                <w:rFonts w:ascii="Verdana" w:hAnsi="Verdana" w:cs="Calibri"/>
                <w:b/>
                <w:bCs/>
                <w:color w:val="365F91"/>
                <w:sz w:val="18"/>
                <w:szCs w:val="18"/>
              </w:rPr>
              <w:t> </w:t>
            </w:r>
          </w:p>
        </w:tc>
        <w:tc>
          <w:tcPr>
            <w:tcW w:w="749" w:type="pct"/>
            <w:tcBorders>
              <w:top w:val="single" w:sz="8" w:space="0" w:color="4F81BD"/>
              <w:left w:val="nil"/>
              <w:bottom w:val="nil"/>
              <w:right w:val="nil"/>
            </w:tcBorders>
            <w:tcMar>
              <w:right w:w="142" w:type="dxa"/>
            </w:tcMar>
            <w:vAlign w:val="center"/>
          </w:tcPr>
          <w:p w14:paraId="1BFB2EF0" w14:textId="6A09D062" w:rsidR="008E3762" w:rsidRPr="00C67B80" w:rsidRDefault="008E3762" w:rsidP="003F02E6">
            <w:pPr>
              <w:ind w:right="57"/>
              <w:jc w:val="right"/>
              <w:rPr>
                <w:rFonts w:ascii="Verdana" w:hAnsi="Verdana"/>
                <w:b/>
                <w:bCs/>
                <w:color w:val="365F91"/>
                <w:sz w:val="18"/>
                <w:szCs w:val="18"/>
              </w:rPr>
            </w:pPr>
            <w:r w:rsidRPr="00C67B80">
              <w:rPr>
                <w:rFonts w:ascii="Verdana" w:hAnsi="Verdana" w:cs="Calibri"/>
                <w:b/>
                <w:bCs/>
                <w:color w:val="365F91"/>
                <w:sz w:val="18"/>
                <w:szCs w:val="18"/>
              </w:rPr>
              <w:t>-0,3%</w:t>
            </w:r>
          </w:p>
        </w:tc>
        <w:tc>
          <w:tcPr>
            <w:tcW w:w="837" w:type="pct"/>
            <w:tcBorders>
              <w:top w:val="single" w:sz="8" w:space="0" w:color="4F81BD"/>
              <w:left w:val="nil"/>
              <w:bottom w:val="nil"/>
              <w:right w:val="nil"/>
            </w:tcBorders>
            <w:tcMar>
              <w:left w:w="0" w:type="dxa"/>
              <w:right w:w="198" w:type="dxa"/>
            </w:tcMar>
            <w:vAlign w:val="center"/>
          </w:tcPr>
          <w:p w14:paraId="0E446310" w14:textId="4044D5D6" w:rsidR="008E3762" w:rsidRPr="00C67B80" w:rsidRDefault="008E3762" w:rsidP="003F02E6">
            <w:pPr>
              <w:ind w:right="113"/>
              <w:jc w:val="right"/>
              <w:rPr>
                <w:rFonts w:ascii="Verdana" w:hAnsi="Verdana"/>
                <w:b/>
                <w:bCs/>
                <w:color w:val="365F91"/>
                <w:sz w:val="18"/>
                <w:szCs w:val="18"/>
              </w:rPr>
            </w:pPr>
            <w:r w:rsidRPr="00C67B80">
              <w:rPr>
                <w:rFonts w:ascii="Verdana" w:hAnsi="Verdana" w:cs="Calibri"/>
                <w:b/>
                <w:bCs/>
                <w:color w:val="365F91"/>
                <w:sz w:val="18"/>
                <w:szCs w:val="18"/>
              </w:rPr>
              <w:t>0,8%</w:t>
            </w:r>
          </w:p>
        </w:tc>
      </w:tr>
      <w:tr w:rsidR="008E3762" w:rsidRPr="00C67B80" w14:paraId="2B9940A6" w14:textId="77777777" w:rsidTr="00A20803">
        <w:trPr>
          <w:trHeight w:val="576"/>
        </w:trPr>
        <w:tc>
          <w:tcPr>
            <w:tcW w:w="1248" w:type="pct"/>
            <w:tcBorders>
              <w:top w:val="nil"/>
              <w:left w:val="nil"/>
              <w:bottom w:val="nil"/>
              <w:right w:val="nil"/>
            </w:tcBorders>
            <w:vAlign w:val="center"/>
            <w:hideMark/>
          </w:tcPr>
          <w:p w14:paraId="7A18A076" w14:textId="77777777" w:rsidR="008E3762" w:rsidRPr="00C67B80" w:rsidRDefault="008E3762" w:rsidP="003F02E6">
            <w:pPr>
              <w:rPr>
                <w:rFonts w:ascii="Verdana" w:eastAsia="Malgun Gothic" w:hAnsi="Verdana" w:cs="Arial"/>
                <w:b/>
                <w:bCs/>
                <w:color w:val="365F91"/>
                <w:sz w:val="18"/>
                <w:szCs w:val="18"/>
                <w:lang w:val="el-GR"/>
              </w:rPr>
            </w:pPr>
            <w:r w:rsidRPr="00C67B80">
              <w:rPr>
                <w:rFonts w:ascii="Verdana" w:eastAsia="Malgun Gothic" w:hAnsi="Verdana" w:cs="Arial"/>
                <w:b/>
                <w:bCs/>
                <w:color w:val="365F91"/>
                <w:sz w:val="18"/>
                <w:szCs w:val="18"/>
                <w:lang w:val="el-GR"/>
              </w:rPr>
              <w:t>Εκπαιδευτική Υπηρεσία</w:t>
            </w:r>
          </w:p>
        </w:tc>
        <w:tc>
          <w:tcPr>
            <w:tcW w:w="668" w:type="pct"/>
            <w:tcBorders>
              <w:top w:val="nil"/>
              <w:left w:val="nil"/>
              <w:bottom w:val="nil"/>
              <w:right w:val="nil"/>
            </w:tcBorders>
            <w:tcMar>
              <w:right w:w="227" w:type="dxa"/>
            </w:tcMar>
            <w:vAlign w:val="center"/>
          </w:tcPr>
          <w:p w14:paraId="6D180921" w14:textId="3621C606" w:rsidR="008E3762" w:rsidRPr="00C67B80" w:rsidRDefault="008E3762" w:rsidP="003F02E6">
            <w:pPr>
              <w:jc w:val="right"/>
              <w:rPr>
                <w:rFonts w:ascii="Verdana" w:hAnsi="Verdana"/>
                <w:b/>
                <w:bCs/>
                <w:color w:val="365F91"/>
                <w:sz w:val="18"/>
                <w:szCs w:val="18"/>
              </w:rPr>
            </w:pPr>
            <w:r w:rsidRPr="00C67B80">
              <w:rPr>
                <w:rFonts w:ascii="Verdana" w:hAnsi="Verdana" w:cs="Calibri"/>
                <w:b/>
                <w:bCs/>
                <w:color w:val="365F91"/>
                <w:sz w:val="18"/>
                <w:szCs w:val="18"/>
              </w:rPr>
              <w:t>15.277</w:t>
            </w:r>
          </w:p>
        </w:tc>
        <w:tc>
          <w:tcPr>
            <w:tcW w:w="661" w:type="pct"/>
            <w:tcBorders>
              <w:top w:val="nil"/>
              <w:left w:val="nil"/>
              <w:bottom w:val="nil"/>
              <w:right w:val="nil"/>
            </w:tcBorders>
            <w:tcMar>
              <w:right w:w="255" w:type="dxa"/>
            </w:tcMar>
            <w:vAlign w:val="center"/>
          </w:tcPr>
          <w:p w14:paraId="4E2336F7" w14:textId="207307B1" w:rsidR="008E3762" w:rsidRPr="00C67B80" w:rsidRDefault="008E3762" w:rsidP="003F02E6">
            <w:pPr>
              <w:jc w:val="right"/>
              <w:rPr>
                <w:rFonts w:ascii="Verdana" w:hAnsi="Verdana"/>
                <w:b/>
                <w:bCs/>
                <w:color w:val="365F91"/>
                <w:sz w:val="18"/>
                <w:szCs w:val="18"/>
              </w:rPr>
            </w:pPr>
            <w:r w:rsidRPr="00C67B80">
              <w:rPr>
                <w:rFonts w:ascii="Verdana" w:hAnsi="Verdana" w:cs="Calibri"/>
                <w:b/>
                <w:bCs/>
                <w:color w:val="365F91"/>
                <w:sz w:val="18"/>
                <w:szCs w:val="18"/>
              </w:rPr>
              <w:t>17.268</w:t>
            </w:r>
          </w:p>
        </w:tc>
        <w:tc>
          <w:tcPr>
            <w:tcW w:w="662" w:type="pct"/>
            <w:tcBorders>
              <w:top w:val="nil"/>
              <w:left w:val="nil"/>
              <w:bottom w:val="nil"/>
              <w:right w:val="single" w:sz="8" w:space="0" w:color="4F81BD"/>
            </w:tcBorders>
            <w:tcMar>
              <w:right w:w="255" w:type="dxa"/>
            </w:tcMar>
            <w:vAlign w:val="center"/>
          </w:tcPr>
          <w:p w14:paraId="380084DD" w14:textId="6E978735" w:rsidR="008E3762" w:rsidRPr="00C67B80" w:rsidRDefault="008E3762" w:rsidP="003F02E6">
            <w:pPr>
              <w:jc w:val="right"/>
              <w:rPr>
                <w:rFonts w:ascii="Verdana" w:hAnsi="Verdana"/>
                <w:b/>
                <w:bCs/>
                <w:color w:val="365F91"/>
                <w:sz w:val="18"/>
                <w:szCs w:val="18"/>
              </w:rPr>
            </w:pPr>
            <w:r w:rsidRPr="00C67B80">
              <w:rPr>
                <w:rFonts w:ascii="Verdana" w:hAnsi="Verdana" w:cs="Calibri"/>
                <w:b/>
                <w:bCs/>
                <w:color w:val="365F91"/>
                <w:sz w:val="18"/>
                <w:szCs w:val="18"/>
              </w:rPr>
              <w:t>17.344</w:t>
            </w:r>
          </w:p>
        </w:tc>
        <w:tc>
          <w:tcPr>
            <w:tcW w:w="173" w:type="pct"/>
            <w:tcBorders>
              <w:top w:val="nil"/>
              <w:left w:val="single" w:sz="8" w:space="0" w:color="4F81BD"/>
              <w:bottom w:val="nil"/>
              <w:right w:val="nil"/>
            </w:tcBorders>
            <w:vAlign w:val="center"/>
          </w:tcPr>
          <w:p w14:paraId="06F5D1AE" w14:textId="773887DF" w:rsidR="008E3762" w:rsidRPr="00C67B80" w:rsidRDefault="008E3762" w:rsidP="003F02E6">
            <w:pPr>
              <w:jc w:val="right"/>
              <w:rPr>
                <w:rFonts w:ascii="Verdana" w:hAnsi="Verdana"/>
                <w:b/>
                <w:bCs/>
                <w:color w:val="365F91"/>
                <w:sz w:val="18"/>
                <w:szCs w:val="18"/>
              </w:rPr>
            </w:pPr>
            <w:r w:rsidRPr="00C67B80">
              <w:rPr>
                <w:rFonts w:ascii="Verdana" w:hAnsi="Verdana" w:cs="Calibri"/>
                <w:b/>
                <w:bCs/>
                <w:color w:val="365F91"/>
                <w:sz w:val="18"/>
                <w:szCs w:val="18"/>
              </w:rPr>
              <w:t> </w:t>
            </w:r>
          </w:p>
        </w:tc>
        <w:tc>
          <w:tcPr>
            <w:tcW w:w="749" w:type="pct"/>
            <w:tcBorders>
              <w:top w:val="nil"/>
              <w:left w:val="nil"/>
              <w:bottom w:val="nil"/>
              <w:right w:val="nil"/>
            </w:tcBorders>
            <w:tcMar>
              <w:right w:w="142" w:type="dxa"/>
            </w:tcMar>
            <w:vAlign w:val="center"/>
          </w:tcPr>
          <w:p w14:paraId="1F79A6F4" w14:textId="6F738734" w:rsidR="008E3762" w:rsidRPr="00C67B80" w:rsidRDefault="008E3762" w:rsidP="003F02E6">
            <w:pPr>
              <w:ind w:right="57"/>
              <w:jc w:val="right"/>
              <w:rPr>
                <w:rFonts w:ascii="Verdana" w:hAnsi="Verdana"/>
                <w:b/>
                <w:bCs/>
                <w:color w:val="365F91"/>
                <w:sz w:val="18"/>
                <w:szCs w:val="18"/>
              </w:rPr>
            </w:pPr>
            <w:r w:rsidRPr="00C67B80">
              <w:rPr>
                <w:rFonts w:ascii="Verdana" w:hAnsi="Verdana" w:cs="Calibri"/>
                <w:b/>
                <w:bCs/>
                <w:color w:val="365F91"/>
                <w:sz w:val="18"/>
                <w:szCs w:val="18"/>
              </w:rPr>
              <w:t>0,4%</w:t>
            </w:r>
          </w:p>
        </w:tc>
        <w:tc>
          <w:tcPr>
            <w:tcW w:w="837" w:type="pct"/>
            <w:tcBorders>
              <w:top w:val="nil"/>
              <w:left w:val="nil"/>
              <w:bottom w:val="nil"/>
              <w:right w:val="nil"/>
            </w:tcBorders>
            <w:tcMar>
              <w:left w:w="0" w:type="dxa"/>
              <w:right w:w="198" w:type="dxa"/>
            </w:tcMar>
            <w:vAlign w:val="center"/>
          </w:tcPr>
          <w:p w14:paraId="19068E99" w14:textId="0C6550F3" w:rsidR="008E3762" w:rsidRPr="00C67B80" w:rsidRDefault="008E3762" w:rsidP="003F02E6">
            <w:pPr>
              <w:ind w:right="113"/>
              <w:jc w:val="right"/>
              <w:rPr>
                <w:rFonts w:ascii="Verdana" w:hAnsi="Verdana"/>
                <w:b/>
                <w:bCs/>
                <w:color w:val="365F91"/>
                <w:sz w:val="18"/>
                <w:szCs w:val="18"/>
              </w:rPr>
            </w:pPr>
            <w:r w:rsidRPr="00C67B80">
              <w:rPr>
                <w:rFonts w:ascii="Verdana" w:hAnsi="Verdana" w:cs="Calibri"/>
                <w:b/>
                <w:bCs/>
                <w:color w:val="365F91"/>
                <w:sz w:val="18"/>
                <w:szCs w:val="18"/>
              </w:rPr>
              <w:t>13,5%</w:t>
            </w:r>
          </w:p>
        </w:tc>
      </w:tr>
      <w:tr w:rsidR="008E3762" w:rsidRPr="00C67B80" w14:paraId="68A19885" w14:textId="77777777" w:rsidTr="00A20803">
        <w:trPr>
          <w:trHeight w:val="570"/>
        </w:trPr>
        <w:tc>
          <w:tcPr>
            <w:tcW w:w="1248" w:type="pct"/>
            <w:tcBorders>
              <w:top w:val="nil"/>
              <w:left w:val="nil"/>
              <w:bottom w:val="single" w:sz="8" w:space="0" w:color="4F81BD"/>
              <w:right w:val="nil"/>
            </w:tcBorders>
            <w:vAlign w:val="center"/>
            <w:hideMark/>
          </w:tcPr>
          <w:p w14:paraId="16E31A3D" w14:textId="77777777" w:rsidR="008E3762" w:rsidRPr="00C67B80" w:rsidRDefault="008E3762" w:rsidP="003F02E6">
            <w:pPr>
              <w:rPr>
                <w:rFonts w:ascii="Verdana" w:eastAsia="Malgun Gothic" w:hAnsi="Verdana" w:cs="Arial"/>
                <w:b/>
                <w:bCs/>
                <w:color w:val="365F91"/>
                <w:sz w:val="18"/>
                <w:szCs w:val="18"/>
                <w:lang w:val="el-GR"/>
              </w:rPr>
            </w:pPr>
            <w:r w:rsidRPr="00C67B80">
              <w:rPr>
                <w:rFonts w:ascii="Verdana" w:eastAsia="Malgun Gothic" w:hAnsi="Verdana" w:cs="Arial"/>
                <w:b/>
                <w:bCs/>
                <w:color w:val="365F91"/>
                <w:sz w:val="18"/>
                <w:szCs w:val="18"/>
                <w:lang w:val="el-GR"/>
              </w:rPr>
              <w:t>Δυνάμεις Ασφαλείας</w:t>
            </w:r>
          </w:p>
        </w:tc>
        <w:tc>
          <w:tcPr>
            <w:tcW w:w="668" w:type="pct"/>
            <w:tcBorders>
              <w:top w:val="nil"/>
              <w:left w:val="nil"/>
              <w:bottom w:val="nil"/>
              <w:right w:val="nil"/>
            </w:tcBorders>
            <w:tcMar>
              <w:right w:w="227" w:type="dxa"/>
            </w:tcMar>
            <w:vAlign w:val="center"/>
          </w:tcPr>
          <w:p w14:paraId="3C5117EB" w14:textId="74D7EF58" w:rsidR="008E3762" w:rsidRPr="00C67B80" w:rsidRDefault="008E3762" w:rsidP="003F02E6">
            <w:pPr>
              <w:jc w:val="right"/>
              <w:rPr>
                <w:rFonts w:ascii="Verdana" w:hAnsi="Verdana"/>
                <w:b/>
                <w:bCs/>
                <w:color w:val="365F91"/>
                <w:sz w:val="18"/>
                <w:szCs w:val="18"/>
              </w:rPr>
            </w:pPr>
            <w:r w:rsidRPr="00C67B80">
              <w:rPr>
                <w:rFonts w:ascii="Verdana" w:hAnsi="Verdana" w:cs="Calibri"/>
                <w:b/>
                <w:bCs/>
                <w:color w:val="365F91"/>
                <w:sz w:val="18"/>
                <w:szCs w:val="18"/>
              </w:rPr>
              <w:t>12.780</w:t>
            </w:r>
          </w:p>
        </w:tc>
        <w:tc>
          <w:tcPr>
            <w:tcW w:w="661" w:type="pct"/>
            <w:tcBorders>
              <w:top w:val="nil"/>
              <w:left w:val="nil"/>
              <w:bottom w:val="nil"/>
              <w:right w:val="nil"/>
            </w:tcBorders>
            <w:tcMar>
              <w:right w:w="255" w:type="dxa"/>
            </w:tcMar>
            <w:vAlign w:val="center"/>
          </w:tcPr>
          <w:p w14:paraId="0E0F57AF" w14:textId="50A9013F" w:rsidR="008E3762" w:rsidRPr="00C67B80" w:rsidRDefault="008E3762" w:rsidP="003F02E6">
            <w:pPr>
              <w:jc w:val="right"/>
              <w:rPr>
                <w:rFonts w:ascii="Verdana" w:hAnsi="Verdana"/>
                <w:b/>
                <w:bCs/>
                <w:color w:val="365F91"/>
                <w:sz w:val="18"/>
                <w:szCs w:val="18"/>
              </w:rPr>
            </w:pPr>
            <w:r w:rsidRPr="00C67B80">
              <w:rPr>
                <w:rFonts w:ascii="Verdana" w:hAnsi="Verdana" w:cs="Calibri"/>
                <w:b/>
                <w:bCs/>
                <w:color w:val="365F91"/>
                <w:sz w:val="18"/>
                <w:szCs w:val="18"/>
              </w:rPr>
              <w:t>13.049</w:t>
            </w:r>
          </w:p>
        </w:tc>
        <w:tc>
          <w:tcPr>
            <w:tcW w:w="662" w:type="pct"/>
            <w:tcBorders>
              <w:top w:val="nil"/>
              <w:left w:val="nil"/>
              <w:bottom w:val="nil"/>
              <w:right w:val="single" w:sz="8" w:space="0" w:color="4F81BD"/>
            </w:tcBorders>
            <w:tcMar>
              <w:right w:w="255" w:type="dxa"/>
            </w:tcMar>
            <w:vAlign w:val="center"/>
          </w:tcPr>
          <w:p w14:paraId="7DA388B9" w14:textId="1E1ED48B" w:rsidR="008E3762" w:rsidRPr="00C67B80" w:rsidRDefault="008E3762" w:rsidP="003F02E6">
            <w:pPr>
              <w:jc w:val="right"/>
              <w:rPr>
                <w:rFonts w:ascii="Verdana" w:hAnsi="Verdana"/>
                <w:b/>
                <w:bCs/>
                <w:color w:val="365F91"/>
                <w:sz w:val="18"/>
                <w:szCs w:val="18"/>
              </w:rPr>
            </w:pPr>
            <w:r w:rsidRPr="00C67B80">
              <w:rPr>
                <w:rFonts w:ascii="Verdana" w:hAnsi="Verdana" w:cs="Calibri"/>
                <w:b/>
                <w:bCs/>
                <w:color w:val="365F91"/>
                <w:sz w:val="18"/>
                <w:szCs w:val="18"/>
              </w:rPr>
              <w:t>13.141</w:t>
            </w:r>
          </w:p>
        </w:tc>
        <w:tc>
          <w:tcPr>
            <w:tcW w:w="173" w:type="pct"/>
            <w:tcBorders>
              <w:top w:val="nil"/>
              <w:left w:val="single" w:sz="8" w:space="0" w:color="4F81BD"/>
              <w:bottom w:val="nil"/>
              <w:right w:val="nil"/>
            </w:tcBorders>
            <w:vAlign w:val="center"/>
          </w:tcPr>
          <w:p w14:paraId="05C10B3C" w14:textId="0533E05B" w:rsidR="008E3762" w:rsidRPr="00C67B80" w:rsidRDefault="008E3762" w:rsidP="003F02E6">
            <w:pPr>
              <w:jc w:val="right"/>
              <w:rPr>
                <w:rFonts w:ascii="Verdana" w:hAnsi="Verdana"/>
                <w:b/>
                <w:bCs/>
                <w:color w:val="365F91"/>
                <w:sz w:val="18"/>
                <w:szCs w:val="18"/>
              </w:rPr>
            </w:pPr>
            <w:r w:rsidRPr="00C67B80">
              <w:rPr>
                <w:rFonts w:ascii="Verdana" w:hAnsi="Verdana" w:cs="Calibri"/>
                <w:b/>
                <w:bCs/>
                <w:color w:val="365F91"/>
                <w:sz w:val="18"/>
                <w:szCs w:val="18"/>
              </w:rPr>
              <w:t> </w:t>
            </w:r>
          </w:p>
        </w:tc>
        <w:tc>
          <w:tcPr>
            <w:tcW w:w="749" w:type="pct"/>
            <w:tcBorders>
              <w:top w:val="nil"/>
              <w:left w:val="nil"/>
              <w:bottom w:val="nil"/>
              <w:right w:val="nil"/>
            </w:tcBorders>
            <w:tcMar>
              <w:right w:w="142" w:type="dxa"/>
            </w:tcMar>
            <w:vAlign w:val="center"/>
          </w:tcPr>
          <w:p w14:paraId="59D8B12C" w14:textId="608B60AE" w:rsidR="008E3762" w:rsidRPr="00C67B80" w:rsidRDefault="008E3762" w:rsidP="003F02E6">
            <w:pPr>
              <w:ind w:right="57"/>
              <w:jc w:val="right"/>
              <w:rPr>
                <w:rFonts w:ascii="Verdana" w:hAnsi="Verdana"/>
                <w:b/>
                <w:bCs/>
                <w:color w:val="365F91"/>
                <w:sz w:val="18"/>
                <w:szCs w:val="18"/>
              </w:rPr>
            </w:pPr>
            <w:r w:rsidRPr="00C67B80">
              <w:rPr>
                <w:rFonts w:ascii="Verdana" w:hAnsi="Verdana" w:cs="Calibri"/>
                <w:b/>
                <w:bCs/>
                <w:color w:val="365F91"/>
                <w:sz w:val="18"/>
                <w:szCs w:val="18"/>
              </w:rPr>
              <w:t>0,7%</w:t>
            </w:r>
          </w:p>
        </w:tc>
        <w:tc>
          <w:tcPr>
            <w:tcW w:w="837" w:type="pct"/>
            <w:tcBorders>
              <w:top w:val="nil"/>
              <w:left w:val="nil"/>
              <w:bottom w:val="nil"/>
              <w:right w:val="nil"/>
            </w:tcBorders>
            <w:tcMar>
              <w:left w:w="0" w:type="dxa"/>
              <w:right w:w="198" w:type="dxa"/>
            </w:tcMar>
            <w:vAlign w:val="center"/>
          </w:tcPr>
          <w:p w14:paraId="6911BD8C" w14:textId="1327F7F7" w:rsidR="008E3762" w:rsidRPr="00C67B80" w:rsidRDefault="008E3762" w:rsidP="003F02E6">
            <w:pPr>
              <w:ind w:right="113"/>
              <w:jc w:val="right"/>
              <w:rPr>
                <w:rFonts w:ascii="Verdana" w:hAnsi="Verdana"/>
                <w:b/>
                <w:bCs/>
                <w:color w:val="365F91"/>
                <w:sz w:val="18"/>
                <w:szCs w:val="18"/>
              </w:rPr>
            </w:pPr>
            <w:r w:rsidRPr="00C67B80">
              <w:rPr>
                <w:rFonts w:ascii="Verdana" w:hAnsi="Verdana" w:cs="Calibri"/>
                <w:b/>
                <w:bCs/>
                <w:color w:val="365F91"/>
                <w:sz w:val="18"/>
                <w:szCs w:val="18"/>
              </w:rPr>
              <w:t>2,8%</w:t>
            </w:r>
          </w:p>
        </w:tc>
      </w:tr>
      <w:tr w:rsidR="008E3762" w:rsidRPr="00C67B80" w14:paraId="75C6200C" w14:textId="77777777" w:rsidTr="00A20803">
        <w:trPr>
          <w:trHeight w:val="572"/>
        </w:trPr>
        <w:tc>
          <w:tcPr>
            <w:tcW w:w="1248" w:type="pct"/>
            <w:tcBorders>
              <w:top w:val="single" w:sz="8" w:space="0" w:color="4F81BD"/>
              <w:left w:val="nil"/>
              <w:bottom w:val="single" w:sz="8" w:space="0" w:color="4F81BD"/>
              <w:right w:val="nil"/>
            </w:tcBorders>
            <w:vAlign w:val="center"/>
            <w:hideMark/>
          </w:tcPr>
          <w:p w14:paraId="0B0E1C6D" w14:textId="77777777" w:rsidR="008E3762" w:rsidRPr="00C67B80" w:rsidRDefault="008E3762" w:rsidP="00555609">
            <w:pPr>
              <w:rPr>
                <w:rFonts w:ascii="Verdana" w:eastAsia="Malgun Gothic" w:hAnsi="Verdana" w:cs="Arial"/>
                <w:b/>
                <w:bCs/>
                <w:color w:val="365F91"/>
                <w:sz w:val="18"/>
                <w:szCs w:val="18"/>
                <w:lang w:val="el-GR"/>
              </w:rPr>
            </w:pPr>
            <w:r w:rsidRPr="00C67B80">
              <w:rPr>
                <w:rFonts w:ascii="Verdana" w:eastAsia="Malgun Gothic" w:hAnsi="Verdana" w:cs="Arial"/>
                <w:b/>
                <w:bCs/>
                <w:color w:val="365F91"/>
                <w:sz w:val="18"/>
                <w:szCs w:val="18"/>
                <w:lang w:val="el-GR"/>
              </w:rPr>
              <w:t>Σύνολο</w:t>
            </w:r>
          </w:p>
        </w:tc>
        <w:tc>
          <w:tcPr>
            <w:tcW w:w="668" w:type="pct"/>
            <w:tcBorders>
              <w:top w:val="single" w:sz="8" w:space="0" w:color="4F81BD"/>
              <w:left w:val="nil"/>
              <w:bottom w:val="nil"/>
              <w:right w:val="nil"/>
            </w:tcBorders>
            <w:tcMar>
              <w:right w:w="227" w:type="dxa"/>
            </w:tcMar>
            <w:vAlign w:val="center"/>
          </w:tcPr>
          <w:p w14:paraId="43BFC866" w14:textId="7B0E4009" w:rsidR="008E3762" w:rsidRPr="00C67B80" w:rsidRDefault="008E3762" w:rsidP="003F02E6">
            <w:pPr>
              <w:jc w:val="right"/>
              <w:rPr>
                <w:rFonts w:ascii="Verdana" w:hAnsi="Verdana"/>
                <w:b/>
                <w:bCs/>
                <w:color w:val="365F91"/>
                <w:sz w:val="18"/>
                <w:szCs w:val="18"/>
              </w:rPr>
            </w:pPr>
            <w:r w:rsidRPr="00C67B80">
              <w:rPr>
                <w:rFonts w:ascii="Verdana" w:hAnsi="Verdana" w:cs="Calibri"/>
                <w:b/>
                <w:bCs/>
                <w:color w:val="365F91"/>
                <w:sz w:val="18"/>
                <w:szCs w:val="18"/>
              </w:rPr>
              <w:t>45.453</w:t>
            </w:r>
          </w:p>
        </w:tc>
        <w:tc>
          <w:tcPr>
            <w:tcW w:w="661" w:type="pct"/>
            <w:tcBorders>
              <w:top w:val="single" w:sz="8" w:space="0" w:color="4F81BD"/>
              <w:left w:val="nil"/>
              <w:bottom w:val="nil"/>
              <w:right w:val="nil"/>
            </w:tcBorders>
            <w:tcMar>
              <w:right w:w="255" w:type="dxa"/>
            </w:tcMar>
            <w:vAlign w:val="center"/>
          </w:tcPr>
          <w:p w14:paraId="2F77C20E" w14:textId="7132A8C6" w:rsidR="008E3762" w:rsidRPr="00C67B80" w:rsidRDefault="008E3762" w:rsidP="003F02E6">
            <w:pPr>
              <w:jc w:val="right"/>
              <w:rPr>
                <w:rFonts w:ascii="Verdana" w:hAnsi="Verdana"/>
                <w:b/>
                <w:bCs/>
                <w:color w:val="365F91"/>
                <w:sz w:val="18"/>
                <w:szCs w:val="18"/>
              </w:rPr>
            </w:pPr>
            <w:r w:rsidRPr="00C67B80">
              <w:rPr>
                <w:rFonts w:ascii="Verdana" w:hAnsi="Verdana" w:cs="Calibri"/>
                <w:b/>
                <w:bCs/>
                <w:color w:val="365F91"/>
                <w:sz w:val="18"/>
                <w:szCs w:val="18"/>
              </w:rPr>
              <w:t>47.902</w:t>
            </w:r>
          </w:p>
        </w:tc>
        <w:tc>
          <w:tcPr>
            <w:tcW w:w="662" w:type="pct"/>
            <w:tcBorders>
              <w:top w:val="single" w:sz="8" w:space="0" w:color="4F81BD"/>
              <w:left w:val="nil"/>
              <w:bottom w:val="nil"/>
              <w:right w:val="single" w:sz="8" w:space="0" w:color="4F81BD"/>
            </w:tcBorders>
            <w:tcMar>
              <w:right w:w="255" w:type="dxa"/>
            </w:tcMar>
            <w:vAlign w:val="center"/>
          </w:tcPr>
          <w:p w14:paraId="205C5420" w14:textId="6CD45A83" w:rsidR="008E3762" w:rsidRPr="00C67B80" w:rsidRDefault="008E3762" w:rsidP="003F02E6">
            <w:pPr>
              <w:jc w:val="right"/>
              <w:rPr>
                <w:rFonts w:ascii="Verdana" w:hAnsi="Verdana"/>
                <w:b/>
                <w:bCs/>
                <w:color w:val="365F91"/>
                <w:sz w:val="18"/>
                <w:szCs w:val="18"/>
              </w:rPr>
            </w:pPr>
            <w:r w:rsidRPr="00C67B80">
              <w:rPr>
                <w:rFonts w:ascii="Verdana" w:hAnsi="Verdana" w:cs="Calibri"/>
                <w:b/>
                <w:bCs/>
                <w:color w:val="365F91"/>
                <w:sz w:val="18"/>
                <w:szCs w:val="18"/>
              </w:rPr>
              <w:t>48.019</w:t>
            </w:r>
          </w:p>
        </w:tc>
        <w:tc>
          <w:tcPr>
            <w:tcW w:w="173" w:type="pct"/>
            <w:tcBorders>
              <w:top w:val="single" w:sz="8" w:space="0" w:color="4F81BD"/>
              <w:left w:val="single" w:sz="8" w:space="0" w:color="4F81BD"/>
              <w:bottom w:val="nil"/>
              <w:right w:val="nil"/>
            </w:tcBorders>
            <w:vAlign w:val="center"/>
          </w:tcPr>
          <w:p w14:paraId="11141C94" w14:textId="2A1EA6D7" w:rsidR="008E3762" w:rsidRPr="00C67B80" w:rsidRDefault="008E3762" w:rsidP="003F02E6">
            <w:pPr>
              <w:jc w:val="right"/>
              <w:rPr>
                <w:rFonts w:ascii="Verdana" w:hAnsi="Verdana"/>
                <w:b/>
                <w:bCs/>
                <w:color w:val="365F91"/>
                <w:sz w:val="18"/>
                <w:szCs w:val="18"/>
              </w:rPr>
            </w:pPr>
            <w:r w:rsidRPr="00C67B80">
              <w:rPr>
                <w:rFonts w:ascii="Verdana" w:hAnsi="Verdana" w:cs="Calibri"/>
                <w:b/>
                <w:bCs/>
                <w:color w:val="365F91"/>
                <w:sz w:val="18"/>
                <w:szCs w:val="18"/>
              </w:rPr>
              <w:t> </w:t>
            </w:r>
          </w:p>
        </w:tc>
        <w:tc>
          <w:tcPr>
            <w:tcW w:w="749" w:type="pct"/>
            <w:tcBorders>
              <w:top w:val="single" w:sz="8" w:space="0" w:color="4F81BD"/>
              <w:left w:val="nil"/>
              <w:bottom w:val="nil"/>
              <w:right w:val="nil"/>
            </w:tcBorders>
            <w:tcMar>
              <w:right w:w="142" w:type="dxa"/>
            </w:tcMar>
            <w:vAlign w:val="center"/>
          </w:tcPr>
          <w:p w14:paraId="4B992225" w14:textId="36A9449D" w:rsidR="008E3762" w:rsidRPr="00C67B80" w:rsidRDefault="008E3762" w:rsidP="003F02E6">
            <w:pPr>
              <w:ind w:right="57"/>
              <w:jc w:val="right"/>
              <w:rPr>
                <w:rFonts w:ascii="Verdana" w:hAnsi="Verdana"/>
                <w:b/>
                <w:bCs/>
                <w:color w:val="365F91"/>
                <w:sz w:val="18"/>
                <w:szCs w:val="18"/>
              </w:rPr>
            </w:pPr>
            <w:r w:rsidRPr="00C67B80">
              <w:rPr>
                <w:rFonts w:ascii="Verdana" w:hAnsi="Verdana" w:cs="Calibri"/>
                <w:b/>
                <w:bCs/>
                <w:color w:val="365F91"/>
                <w:sz w:val="18"/>
                <w:szCs w:val="18"/>
              </w:rPr>
              <w:t>0,2%</w:t>
            </w:r>
          </w:p>
        </w:tc>
        <w:tc>
          <w:tcPr>
            <w:tcW w:w="837" w:type="pct"/>
            <w:tcBorders>
              <w:top w:val="single" w:sz="8" w:space="0" w:color="4F81BD"/>
              <w:left w:val="nil"/>
              <w:bottom w:val="nil"/>
              <w:right w:val="nil"/>
            </w:tcBorders>
            <w:tcMar>
              <w:left w:w="0" w:type="dxa"/>
              <w:right w:w="198" w:type="dxa"/>
            </w:tcMar>
            <w:vAlign w:val="center"/>
          </w:tcPr>
          <w:p w14:paraId="4CBFD11D" w14:textId="7BA2E856" w:rsidR="008E3762" w:rsidRPr="00C67B80" w:rsidRDefault="008E3762" w:rsidP="003F02E6">
            <w:pPr>
              <w:ind w:right="113"/>
              <w:jc w:val="right"/>
              <w:rPr>
                <w:rFonts w:ascii="Verdana" w:hAnsi="Verdana"/>
                <w:b/>
                <w:bCs/>
                <w:color w:val="365F91"/>
                <w:sz w:val="18"/>
                <w:szCs w:val="18"/>
              </w:rPr>
            </w:pPr>
            <w:r w:rsidRPr="00C67B80">
              <w:rPr>
                <w:rFonts w:ascii="Verdana" w:hAnsi="Verdana" w:cs="Calibri"/>
                <w:b/>
                <w:bCs/>
                <w:color w:val="365F91"/>
                <w:sz w:val="18"/>
                <w:szCs w:val="18"/>
              </w:rPr>
              <w:t>5,6%</w:t>
            </w:r>
          </w:p>
        </w:tc>
      </w:tr>
      <w:tr w:rsidR="008E3762" w:rsidRPr="00C67B80" w14:paraId="09C198C0" w14:textId="77777777" w:rsidTr="00A20803">
        <w:trPr>
          <w:trHeight w:val="518"/>
        </w:trPr>
        <w:tc>
          <w:tcPr>
            <w:tcW w:w="1248" w:type="pct"/>
            <w:tcBorders>
              <w:top w:val="single" w:sz="8" w:space="0" w:color="4F81BD"/>
              <w:left w:val="nil"/>
              <w:bottom w:val="single" w:sz="8" w:space="0" w:color="4F81BD"/>
              <w:right w:val="nil"/>
            </w:tcBorders>
            <w:vAlign w:val="center"/>
            <w:hideMark/>
          </w:tcPr>
          <w:p w14:paraId="535F8FE4" w14:textId="77777777" w:rsidR="008E3762" w:rsidRPr="00C67B80" w:rsidRDefault="008E3762" w:rsidP="003F02E6">
            <w:pPr>
              <w:rPr>
                <w:rFonts w:ascii="Verdana" w:eastAsia="Malgun Gothic" w:hAnsi="Verdana" w:cs="Arial"/>
                <w:b/>
                <w:bCs/>
                <w:color w:val="365F91"/>
                <w:sz w:val="18"/>
                <w:szCs w:val="18"/>
                <w:lang w:val="el-GR"/>
              </w:rPr>
            </w:pPr>
            <w:r w:rsidRPr="00C67B80">
              <w:rPr>
                <w:rFonts w:ascii="Verdana" w:eastAsia="Malgun Gothic" w:hAnsi="Verdana" w:cs="Arial"/>
                <w:b/>
                <w:bCs/>
                <w:color w:val="365F91"/>
                <w:sz w:val="18"/>
                <w:szCs w:val="18"/>
                <w:lang w:val="el-GR"/>
              </w:rPr>
              <w:t>Ωρομίσθιο Προσωπικό</w:t>
            </w:r>
          </w:p>
        </w:tc>
        <w:tc>
          <w:tcPr>
            <w:tcW w:w="668" w:type="pct"/>
            <w:tcBorders>
              <w:top w:val="single" w:sz="8" w:space="0" w:color="4F81BD"/>
              <w:left w:val="nil"/>
              <w:bottom w:val="single" w:sz="8" w:space="0" w:color="4F81BD"/>
              <w:right w:val="nil"/>
            </w:tcBorders>
            <w:tcMar>
              <w:right w:w="227" w:type="dxa"/>
            </w:tcMar>
            <w:vAlign w:val="center"/>
          </w:tcPr>
          <w:p w14:paraId="2B7E1500" w14:textId="4272983E" w:rsidR="008E3762" w:rsidRPr="00C67B80" w:rsidRDefault="008E3762" w:rsidP="003F02E6">
            <w:pPr>
              <w:jc w:val="right"/>
              <w:rPr>
                <w:rFonts w:ascii="Verdana" w:hAnsi="Verdana"/>
                <w:b/>
                <w:bCs/>
                <w:color w:val="365F91"/>
                <w:sz w:val="18"/>
                <w:szCs w:val="18"/>
              </w:rPr>
            </w:pPr>
            <w:r w:rsidRPr="00C67B80">
              <w:rPr>
                <w:rFonts w:ascii="Verdana" w:hAnsi="Verdana" w:cs="Calibri"/>
                <w:b/>
                <w:bCs/>
                <w:color w:val="365F91"/>
                <w:sz w:val="18"/>
                <w:szCs w:val="18"/>
              </w:rPr>
              <w:t>6.566</w:t>
            </w:r>
          </w:p>
        </w:tc>
        <w:tc>
          <w:tcPr>
            <w:tcW w:w="661" w:type="pct"/>
            <w:tcBorders>
              <w:top w:val="single" w:sz="8" w:space="0" w:color="4F81BD"/>
              <w:left w:val="nil"/>
              <w:bottom w:val="single" w:sz="8" w:space="0" w:color="4F81BD"/>
              <w:right w:val="nil"/>
            </w:tcBorders>
            <w:tcMar>
              <w:right w:w="255" w:type="dxa"/>
            </w:tcMar>
            <w:vAlign w:val="center"/>
          </w:tcPr>
          <w:p w14:paraId="1EF85D05" w14:textId="6A27E806" w:rsidR="008E3762" w:rsidRPr="00C67B80" w:rsidRDefault="008E3762" w:rsidP="003F02E6">
            <w:pPr>
              <w:jc w:val="right"/>
              <w:rPr>
                <w:rFonts w:ascii="Verdana" w:hAnsi="Verdana"/>
                <w:b/>
                <w:bCs/>
                <w:color w:val="365F91"/>
                <w:sz w:val="18"/>
                <w:szCs w:val="18"/>
              </w:rPr>
            </w:pPr>
            <w:r w:rsidRPr="00C67B80">
              <w:rPr>
                <w:rFonts w:ascii="Verdana" w:hAnsi="Verdana" w:cs="Calibri"/>
                <w:b/>
                <w:bCs/>
                <w:color w:val="365F91"/>
                <w:sz w:val="18"/>
                <w:szCs w:val="18"/>
              </w:rPr>
              <w:t>6.644</w:t>
            </w:r>
          </w:p>
        </w:tc>
        <w:tc>
          <w:tcPr>
            <w:tcW w:w="662" w:type="pct"/>
            <w:tcBorders>
              <w:top w:val="single" w:sz="8" w:space="0" w:color="4F81BD"/>
              <w:left w:val="nil"/>
              <w:bottom w:val="single" w:sz="8" w:space="0" w:color="4F81BD"/>
              <w:right w:val="single" w:sz="8" w:space="0" w:color="4F81BD"/>
            </w:tcBorders>
            <w:tcMar>
              <w:right w:w="255" w:type="dxa"/>
            </w:tcMar>
            <w:vAlign w:val="center"/>
          </w:tcPr>
          <w:p w14:paraId="39154F40" w14:textId="63E6D9EE" w:rsidR="008E3762" w:rsidRPr="00C67B80" w:rsidRDefault="008E3762" w:rsidP="003F02E6">
            <w:pPr>
              <w:jc w:val="right"/>
              <w:rPr>
                <w:rFonts w:ascii="Verdana" w:hAnsi="Verdana"/>
                <w:b/>
                <w:bCs/>
                <w:color w:val="365F91"/>
                <w:sz w:val="18"/>
                <w:szCs w:val="18"/>
              </w:rPr>
            </w:pPr>
            <w:r w:rsidRPr="00C67B80">
              <w:rPr>
                <w:rFonts w:ascii="Verdana" w:hAnsi="Verdana" w:cs="Calibri"/>
                <w:b/>
                <w:bCs/>
                <w:color w:val="365F91"/>
                <w:sz w:val="18"/>
                <w:szCs w:val="18"/>
              </w:rPr>
              <w:t>6.687</w:t>
            </w:r>
          </w:p>
        </w:tc>
        <w:tc>
          <w:tcPr>
            <w:tcW w:w="173" w:type="pct"/>
            <w:tcBorders>
              <w:top w:val="single" w:sz="8" w:space="0" w:color="4F81BD"/>
              <w:left w:val="single" w:sz="8" w:space="0" w:color="4F81BD"/>
              <w:bottom w:val="single" w:sz="8" w:space="0" w:color="4F81BD"/>
              <w:right w:val="nil"/>
            </w:tcBorders>
            <w:vAlign w:val="center"/>
          </w:tcPr>
          <w:p w14:paraId="018E1A34" w14:textId="793DBD2B" w:rsidR="008E3762" w:rsidRPr="00C67B80" w:rsidRDefault="008E3762" w:rsidP="003F02E6">
            <w:pPr>
              <w:jc w:val="right"/>
              <w:rPr>
                <w:rFonts w:ascii="Verdana" w:hAnsi="Verdana"/>
                <w:b/>
                <w:bCs/>
                <w:color w:val="365F91"/>
                <w:sz w:val="18"/>
                <w:szCs w:val="18"/>
              </w:rPr>
            </w:pPr>
            <w:r w:rsidRPr="00C67B80">
              <w:rPr>
                <w:rFonts w:ascii="Verdana" w:hAnsi="Verdana" w:cs="Calibri"/>
                <w:b/>
                <w:bCs/>
                <w:color w:val="365F91"/>
                <w:sz w:val="18"/>
                <w:szCs w:val="18"/>
              </w:rPr>
              <w:t> </w:t>
            </w:r>
          </w:p>
        </w:tc>
        <w:tc>
          <w:tcPr>
            <w:tcW w:w="749" w:type="pct"/>
            <w:tcBorders>
              <w:top w:val="single" w:sz="8" w:space="0" w:color="4F81BD"/>
              <w:left w:val="nil"/>
              <w:bottom w:val="single" w:sz="8" w:space="0" w:color="4F81BD"/>
              <w:right w:val="nil"/>
            </w:tcBorders>
            <w:tcMar>
              <w:right w:w="142" w:type="dxa"/>
            </w:tcMar>
            <w:vAlign w:val="center"/>
          </w:tcPr>
          <w:p w14:paraId="438FE919" w14:textId="1E5DD2E2" w:rsidR="008E3762" w:rsidRPr="00C67B80" w:rsidRDefault="008E3762" w:rsidP="003F02E6">
            <w:pPr>
              <w:ind w:right="57"/>
              <w:jc w:val="right"/>
              <w:rPr>
                <w:rFonts w:ascii="Verdana" w:hAnsi="Verdana"/>
                <w:b/>
                <w:bCs/>
                <w:color w:val="365F91"/>
                <w:sz w:val="18"/>
                <w:szCs w:val="18"/>
              </w:rPr>
            </w:pPr>
            <w:r w:rsidRPr="00C67B80">
              <w:rPr>
                <w:rFonts w:ascii="Verdana" w:hAnsi="Verdana" w:cs="Calibri"/>
                <w:b/>
                <w:bCs/>
                <w:color w:val="365F91"/>
                <w:sz w:val="18"/>
                <w:szCs w:val="18"/>
              </w:rPr>
              <w:t>0,6%</w:t>
            </w:r>
          </w:p>
        </w:tc>
        <w:tc>
          <w:tcPr>
            <w:tcW w:w="837" w:type="pct"/>
            <w:tcBorders>
              <w:top w:val="single" w:sz="8" w:space="0" w:color="4F81BD"/>
              <w:left w:val="nil"/>
              <w:bottom w:val="single" w:sz="8" w:space="0" w:color="4F81BD"/>
              <w:right w:val="nil"/>
            </w:tcBorders>
            <w:tcMar>
              <w:left w:w="0" w:type="dxa"/>
              <w:right w:w="198" w:type="dxa"/>
            </w:tcMar>
            <w:vAlign w:val="center"/>
          </w:tcPr>
          <w:p w14:paraId="02EE445F" w14:textId="2FE29BF2" w:rsidR="008E3762" w:rsidRPr="00C67B80" w:rsidRDefault="008E3762" w:rsidP="003F02E6">
            <w:pPr>
              <w:ind w:right="113"/>
              <w:jc w:val="right"/>
              <w:rPr>
                <w:rFonts w:ascii="Verdana" w:hAnsi="Verdana"/>
                <w:b/>
                <w:bCs/>
                <w:color w:val="365F91"/>
                <w:sz w:val="18"/>
                <w:szCs w:val="18"/>
              </w:rPr>
            </w:pPr>
            <w:r w:rsidRPr="00C67B80">
              <w:rPr>
                <w:rFonts w:ascii="Verdana" w:hAnsi="Verdana" w:cs="Calibri"/>
                <w:b/>
                <w:bCs/>
                <w:color w:val="365F91"/>
                <w:sz w:val="18"/>
                <w:szCs w:val="18"/>
              </w:rPr>
              <w:t>1,8%</w:t>
            </w:r>
          </w:p>
        </w:tc>
      </w:tr>
      <w:tr w:rsidR="008E3762" w:rsidRPr="00C67B80" w14:paraId="6321719E" w14:textId="77777777" w:rsidTr="00A20803">
        <w:trPr>
          <w:trHeight w:val="518"/>
        </w:trPr>
        <w:tc>
          <w:tcPr>
            <w:tcW w:w="1248" w:type="pct"/>
            <w:tcBorders>
              <w:top w:val="single" w:sz="8" w:space="0" w:color="4F81BD"/>
              <w:left w:val="nil"/>
              <w:bottom w:val="single" w:sz="8" w:space="0" w:color="4F81BD"/>
              <w:right w:val="nil"/>
            </w:tcBorders>
            <w:vAlign w:val="center"/>
            <w:hideMark/>
          </w:tcPr>
          <w:p w14:paraId="630DC5FB" w14:textId="77777777" w:rsidR="008E3762" w:rsidRPr="00C67B80" w:rsidRDefault="008E3762" w:rsidP="003F02E6">
            <w:pPr>
              <w:rPr>
                <w:rFonts w:ascii="Verdana" w:eastAsia="Malgun Gothic" w:hAnsi="Verdana" w:cs="Arial"/>
                <w:b/>
                <w:bCs/>
                <w:color w:val="365F91"/>
                <w:sz w:val="18"/>
                <w:szCs w:val="18"/>
                <w:lang w:val="el-GR"/>
              </w:rPr>
            </w:pPr>
            <w:r w:rsidRPr="00C67B80">
              <w:rPr>
                <w:rFonts w:ascii="Verdana" w:eastAsia="Malgun Gothic" w:hAnsi="Verdana" w:cs="Arial"/>
                <w:b/>
                <w:bCs/>
                <w:color w:val="365F91"/>
                <w:sz w:val="18"/>
                <w:szCs w:val="18"/>
                <w:lang w:val="el-GR"/>
              </w:rPr>
              <w:t>Γενικό Σύνολο</w:t>
            </w:r>
          </w:p>
        </w:tc>
        <w:tc>
          <w:tcPr>
            <w:tcW w:w="668" w:type="pct"/>
            <w:tcBorders>
              <w:top w:val="single" w:sz="8" w:space="0" w:color="4F81BD"/>
              <w:left w:val="nil"/>
              <w:bottom w:val="single" w:sz="8" w:space="0" w:color="4F81BD"/>
              <w:right w:val="nil"/>
            </w:tcBorders>
            <w:tcMar>
              <w:right w:w="227" w:type="dxa"/>
            </w:tcMar>
            <w:vAlign w:val="center"/>
          </w:tcPr>
          <w:p w14:paraId="69553569" w14:textId="4E84F27C" w:rsidR="008E3762" w:rsidRPr="00C67B80" w:rsidRDefault="008E3762" w:rsidP="003F02E6">
            <w:pPr>
              <w:jc w:val="right"/>
              <w:rPr>
                <w:rFonts w:ascii="Verdana" w:hAnsi="Verdana"/>
                <w:b/>
                <w:bCs/>
                <w:color w:val="365F91"/>
                <w:sz w:val="18"/>
                <w:szCs w:val="18"/>
              </w:rPr>
            </w:pPr>
            <w:r w:rsidRPr="00C67B80">
              <w:rPr>
                <w:rFonts w:ascii="Verdana" w:hAnsi="Verdana" w:cs="Calibri"/>
                <w:b/>
                <w:bCs/>
                <w:color w:val="365F91"/>
                <w:sz w:val="18"/>
                <w:szCs w:val="18"/>
              </w:rPr>
              <w:t>52.019</w:t>
            </w:r>
          </w:p>
        </w:tc>
        <w:tc>
          <w:tcPr>
            <w:tcW w:w="661" w:type="pct"/>
            <w:tcBorders>
              <w:top w:val="single" w:sz="8" w:space="0" w:color="4F81BD"/>
              <w:left w:val="nil"/>
              <w:bottom w:val="single" w:sz="8" w:space="0" w:color="4F81BD"/>
              <w:right w:val="nil"/>
            </w:tcBorders>
            <w:tcMar>
              <w:right w:w="255" w:type="dxa"/>
            </w:tcMar>
            <w:vAlign w:val="center"/>
          </w:tcPr>
          <w:p w14:paraId="04EEE526" w14:textId="7DE24CA3" w:rsidR="008E3762" w:rsidRPr="00C67B80" w:rsidRDefault="008E3762" w:rsidP="003F02E6">
            <w:pPr>
              <w:jc w:val="right"/>
              <w:rPr>
                <w:rFonts w:ascii="Verdana" w:hAnsi="Verdana"/>
                <w:b/>
                <w:bCs/>
                <w:color w:val="365F91"/>
                <w:sz w:val="18"/>
                <w:szCs w:val="18"/>
              </w:rPr>
            </w:pPr>
            <w:r w:rsidRPr="00C67B80">
              <w:rPr>
                <w:rFonts w:ascii="Verdana" w:hAnsi="Verdana" w:cs="Calibri"/>
                <w:b/>
                <w:bCs/>
                <w:color w:val="365F91"/>
                <w:sz w:val="18"/>
                <w:szCs w:val="18"/>
              </w:rPr>
              <w:t>54.546</w:t>
            </w:r>
          </w:p>
        </w:tc>
        <w:tc>
          <w:tcPr>
            <w:tcW w:w="662" w:type="pct"/>
            <w:tcBorders>
              <w:top w:val="single" w:sz="8" w:space="0" w:color="4F81BD"/>
              <w:left w:val="nil"/>
              <w:bottom w:val="single" w:sz="8" w:space="0" w:color="4F81BD"/>
              <w:right w:val="single" w:sz="8" w:space="0" w:color="4F81BD"/>
            </w:tcBorders>
            <w:tcMar>
              <w:right w:w="255" w:type="dxa"/>
            </w:tcMar>
            <w:vAlign w:val="center"/>
          </w:tcPr>
          <w:p w14:paraId="5BD99AC6" w14:textId="23A1748D" w:rsidR="008E3762" w:rsidRPr="00C67B80" w:rsidRDefault="008E3762" w:rsidP="003F02E6">
            <w:pPr>
              <w:jc w:val="right"/>
              <w:rPr>
                <w:rFonts w:ascii="Verdana" w:hAnsi="Verdana"/>
                <w:b/>
                <w:bCs/>
                <w:color w:val="365F91"/>
                <w:sz w:val="18"/>
                <w:szCs w:val="18"/>
              </w:rPr>
            </w:pPr>
            <w:r w:rsidRPr="00C67B80">
              <w:rPr>
                <w:rFonts w:ascii="Verdana" w:hAnsi="Verdana" w:cs="Calibri"/>
                <w:b/>
                <w:bCs/>
                <w:color w:val="365F91"/>
                <w:sz w:val="18"/>
                <w:szCs w:val="18"/>
              </w:rPr>
              <w:t>54.706</w:t>
            </w:r>
          </w:p>
        </w:tc>
        <w:tc>
          <w:tcPr>
            <w:tcW w:w="173" w:type="pct"/>
            <w:tcBorders>
              <w:top w:val="single" w:sz="8" w:space="0" w:color="4F81BD"/>
              <w:left w:val="single" w:sz="8" w:space="0" w:color="4F81BD"/>
              <w:bottom w:val="single" w:sz="8" w:space="0" w:color="4F81BD"/>
              <w:right w:val="nil"/>
            </w:tcBorders>
            <w:vAlign w:val="center"/>
          </w:tcPr>
          <w:p w14:paraId="46139212" w14:textId="394283CC" w:rsidR="008E3762" w:rsidRPr="00C67B80" w:rsidRDefault="008E3762" w:rsidP="003F02E6">
            <w:pPr>
              <w:jc w:val="right"/>
              <w:rPr>
                <w:rFonts w:ascii="Verdana" w:hAnsi="Verdana"/>
                <w:b/>
                <w:bCs/>
                <w:color w:val="365F91"/>
                <w:sz w:val="18"/>
                <w:szCs w:val="18"/>
              </w:rPr>
            </w:pPr>
            <w:r w:rsidRPr="00C67B80">
              <w:rPr>
                <w:rFonts w:ascii="Verdana" w:hAnsi="Verdana" w:cs="Calibri"/>
                <w:b/>
                <w:bCs/>
                <w:color w:val="365F91"/>
                <w:sz w:val="18"/>
                <w:szCs w:val="18"/>
              </w:rPr>
              <w:t> </w:t>
            </w:r>
          </w:p>
        </w:tc>
        <w:tc>
          <w:tcPr>
            <w:tcW w:w="749" w:type="pct"/>
            <w:tcBorders>
              <w:top w:val="single" w:sz="8" w:space="0" w:color="4F81BD"/>
              <w:left w:val="nil"/>
              <w:bottom w:val="single" w:sz="8" w:space="0" w:color="4F81BD"/>
              <w:right w:val="nil"/>
            </w:tcBorders>
            <w:tcMar>
              <w:right w:w="142" w:type="dxa"/>
            </w:tcMar>
            <w:vAlign w:val="center"/>
          </w:tcPr>
          <w:p w14:paraId="77D784D7" w14:textId="3730C850" w:rsidR="008E3762" w:rsidRPr="00C67B80" w:rsidRDefault="008E3762" w:rsidP="003F02E6">
            <w:pPr>
              <w:ind w:right="57"/>
              <w:jc w:val="right"/>
              <w:rPr>
                <w:rFonts w:ascii="Verdana" w:hAnsi="Verdana"/>
                <w:b/>
                <w:bCs/>
                <w:color w:val="365F91"/>
                <w:sz w:val="18"/>
                <w:szCs w:val="18"/>
              </w:rPr>
            </w:pPr>
            <w:r w:rsidRPr="00C67B80">
              <w:rPr>
                <w:rFonts w:ascii="Verdana" w:hAnsi="Verdana" w:cs="Calibri"/>
                <w:b/>
                <w:bCs/>
                <w:color w:val="365F91"/>
                <w:sz w:val="18"/>
                <w:szCs w:val="18"/>
              </w:rPr>
              <w:t>0,3%</w:t>
            </w:r>
          </w:p>
        </w:tc>
        <w:tc>
          <w:tcPr>
            <w:tcW w:w="837" w:type="pct"/>
            <w:tcBorders>
              <w:top w:val="single" w:sz="8" w:space="0" w:color="4F81BD"/>
              <w:left w:val="nil"/>
              <w:bottom w:val="single" w:sz="8" w:space="0" w:color="4F81BD"/>
              <w:right w:val="nil"/>
            </w:tcBorders>
            <w:tcMar>
              <w:left w:w="0" w:type="dxa"/>
              <w:right w:w="198" w:type="dxa"/>
            </w:tcMar>
            <w:vAlign w:val="center"/>
          </w:tcPr>
          <w:p w14:paraId="2210372D" w14:textId="3552A58E" w:rsidR="008E3762" w:rsidRPr="00C67B80" w:rsidRDefault="008E3762" w:rsidP="003F02E6">
            <w:pPr>
              <w:ind w:right="113"/>
              <w:jc w:val="right"/>
              <w:rPr>
                <w:rFonts w:ascii="Verdana" w:hAnsi="Verdana"/>
                <w:b/>
                <w:bCs/>
                <w:color w:val="365F91"/>
                <w:sz w:val="18"/>
                <w:szCs w:val="18"/>
              </w:rPr>
            </w:pPr>
            <w:r w:rsidRPr="00C67B80">
              <w:rPr>
                <w:rFonts w:ascii="Verdana" w:hAnsi="Verdana" w:cs="Calibri"/>
                <w:b/>
                <w:bCs/>
                <w:color w:val="365F91"/>
                <w:sz w:val="18"/>
                <w:szCs w:val="18"/>
              </w:rPr>
              <w:t>5,2%</w:t>
            </w:r>
          </w:p>
        </w:tc>
      </w:tr>
    </w:tbl>
    <w:p w14:paraId="644D97A6" w14:textId="4BD640B3" w:rsidR="00833DCE" w:rsidRDefault="00833DCE" w:rsidP="000E4CB0">
      <w:pPr>
        <w:jc w:val="both"/>
        <w:rPr>
          <w:rFonts w:ascii="Verdana" w:hAnsi="Verdana" w:cs="Arial"/>
          <w:sz w:val="18"/>
          <w:szCs w:val="18"/>
          <w:lang w:val="el-GR"/>
        </w:rPr>
      </w:pPr>
    </w:p>
    <w:p w14:paraId="757CE393" w14:textId="5333625B" w:rsidR="00833DCE" w:rsidRDefault="00833DCE" w:rsidP="000E4CB0">
      <w:pPr>
        <w:jc w:val="both"/>
        <w:rPr>
          <w:rFonts w:ascii="Verdana" w:hAnsi="Verdana" w:cs="Arial"/>
          <w:sz w:val="18"/>
          <w:szCs w:val="18"/>
          <w:lang w:val="el-GR"/>
        </w:rPr>
      </w:pPr>
    </w:p>
    <w:p w14:paraId="755122E2" w14:textId="5965EF86" w:rsidR="00833DCE" w:rsidRPr="008E3762" w:rsidRDefault="008E3762" w:rsidP="000E4CB0">
      <w:pPr>
        <w:jc w:val="both"/>
        <w:rPr>
          <w:rFonts w:ascii="Verdana" w:hAnsi="Verdana" w:cs="Arial"/>
          <w:sz w:val="18"/>
          <w:szCs w:val="18"/>
          <w:u w:val="single"/>
          <w:lang w:val="el-GR"/>
        </w:rPr>
      </w:pPr>
      <w:r w:rsidRPr="008E3762">
        <w:rPr>
          <w:rFonts w:ascii="Verdana" w:hAnsi="Verdana" w:cs="Arial"/>
          <w:sz w:val="18"/>
          <w:szCs w:val="18"/>
          <w:u w:val="single"/>
          <w:lang w:val="el-GR"/>
        </w:rPr>
        <w:t>Σημείωση</w:t>
      </w:r>
    </w:p>
    <w:p w14:paraId="218B5B09" w14:textId="45718B1F" w:rsidR="00833DCE" w:rsidRDefault="00AA044F" w:rsidP="008E3762">
      <w:pPr>
        <w:jc w:val="both"/>
        <w:rPr>
          <w:rFonts w:ascii="Verdana" w:hAnsi="Verdana" w:cs="Arial"/>
          <w:sz w:val="18"/>
          <w:szCs w:val="18"/>
          <w:lang w:val="el-GR"/>
        </w:rPr>
      </w:pPr>
      <w:bookmarkStart w:id="0" w:name="_Hlk158968486"/>
      <w:r>
        <w:rPr>
          <w:rFonts w:ascii="Verdana" w:hAnsi="Verdana" w:cs="Arial"/>
          <w:sz w:val="18"/>
          <w:szCs w:val="18"/>
          <w:lang w:val="el-GR"/>
        </w:rPr>
        <w:t>Από τον Ιανουάριο</w:t>
      </w:r>
      <w:r w:rsidR="005A6FBC">
        <w:rPr>
          <w:rFonts w:ascii="Verdana" w:hAnsi="Verdana" w:cs="Arial"/>
          <w:sz w:val="18"/>
          <w:szCs w:val="18"/>
          <w:lang w:val="el-GR"/>
        </w:rPr>
        <w:t xml:space="preserve"> </w:t>
      </w:r>
      <w:r>
        <w:rPr>
          <w:rFonts w:ascii="Verdana" w:hAnsi="Verdana" w:cs="Arial"/>
          <w:sz w:val="18"/>
          <w:szCs w:val="18"/>
          <w:lang w:val="el-GR"/>
        </w:rPr>
        <w:t xml:space="preserve">του 2024 καταργείται ο διαχωρισμός σε μόνιμο και έκτακτο προσωπικό. </w:t>
      </w:r>
      <w:r w:rsidR="008E3762">
        <w:rPr>
          <w:rFonts w:ascii="Verdana" w:hAnsi="Verdana" w:cs="Arial"/>
          <w:sz w:val="18"/>
          <w:szCs w:val="18"/>
          <w:lang w:val="el-GR"/>
        </w:rPr>
        <w:t>Η Σ</w:t>
      </w:r>
      <w:r>
        <w:rPr>
          <w:rFonts w:ascii="Verdana" w:hAnsi="Verdana" w:cs="Arial"/>
          <w:sz w:val="18"/>
          <w:szCs w:val="18"/>
          <w:lang w:val="el-GR"/>
        </w:rPr>
        <w:t xml:space="preserve">τατιστική Υπηρεσία </w:t>
      </w:r>
      <w:r w:rsidR="008E3762">
        <w:rPr>
          <w:rFonts w:ascii="Verdana" w:hAnsi="Verdana" w:cs="Arial"/>
          <w:sz w:val="18"/>
          <w:szCs w:val="18"/>
          <w:lang w:val="el-GR"/>
        </w:rPr>
        <w:t>αναπροσαρμόζει τη διάρθρωση του κυβερνητικού προσωπικού σε μόνιμο</w:t>
      </w:r>
      <w:r>
        <w:rPr>
          <w:rFonts w:ascii="Verdana" w:hAnsi="Verdana" w:cs="Arial"/>
          <w:sz w:val="18"/>
          <w:szCs w:val="18"/>
          <w:lang w:val="el-GR"/>
        </w:rPr>
        <w:t>υς</w:t>
      </w:r>
      <w:r w:rsidR="008E3762">
        <w:rPr>
          <w:rFonts w:ascii="Verdana" w:hAnsi="Verdana" w:cs="Arial"/>
          <w:sz w:val="18"/>
          <w:szCs w:val="18"/>
          <w:lang w:val="el-GR"/>
        </w:rPr>
        <w:t xml:space="preserve">, </w:t>
      </w:r>
      <w:proofErr w:type="spellStart"/>
      <w:r>
        <w:rPr>
          <w:rFonts w:ascii="Verdana" w:hAnsi="Verdana" w:cs="Arial"/>
          <w:sz w:val="18"/>
          <w:szCs w:val="18"/>
          <w:lang w:val="el-GR"/>
        </w:rPr>
        <w:t>εργοδοτούμενους</w:t>
      </w:r>
      <w:proofErr w:type="spellEnd"/>
      <w:r w:rsidR="008E3762">
        <w:rPr>
          <w:rFonts w:ascii="Verdana" w:hAnsi="Verdana" w:cs="Arial"/>
          <w:sz w:val="18"/>
          <w:szCs w:val="18"/>
          <w:lang w:val="el-GR"/>
        </w:rPr>
        <w:t xml:space="preserve"> αορίστου χρόνου</w:t>
      </w:r>
      <w:r w:rsidR="00680D13">
        <w:rPr>
          <w:rFonts w:ascii="Verdana" w:hAnsi="Verdana" w:cs="Arial"/>
          <w:sz w:val="18"/>
          <w:szCs w:val="18"/>
          <w:lang w:val="el-GR"/>
        </w:rPr>
        <w:t xml:space="preserve"> (ΕΑΧ)</w:t>
      </w:r>
      <w:r w:rsidR="005A6FBC">
        <w:rPr>
          <w:rFonts w:ascii="Verdana" w:hAnsi="Verdana" w:cs="Arial"/>
          <w:sz w:val="18"/>
          <w:szCs w:val="18"/>
          <w:lang w:val="el-GR"/>
        </w:rPr>
        <w:t xml:space="preserve">, </w:t>
      </w:r>
      <w:proofErr w:type="spellStart"/>
      <w:r>
        <w:rPr>
          <w:rFonts w:ascii="Verdana" w:hAnsi="Verdana" w:cs="Arial"/>
          <w:sz w:val="18"/>
          <w:szCs w:val="18"/>
          <w:lang w:val="el-GR"/>
        </w:rPr>
        <w:t>εργοδοτούμενους</w:t>
      </w:r>
      <w:proofErr w:type="spellEnd"/>
      <w:r w:rsidR="008E3762">
        <w:rPr>
          <w:rFonts w:ascii="Verdana" w:hAnsi="Verdana" w:cs="Arial"/>
          <w:sz w:val="18"/>
          <w:szCs w:val="18"/>
          <w:lang w:val="el-GR"/>
        </w:rPr>
        <w:t xml:space="preserve"> ορισμένου χρόνου</w:t>
      </w:r>
      <w:r w:rsidR="00680D13">
        <w:rPr>
          <w:rFonts w:ascii="Verdana" w:hAnsi="Verdana" w:cs="Arial"/>
          <w:sz w:val="18"/>
          <w:szCs w:val="18"/>
          <w:lang w:val="el-GR"/>
        </w:rPr>
        <w:t xml:space="preserve"> (ΕΟΧ)</w:t>
      </w:r>
      <w:r w:rsidR="005A6FBC">
        <w:rPr>
          <w:rFonts w:ascii="Verdana" w:hAnsi="Verdana" w:cs="Arial"/>
          <w:sz w:val="18"/>
          <w:szCs w:val="18"/>
          <w:lang w:val="el-GR"/>
        </w:rPr>
        <w:t xml:space="preserve"> και ωρομίσθιο προσωπικό</w:t>
      </w:r>
      <w:r w:rsidR="008E3762">
        <w:rPr>
          <w:rFonts w:ascii="Verdana" w:hAnsi="Verdana" w:cs="Arial"/>
          <w:sz w:val="18"/>
          <w:szCs w:val="18"/>
          <w:lang w:val="el-GR"/>
        </w:rPr>
        <w:t xml:space="preserve">. Τα στοιχεία </w:t>
      </w:r>
      <w:r w:rsidR="005D074B">
        <w:rPr>
          <w:rFonts w:ascii="Verdana" w:hAnsi="Verdana" w:cs="Arial"/>
          <w:sz w:val="18"/>
          <w:szCs w:val="18"/>
          <w:lang w:val="el-GR"/>
        </w:rPr>
        <w:t xml:space="preserve">με </w:t>
      </w:r>
      <w:r w:rsidR="008E3762">
        <w:rPr>
          <w:rFonts w:ascii="Verdana" w:hAnsi="Verdana" w:cs="Arial"/>
          <w:sz w:val="18"/>
          <w:szCs w:val="18"/>
          <w:lang w:val="el-GR"/>
        </w:rPr>
        <w:t xml:space="preserve">τη νέα ανάλυση θα παρουσιαστούν στην επόμενη </w:t>
      </w:r>
      <w:r w:rsidR="00680D13">
        <w:rPr>
          <w:rFonts w:ascii="Verdana" w:hAnsi="Verdana" w:cs="Arial"/>
          <w:sz w:val="18"/>
          <w:szCs w:val="18"/>
          <w:lang w:val="el-GR"/>
        </w:rPr>
        <w:t>ανακοίνωση αναφορικά με την Απασχόληση Κυβέρνησης ανά κατηγορία.</w:t>
      </w:r>
    </w:p>
    <w:bookmarkEnd w:id="0"/>
    <w:p w14:paraId="27036DC1" w14:textId="49964062" w:rsidR="00833DCE" w:rsidRDefault="00833DCE" w:rsidP="000E4CB0">
      <w:pPr>
        <w:jc w:val="both"/>
        <w:rPr>
          <w:rFonts w:ascii="Verdana" w:hAnsi="Verdana" w:cs="Arial"/>
          <w:sz w:val="18"/>
          <w:szCs w:val="18"/>
          <w:lang w:val="el-GR"/>
        </w:rPr>
      </w:pPr>
    </w:p>
    <w:p w14:paraId="2430BD14" w14:textId="5054CB93" w:rsidR="00833DCE" w:rsidRDefault="00833DCE" w:rsidP="000E4CB0">
      <w:pPr>
        <w:jc w:val="both"/>
        <w:rPr>
          <w:rFonts w:ascii="Verdana" w:hAnsi="Verdana" w:cs="Arial"/>
          <w:sz w:val="18"/>
          <w:szCs w:val="18"/>
          <w:lang w:val="el-GR"/>
        </w:rPr>
      </w:pPr>
    </w:p>
    <w:p w14:paraId="601295D3" w14:textId="03C8B8E9" w:rsidR="00D164DA" w:rsidRPr="00B20458" w:rsidRDefault="00D164DA" w:rsidP="000E4CB0">
      <w:pPr>
        <w:jc w:val="both"/>
        <w:rPr>
          <w:rFonts w:ascii="Verdana" w:hAnsi="Verdana" w:cs="Arial"/>
          <w:sz w:val="18"/>
          <w:szCs w:val="18"/>
          <w:lang w:val="el-GR"/>
        </w:rPr>
      </w:pPr>
    </w:p>
    <w:p w14:paraId="466A700D" w14:textId="41A9B82D" w:rsidR="00D164DA" w:rsidRDefault="00D164DA" w:rsidP="000E4CB0">
      <w:pPr>
        <w:jc w:val="both"/>
        <w:rPr>
          <w:rFonts w:ascii="Verdana" w:hAnsi="Verdana" w:cs="Arial"/>
          <w:sz w:val="18"/>
          <w:szCs w:val="18"/>
          <w:lang w:val="el-GR"/>
        </w:rPr>
      </w:pPr>
    </w:p>
    <w:p w14:paraId="270B804C" w14:textId="77777777" w:rsidR="00D164DA" w:rsidRDefault="00D164DA" w:rsidP="000E4CB0">
      <w:pPr>
        <w:jc w:val="both"/>
        <w:rPr>
          <w:rFonts w:ascii="Verdana" w:hAnsi="Verdana" w:cs="Arial"/>
          <w:sz w:val="18"/>
          <w:szCs w:val="18"/>
          <w:lang w:val="el-GR"/>
        </w:rPr>
      </w:pPr>
    </w:p>
    <w:p w14:paraId="31C7E3A3" w14:textId="5C74C159" w:rsidR="00833DCE" w:rsidRDefault="00833DCE" w:rsidP="000E4CB0">
      <w:pPr>
        <w:jc w:val="both"/>
        <w:rPr>
          <w:rFonts w:ascii="Verdana" w:hAnsi="Verdana" w:cs="Arial"/>
          <w:sz w:val="18"/>
          <w:szCs w:val="18"/>
          <w:lang w:val="el-GR"/>
        </w:rPr>
      </w:pPr>
    </w:p>
    <w:p w14:paraId="062A6B12" w14:textId="245A4F0F" w:rsidR="00833DCE" w:rsidRDefault="00833DCE" w:rsidP="000E4CB0">
      <w:pPr>
        <w:jc w:val="both"/>
        <w:rPr>
          <w:rFonts w:ascii="Verdana" w:hAnsi="Verdana" w:cs="Arial"/>
          <w:sz w:val="18"/>
          <w:szCs w:val="18"/>
          <w:lang w:val="el-GR"/>
        </w:rPr>
      </w:pPr>
    </w:p>
    <w:p w14:paraId="3797AACC" w14:textId="6F0F80C3" w:rsidR="00833DCE" w:rsidRDefault="00833DCE" w:rsidP="000E4CB0">
      <w:pPr>
        <w:jc w:val="both"/>
        <w:rPr>
          <w:rFonts w:ascii="Verdana" w:hAnsi="Verdana" w:cs="Arial"/>
          <w:sz w:val="18"/>
          <w:szCs w:val="18"/>
          <w:lang w:val="el-GR"/>
        </w:rPr>
      </w:pPr>
    </w:p>
    <w:p w14:paraId="40CB9EF8" w14:textId="5E9E59BF" w:rsidR="00F9558B" w:rsidRDefault="00F9558B" w:rsidP="000E4CB0">
      <w:pPr>
        <w:jc w:val="both"/>
        <w:rPr>
          <w:rFonts w:ascii="Verdana" w:hAnsi="Verdana" w:cs="Arial"/>
          <w:sz w:val="18"/>
          <w:szCs w:val="18"/>
          <w:lang w:val="el-GR"/>
        </w:rPr>
      </w:pPr>
    </w:p>
    <w:p w14:paraId="7BE5E36D" w14:textId="3D52D425" w:rsidR="00F9558B" w:rsidRDefault="00F9558B" w:rsidP="000E4CB0">
      <w:pPr>
        <w:jc w:val="both"/>
        <w:rPr>
          <w:rFonts w:ascii="Verdana" w:hAnsi="Verdana" w:cs="Arial"/>
          <w:sz w:val="18"/>
          <w:szCs w:val="18"/>
          <w:lang w:val="el-GR"/>
        </w:rPr>
      </w:pPr>
    </w:p>
    <w:p w14:paraId="2DA1598C" w14:textId="21F51BFD" w:rsidR="00F9558B" w:rsidRDefault="00F9558B" w:rsidP="000E4CB0">
      <w:pPr>
        <w:jc w:val="both"/>
        <w:rPr>
          <w:rFonts w:ascii="Verdana" w:hAnsi="Verdana" w:cs="Arial"/>
          <w:sz w:val="18"/>
          <w:szCs w:val="18"/>
          <w:lang w:val="el-GR"/>
        </w:rPr>
      </w:pPr>
    </w:p>
    <w:p w14:paraId="533F815D" w14:textId="4652BF6D" w:rsidR="00F9558B" w:rsidRDefault="00F9558B" w:rsidP="000E4CB0">
      <w:pPr>
        <w:jc w:val="both"/>
        <w:rPr>
          <w:rFonts w:ascii="Verdana" w:hAnsi="Verdana" w:cs="Arial"/>
          <w:sz w:val="18"/>
          <w:szCs w:val="18"/>
          <w:lang w:val="el-GR"/>
        </w:rPr>
      </w:pPr>
    </w:p>
    <w:p w14:paraId="6C59AB76" w14:textId="77777777" w:rsidR="007E47D0" w:rsidRDefault="007E47D0" w:rsidP="000E4CB0">
      <w:pPr>
        <w:jc w:val="both"/>
        <w:rPr>
          <w:rFonts w:ascii="Verdana" w:hAnsi="Verdana" w:cs="Arial"/>
          <w:sz w:val="18"/>
          <w:szCs w:val="18"/>
          <w:lang w:val="el-GR"/>
        </w:rPr>
      </w:pPr>
    </w:p>
    <w:p w14:paraId="5B34B88C" w14:textId="77777777" w:rsidR="007E47D0" w:rsidRDefault="007E47D0" w:rsidP="000E4CB0">
      <w:pPr>
        <w:jc w:val="both"/>
        <w:rPr>
          <w:rFonts w:ascii="Verdana" w:hAnsi="Verdana" w:cs="Arial"/>
          <w:sz w:val="18"/>
          <w:szCs w:val="18"/>
          <w:lang w:val="el-GR"/>
        </w:rPr>
      </w:pPr>
    </w:p>
    <w:p w14:paraId="3E8336AC" w14:textId="77777777" w:rsidR="00E0523D" w:rsidRDefault="00E0523D" w:rsidP="000E4CB0">
      <w:pPr>
        <w:jc w:val="both"/>
        <w:rPr>
          <w:rFonts w:ascii="Verdana" w:hAnsi="Verdana" w:cs="Arial"/>
          <w:sz w:val="18"/>
          <w:szCs w:val="18"/>
          <w:lang w:val="el-GR"/>
        </w:rPr>
      </w:pPr>
    </w:p>
    <w:p w14:paraId="60155F56" w14:textId="77777777" w:rsidR="002E575D" w:rsidRDefault="002E575D" w:rsidP="000E4CB0">
      <w:pPr>
        <w:jc w:val="both"/>
        <w:rPr>
          <w:rFonts w:ascii="Verdana" w:hAnsi="Verdana" w:cs="Arial"/>
          <w:sz w:val="18"/>
          <w:szCs w:val="18"/>
          <w:lang w:val="el-GR"/>
        </w:rPr>
      </w:pPr>
    </w:p>
    <w:p w14:paraId="6286E794" w14:textId="77777777" w:rsidR="002E575D" w:rsidRDefault="002E575D" w:rsidP="000E4CB0">
      <w:pPr>
        <w:jc w:val="both"/>
        <w:rPr>
          <w:rFonts w:ascii="Verdana" w:hAnsi="Verdana" w:cs="Arial"/>
          <w:sz w:val="18"/>
          <w:szCs w:val="18"/>
          <w:lang w:val="el-GR"/>
        </w:rPr>
      </w:pPr>
    </w:p>
    <w:p w14:paraId="79607ED4" w14:textId="77777777" w:rsidR="002E575D" w:rsidRDefault="002E575D" w:rsidP="000E4CB0">
      <w:pPr>
        <w:jc w:val="both"/>
        <w:rPr>
          <w:rFonts w:ascii="Verdana" w:hAnsi="Verdana" w:cs="Arial"/>
          <w:sz w:val="18"/>
          <w:szCs w:val="18"/>
          <w:lang w:val="el-GR"/>
        </w:rPr>
      </w:pPr>
    </w:p>
    <w:p w14:paraId="2A0104DF" w14:textId="77777777" w:rsidR="002E575D" w:rsidRDefault="002E575D" w:rsidP="000E4CB0">
      <w:pPr>
        <w:jc w:val="both"/>
        <w:rPr>
          <w:rFonts w:ascii="Verdana" w:hAnsi="Verdana" w:cs="Arial"/>
          <w:sz w:val="18"/>
          <w:szCs w:val="18"/>
          <w:lang w:val="el-GR"/>
        </w:rPr>
      </w:pPr>
    </w:p>
    <w:p w14:paraId="0BA9E4DA" w14:textId="77777777" w:rsidR="002E575D" w:rsidRDefault="002E575D" w:rsidP="000E4CB0">
      <w:pPr>
        <w:jc w:val="both"/>
        <w:rPr>
          <w:rFonts w:ascii="Verdana" w:hAnsi="Verdana" w:cs="Arial"/>
          <w:sz w:val="18"/>
          <w:szCs w:val="18"/>
          <w:lang w:val="el-GR"/>
        </w:rPr>
      </w:pPr>
    </w:p>
    <w:p w14:paraId="6764ECA1" w14:textId="77777777" w:rsidR="002E575D" w:rsidRDefault="002E575D" w:rsidP="000E4CB0">
      <w:pPr>
        <w:jc w:val="both"/>
        <w:rPr>
          <w:rFonts w:ascii="Verdana" w:hAnsi="Verdana" w:cs="Arial"/>
          <w:sz w:val="18"/>
          <w:szCs w:val="18"/>
          <w:lang w:val="el-GR"/>
        </w:rPr>
      </w:pPr>
    </w:p>
    <w:p w14:paraId="3D143889" w14:textId="77777777" w:rsidR="002E575D" w:rsidRDefault="002E575D" w:rsidP="000E4CB0">
      <w:pPr>
        <w:jc w:val="both"/>
        <w:rPr>
          <w:rFonts w:ascii="Verdana" w:hAnsi="Verdana" w:cs="Arial"/>
          <w:sz w:val="18"/>
          <w:szCs w:val="18"/>
          <w:lang w:val="el-GR"/>
        </w:rPr>
      </w:pPr>
    </w:p>
    <w:p w14:paraId="154702D2" w14:textId="77777777" w:rsidR="002E575D" w:rsidRDefault="002E575D" w:rsidP="000E4CB0">
      <w:pPr>
        <w:jc w:val="both"/>
        <w:rPr>
          <w:rFonts w:ascii="Verdana" w:hAnsi="Verdana" w:cs="Arial"/>
          <w:sz w:val="18"/>
          <w:szCs w:val="18"/>
          <w:lang w:val="el-GR"/>
        </w:rPr>
      </w:pPr>
    </w:p>
    <w:p w14:paraId="2922B2BF" w14:textId="77777777" w:rsidR="002E575D" w:rsidRDefault="002E575D" w:rsidP="000E4CB0">
      <w:pPr>
        <w:jc w:val="both"/>
        <w:rPr>
          <w:rFonts w:ascii="Verdana" w:hAnsi="Verdana" w:cs="Arial"/>
          <w:sz w:val="18"/>
          <w:szCs w:val="18"/>
          <w:lang w:val="el-GR"/>
        </w:rPr>
      </w:pPr>
    </w:p>
    <w:p w14:paraId="556E8027" w14:textId="77777777" w:rsidR="002E575D" w:rsidRDefault="002E575D" w:rsidP="000E4CB0">
      <w:pPr>
        <w:jc w:val="both"/>
        <w:rPr>
          <w:rFonts w:ascii="Verdana" w:hAnsi="Verdana" w:cs="Arial"/>
          <w:sz w:val="18"/>
          <w:szCs w:val="18"/>
          <w:lang w:val="el-GR"/>
        </w:rPr>
      </w:pPr>
    </w:p>
    <w:p w14:paraId="5EE82F82" w14:textId="77777777" w:rsidR="002E575D" w:rsidRDefault="002E575D" w:rsidP="000E4CB0">
      <w:pPr>
        <w:jc w:val="both"/>
        <w:rPr>
          <w:rFonts w:ascii="Verdana" w:hAnsi="Verdana" w:cs="Arial"/>
          <w:sz w:val="18"/>
          <w:szCs w:val="18"/>
          <w:lang w:val="el-GR"/>
        </w:rPr>
      </w:pPr>
    </w:p>
    <w:p w14:paraId="47938A7D" w14:textId="77777777" w:rsidR="002E575D" w:rsidRDefault="002E575D" w:rsidP="000E4CB0">
      <w:pPr>
        <w:jc w:val="both"/>
        <w:rPr>
          <w:rFonts w:ascii="Verdana" w:hAnsi="Verdana" w:cs="Arial"/>
          <w:sz w:val="18"/>
          <w:szCs w:val="18"/>
          <w:lang w:val="el-GR"/>
        </w:rPr>
      </w:pPr>
    </w:p>
    <w:p w14:paraId="39925901" w14:textId="77777777" w:rsidR="002E575D" w:rsidRDefault="002E575D" w:rsidP="000E4CB0">
      <w:pPr>
        <w:jc w:val="both"/>
        <w:rPr>
          <w:rFonts w:ascii="Verdana" w:hAnsi="Verdana" w:cs="Arial"/>
          <w:sz w:val="18"/>
          <w:szCs w:val="18"/>
          <w:lang w:val="el-GR"/>
        </w:rPr>
      </w:pPr>
    </w:p>
    <w:p w14:paraId="0087D5CE" w14:textId="77777777" w:rsidR="002E575D" w:rsidRDefault="002E575D" w:rsidP="000E4CB0">
      <w:pPr>
        <w:jc w:val="both"/>
        <w:rPr>
          <w:rFonts w:ascii="Verdana" w:hAnsi="Verdana" w:cs="Arial"/>
          <w:sz w:val="18"/>
          <w:szCs w:val="18"/>
          <w:lang w:val="el-GR"/>
        </w:rPr>
      </w:pPr>
    </w:p>
    <w:p w14:paraId="1190FDF1" w14:textId="77777777" w:rsidR="002E575D" w:rsidRDefault="002E575D" w:rsidP="000E4CB0">
      <w:pPr>
        <w:jc w:val="both"/>
        <w:rPr>
          <w:rFonts w:ascii="Verdana" w:hAnsi="Verdana" w:cs="Arial"/>
          <w:sz w:val="18"/>
          <w:szCs w:val="18"/>
          <w:lang w:val="el-GR"/>
        </w:rPr>
      </w:pPr>
    </w:p>
    <w:p w14:paraId="5671CD8E" w14:textId="77777777" w:rsidR="002E575D" w:rsidRDefault="002E575D" w:rsidP="000E4CB0">
      <w:pPr>
        <w:jc w:val="both"/>
        <w:rPr>
          <w:rFonts w:ascii="Verdana" w:hAnsi="Verdana" w:cs="Arial"/>
          <w:sz w:val="18"/>
          <w:szCs w:val="18"/>
          <w:lang w:val="el-GR"/>
        </w:rPr>
      </w:pPr>
    </w:p>
    <w:p w14:paraId="5F416314" w14:textId="77777777" w:rsidR="002E575D" w:rsidRDefault="002E575D" w:rsidP="000E4CB0">
      <w:pPr>
        <w:jc w:val="both"/>
        <w:rPr>
          <w:rFonts w:ascii="Verdana" w:hAnsi="Verdana" w:cs="Arial"/>
          <w:sz w:val="18"/>
          <w:szCs w:val="18"/>
          <w:lang w:val="el-GR"/>
        </w:rPr>
      </w:pPr>
    </w:p>
    <w:p w14:paraId="3C0858D8" w14:textId="77777777" w:rsidR="002E575D" w:rsidRDefault="002E575D" w:rsidP="000E4CB0">
      <w:pPr>
        <w:jc w:val="both"/>
        <w:rPr>
          <w:rFonts w:ascii="Verdana" w:hAnsi="Verdana" w:cs="Arial"/>
          <w:sz w:val="18"/>
          <w:szCs w:val="18"/>
          <w:lang w:val="el-GR"/>
        </w:rPr>
      </w:pPr>
    </w:p>
    <w:p w14:paraId="45DEA810" w14:textId="77777777" w:rsidR="00833DCE" w:rsidRDefault="00833DCE" w:rsidP="00833DCE">
      <w:pPr>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09E23599" w14:textId="77777777" w:rsidR="00833DCE" w:rsidRPr="00A93590" w:rsidRDefault="00833DCE" w:rsidP="00A93590">
      <w:pPr>
        <w:jc w:val="both"/>
        <w:rPr>
          <w:rFonts w:ascii="Verdana" w:eastAsia="Malgun Gothic" w:hAnsi="Verdana" w:cs="Arial"/>
          <w:bCs/>
          <w:sz w:val="18"/>
          <w:szCs w:val="18"/>
          <w:lang w:val="el-GR"/>
        </w:rPr>
      </w:pPr>
    </w:p>
    <w:p w14:paraId="462EE282" w14:textId="77777777" w:rsidR="00833DCE" w:rsidRPr="00A93590" w:rsidRDefault="00833DCE" w:rsidP="00833DCE">
      <w:pPr>
        <w:jc w:val="both"/>
        <w:rPr>
          <w:rFonts w:ascii="Verdana" w:eastAsia="Malgun Gothic" w:hAnsi="Verdana" w:cs="Arial"/>
          <w:b/>
          <w:sz w:val="18"/>
          <w:szCs w:val="18"/>
          <w:u w:val="single"/>
          <w:lang w:val="el-GR"/>
        </w:rPr>
      </w:pPr>
    </w:p>
    <w:p w14:paraId="0FB46A59" w14:textId="1B8B0CEE" w:rsidR="00833DCE" w:rsidRPr="00A618CF" w:rsidRDefault="00833DCE" w:rsidP="00833DCE">
      <w:pPr>
        <w:jc w:val="both"/>
        <w:rPr>
          <w:rFonts w:ascii="Verdana" w:eastAsia="Malgun Gothic" w:hAnsi="Verdana" w:cs="Arial"/>
          <w:b/>
          <w:sz w:val="18"/>
          <w:szCs w:val="18"/>
          <w:u w:val="single"/>
          <w:lang w:val="el-GR"/>
        </w:rPr>
      </w:pPr>
      <w:r w:rsidRPr="00A618CF">
        <w:rPr>
          <w:rFonts w:ascii="Verdana" w:eastAsia="Malgun Gothic" w:hAnsi="Verdana" w:cs="Arial"/>
          <w:b/>
          <w:sz w:val="18"/>
          <w:szCs w:val="18"/>
          <w:u w:val="single"/>
          <w:lang w:val="el-GR"/>
        </w:rPr>
        <w:t xml:space="preserve">Κάλυψη </w:t>
      </w:r>
      <w:r w:rsidR="00A93590">
        <w:rPr>
          <w:rFonts w:ascii="Verdana" w:eastAsia="Malgun Gothic" w:hAnsi="Verdana" w:cs="Arial"/>
          <w:b/>
          <w:sz w:val="18"/>
          <w:szCs w:val="18"/>
          <w:u w:val="single"/>
          <w:lang w:val="el-GR"/>
        </w:rPr>
        <w:t>Σ</w:t>
      </w:r>
      <w:r w:rsidRPr="00A618CF">
        <w:rPr>
          <w:rFonts w:ascii="Verdana" w:eastAsia="Malgun Gothic" w:hAnsi="Verdana" w:cs="Arial"/>
          <w:b/>
          <w:sz w:val="18"/>
          <w:szCs w:val="18"/>
          <w:u w:val="single"/>
          <w:lang w:val="el-GR"/>
        </w:rPr>
        <w:t>τοιχείων</w:t>
      </w:r>
    </w:p>
    <w:p w14:paraId="176098FF" w14:textId="77777777" w:rsidR="00833DCE" w:rsidRDefault="00833DCE" w:rsidP="00833DCE">
      <w:pPr>
        <w:jc w:val="both"/>
        <w:rPr>
          <w:rFonts w:ascii="Verdana" w:eastAsia="Malgun Gothic" w:hAnsi="Verdana" w:cs="Arial"/>
          <w:sz w:val="18"/>
          <w:szCs w:val="18"/>
          <w:lang w:val="el-GR"/>
        </w:rPr>
      </w:pPr>
    </w:p>
    <w:p w14:paraId="6FDA3F1B" w14:textId="77777777" w:rsidR="00833DCE" w:rsidRDefault="00833DCE" w:rsidP="00833DCE">
      <w:pPr>
        <w:spacing w:line="276" w:lineRule="auto"/>
        <w:jc w:val="both"/>
        <w:rPr>
          <w:rFonts w:ascii="Verdana" w:eastAsia="Malgun Gothic" w:hAnsi="Verdana" w:cs="Arial"/>
          <w:sz w:val="18"/>
          <w:szCs w:val="18"/>
          <w:lang w:val="el-GR"/>
        </w:rPr>
      </w:pPr>
      <w:r>
        <w:rPr>
          <w:rFonts w:ascii="Verdana" w:eastAsia="Malgun Gothic" w:hAnsi="Verdana" w:cs="Arial"/>
          <w:sz w:val="18"/>
          <w:szCs w:val="18"/>
          <w:lang w:val="el-GR"/>
        </w:rPr>
        <w:t>Στην απασχόληση της Κυβέρνησης περιλαμβάνον</w:t>
      </w:r>
      <w:r w:rsidRPr="0048279A">
        <w:rPr>
          <w:rFonts w:ascii="Verdana" w:eastAsia="Malgun Gothic" w:hAnsi="Verdana" w:cs="Arial"/>
          <w:sz w:val="18"/>
          <w:szCs w:val="18"/>
          <w:lang w:val="el-GR"/>
        </w:rPr>
        <w:t>ται</w:t>
      </w:r>
      <w:r w:rsidRPr="00AC6796">
        <w:rPr>
          <w:rFonts w:ascii="Verdana" w:eastAsia="Malgun Gothic" w:hAnsi="Verdana" w:cs="Arial"/>
          <w:sz w:val="18"/>
          <w:szCs w:val="18"/>
          <w:lang w:val="el-GR"/>
        </w:rPr>
        <w:t>:</w:t>
      </w:r>
      <w:r w:rsidRPr="0048279A">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η </w:t>
      </w:r>
      <w:r w:rsidRPr="0048279A">
        <w:rPr>
          <w:rFonts w:ascii="Verdana" w:eastAsia="Malgun Gothic" w:hAnsi="Verdana" w:cs="Arial"/>
          <w:sz w:val="18"/>
          <w:szCs w:val="18"/>
          <w:lang w:val="el-GR"/>
        </w:rPr>
        <w:t>Δημόσια Υπηρεσία, η Εκπαιδευτική Υπηρεσία,</w:t>
      </w:r>
      <w:r w:rsidRPr="00FB0BA4">
        <w:rPr>
          <w:rFonts w:ascii="Verdana" w:eastAsia="Malgun Gothic" w:hAnsi="Verdana" w:cs="Arial"/>
          <w:sz w:val="18"/>
          <w:szCs w:val="18"/>
          <w:lang w:val="el-GR"/>
        </w:rPr>
        <w:t xml:space="preserve"> </w:t>
      </w:r>
      <w:r w:rsidRPr="006547FB">
        <w:rPr>
          <w:rFonts w:ascii="Verdana" w:eastAsia="Malgun Gothic" w:hAnsi="Verdana" w:cs="Arial"/>
          <w:sz w:val="18"/>
          <w:szCs w:val="18"/>
          <w:lang w:val="el-GR"/>
        </w:rPr>
        <w:t>οι Δυνάμεις Ασφαλείας</w:t>
      </w:r>
      <w:r w:rsidRPr="0048279A">
        <w:rPr>
          <w:rFonts w:ascii="Verdana" w:eastAsia="Malgun Gothic" w:hAnsi="Verdana" w:cs="Arial"/>
          <w:sz w:val="18"/>
          <w:szCs w:val="18"/>
          <w:lang w:val="el-GR"/>
        </w:rPr>
        <w:t xml:space="preserve"> </w:t>
      </w:r>
      <w:r>
        <w:rPr>
          <w:rFonts w:ascii="Verdana" w:eastAsia="Malgun Gothic" w:hAnsi="Verdana" w:cs="Arial"/>
          <w:sz w:val="18"/>
          <w:szCs w:val="18"/>
          <w:lang w:val="el-GR"/>
        </w:rPr>
        <w:t>και</w:t>
      </w:r>
      <w:r w:rsidRPr="006547FB">
        <w:rPr>
          <w:rFonts w:ascii="Verdana" w:eastAsia="Malgun Gothic" w:hAnsi="Verdana" w:cs="Arial"/>
          <w:sz w:val="18"/>
          <w:szCs w:val="18"/>
          <w:lang w:val="el-GR"/>
        </w:rPr>
        <w:t xml:space="preserve"> οι </w:t>
      </w:r>
      <w:r>
        <w:rPr>
          <w:rFonts w:ascii="Verdana" w:eastAsia="Malgun Gothic" w:hAnsi="Verdana" w:cs="Arial"/>
          <w:sz w:val="18"/>
          <w:szCs w:val="18"/>
          <w:lang w:val="el-GR"/>
        </w:rPr>
        <w:t>Ω</w:t>
      </w:r>
      <w:r w:rsidRPr="006547FB">
        <w:rPr>
          <w:rFonts w:ascii="Verdana" w:eastAsia="Malgun Gothic" w:hAnsi="Verdana" w:cs="Arial"/>
          <w:sz w:val="18"/>
          <w:szCs w:val="18"/>
          <w:lang w:val="el-GR"/>
        </w:rPr>
        <w:t>ρο</w:t>
      </w:r>
      <w:r>
        <w:rPr>
          <w:rFonts w:ascii="Verdana" w:eastAsia="Malgun Gothic" w:hAnsi="Verdana" w:cs="Arial"/>
          <w:sz w:val="18"/>
          <w:szCs w:val="18"/>
          <w:lang w:val="el-GR"/>
        </w:rPr>
        <w:t>μίσθιοι Κυβερνητικοί Εργάτες</w:t>
      </w:r>
      <w:r w:rsidRPr="006547FB">
        <w:rPr>
          <w:rFonts w:ascii="Verdana" w:eastAsia="Malgun Gothic" w:hAnsi="Verdana" w:cs="Arial"/>
          <w:sz w:val="18"/>
          <w:szCs w:val="18"/>
          <w:lang w:val="el-GR"/>
        </w:rPr>
        <w:t>.</w:t>
      </w:r>
      <w:r>
        <w:rPr>
          <w:rFonts w:ascii="Verdana" w:eastAsia="Malgun Gothic" w:hAnsi="Verdana" w:cs="Arial"/>
          <w:sz w:val="18"/>
          <w:szCs w:val="18"/>
          <w:lang w:val="el-GR"/>
        </w:rPr>
        <w:t xml:space="preserve"> Στη Δημόσια Υπηρεσία περιλαμβάνονται οι μόνιμοι και έκτακτοι υπάλληλοι των Υπουργείων, Τμημάτων και Υπηρεσιών.</w:t>
      </w:r>
      <w:r w:rsidRPr="002A223A">
        <w:rPr>
          <w:rFonts w:ascii="Verdana" w:eastAsia="Malgun Gothic" w:hAnsi="Verdana" w:cs="Arial"/>
          <w:sz w:val="18"/>
          <w:szCs w:val="18"/>
          <w:lang w:val="el-GR"/>
        </w:rPr>
        <w:t xml:space="preserve"> </w:t>
      </w:r>
      <w:r>
        <w:rPr>
          <w:rFonts w:ascii="Verdana" w:eastAsia="Malgun Gothic" w:hAnsi="Verdana" w:cs="Arial"/>
          <w:sz w:val="18"/>
          <w:szCs w:val="18"/>
          <w:lang w:val="el-GR"/>
        </w:rPr>
        <w:t>Στην Εκπαιδευτική Υπηρεσία περιλαμβάνεται το μόνιμο και έκτακτο εκπαιδευτικό προσωπικό που υπηρετεί στις σχολικές μονάδες καθώς και το προσωπικό του Κέντρου Παραγωγικότητας και του Ανώτερου Ξενοδοχειακού Ινστιτούτου. Στις Δυνάμεις Ασφαλείας περιλαμβάνονται</w:t>
      </w:r>
      <w:r w:rsidRPr="00AC6796">
        <w:rPr>
          <w:rFonts w:ascii="Verdana" w:eastAsia="Malgun Gothic" w:hAnsi="Verdana" w:cs="Arial"/>
          <w:sz w:val="18"/>
          <w:szCs w:val="18"/>
          <w:lang w:val="el-GR"/>
        </w:rPr>
        <w:t>:</w:t>
      </w:r>
      <w:r>
        <w:rPr>
          <w:rFonts w:ascii="Verdana" w:eastAsia="Malgun Gothic" w:hAnsi="Verdana" w:cs="Arial"/>
          <w:sz w:val="18"/>
          <w:szCs w:val="18"/>
          <w:lang w:val="el-GR"/>
        </w:rPr>
        <w:t xml:space="preserve"> η Αστυνομία,</w:t>
      </w:r>
      <w:r w:rsidRPr="006547FB">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η </w:t>
      </w:r>
      <w:r w:rsidRPr="006547FB">
        <w:rPr>
          <w:rFonts w:ascii="Verdana" w:eastAsia="Malgun Gothic" w:hAnsi="Verdana" w:cs="Arial"/>
          <w:sz w:val="18"/>
          <w:szCs w:val="18"/>
          <w:lang w:val="el-GR"/>
        </w:rPr>
        <w:t>Πυροσβεστική Υπηρεσία</w:t>
      </w:r>
      <w:r>
        <w:rPr>
          <w:rFonts w:ascii="Verdana" w:eastAsia="Malgun Gothic" w:hAnsi="Verdana" w:cs="Arial"/>
          <w:sz w:val="18"/>
          <w:szCs w:val="18"/>
          <w:lang w:val="el-GR"/>
        </w:rPr>
        <w:t xml:space="preserve"> και η Εθνική Φρουρά. Στο Ωρομίσθιο Προσωπικό περιλαμβάνονται τακτικοί, έκτακτοι και εποχικοί υπάλληλοι.</w:t>
      </w:r>
    </w:p>
    <w:p w14:paraId="22B3F229" w14:textId="77777777" w:rsidR="00833DCE" w:rsidRPr="00833DCE" w:rsidRDefault="00833DCE" w:rsidP="00833DCE">
      <w:pPr>
        <w:spacing w:line="276" w:lineRule="auto"/>
        <w:jc w:val="both"/>
        <w:rPr>
          <w:rFonts w:ascii="Verdana" w:eastAsia="Malgun Gothic" w:hAnsi="Verdana" w:cs="Arial"/>
          <w:sz w:val="18"/>
          <w:szCs w:val="18"/>
          <w:lang w:val="el-GR"/>
        </w:rPr>
      </w:pPr>
    </w:p>
    <w:p w14:paraId="6C5DD267" w14:textId="77777777" w:rsidR="00833DCE" w:rsidRPr="002A223A" w:rsidRDefault="00833DCE" w:rsidP="00833DCE">
      <w:pPr>
        <w:spacing w:line="276" w:lineRule="auto"/>
        <w:jc w:val="both"/>
        <w:rPr>
          <w:rFonts w:ascii="Verdana" w:eastAsia="Malgun Gothic" w:hAnsi="Verdana" w:cs="Arial"/>
          <w:color w:val="FF0000"/>
          <w:sz w:val="18"/>
          <w:szCs w:val="18"/>
          <w:lang w:val="el-GR"/>
        </w:rPr>
      </w:pPr>
      <w:r>
        <w:rPr>
          <w:rFonts w:ascii="Verdana" w:eastAsia="Malgun Gothic" w:hAnsi="Verdana" w:cs="Arial"/>
          <w:sz w:val="18"/>
          <w:szCs w:val="18"/>
          <w:lang w:val="el-GR"/>
        </w:rPr>
        <w:t>Στα στοιχεία δεν περιλαμβάνονται τα Μέλη της Βουλής των Αντιπροσώπων (Βουλευτές και Εκπρόσωποι Θρησκευτικών Ομάδων).</w:t>
      </w:r>
    </w:p>
    <w:p w14:paraId="665DAC81" w14:textId="77777777" w:rsidR="00833DCE" w:rsidRPr="00C004DE" w:rsidRDefault="00833DCE" w:rsidP="00833DCE">
      <w:pPr>
        <w:jc w:val="both"/>
        <w:rPr>
          <w:rFonts w:ascii="Verdana" w:eastAsia="Malgun Gothic" w:hAnsi="Verdana" w:cs="Arial"/>
          <w:color w:val="FF0000"/>
          <w:sz w:val="18"/>
          <w:szCs w:val="18"/>
          <w:lang w:val="el-GR"/>
        </w:rPr>
      </w:pPr>
    </w:p>
    <w:p w14:paraId="32AFD111" w14:textId="77777777" w:rsidR="00833DCE" w:rsidRDefault="00833DCE" w:rsidP="00833DCE">
      <w:pPr>
        <w:jc w:val="both"/>
        <w:rPr>
          <w:rFonts w:ascii="Verdana" w:eastAsia="Malgun Gothic" w:hAnsi="Verdana" w:cs="Arial"/>
          <w:sz w:val="18"/>
          <w:szCs w:val="18"/>
          <w:lang w:val="el-GR"/>
        </w:rPr>
      </w:pPr>
    </w:p>
    <w:p w14:paraId="1DF44ADA" w14:textId="676D88C7" w:rsidR="00833DCE" w:rsidRPr="00A618CF" w:rsidRDefault="00833DCE" w:rsidP="00833DCE">
      <w:pPr>
        <w:jc w:val="both"/>
        <w:rPr>
          <w:rFonts w:ascii="Verdana" w:eastAsia="Malgun Gothic" w:hAnsi="Verdana" w:cs="Arial"/>
          <w:b/>
          <w:sz w:val="18"/>
          <w:szCs w:val="18"/>
          <w:u w:val="single"/>
          <w:lang w:val="el-GR"/>
        </w:rPr>
      </w:pPr>
      <w:r>
        <w:rPr>
          <w:rFonts w:ascii="Verdana" w:eastAsia="Malgun Gothic" w:hAnsi="Verdana" w:cs="Arial"/>
          <w:b/>
          <w:sz w:val="18"/>
          <w:szCs w:val="18"/>
          <w:u w:val="single"/>
          <w:lang w:val="el-GR"/>
        </w:rPr>
        <w:t>Πηγή</w:t>
      </w:r>
      <w:r w:rsidRPr="00A618CF">
        <w:rPr>
          <w:rFonts w:ascii="Verdana" w:eastAsia="Malgun Gothic" w:hAnsi="Verdana" w:cs="Arial"/>
          <w:b/>
          <w:sz w:val="18"/>
          <w:szCs w:val="18"/>
          <w:u w:val="single"/>
          <w:lang w:val="el-GR"/>
        </w:rPr>
        <w:t xml:space="preserve"> </w:t>
      </w:r>
      <w:r w:rsidR="00A93590">
        <w:rPr>
          <w:rFonts w:ascii="Verdana" w:eastAsia="Malgun Gothic" w:hAnsi="Verdana" w:cs="Arial"/>
          <w:b/>
          <w:sz w:val="18"/>
          <w:szCs w:val="18"/>
          <w:u w:val="single"/>
          <w:lang w:val="el-GR"/>
        </w:rPr>
        <w:t>Σ</w:t>
      </w:r>
      <w:r w:rsidRPr="00A618CF">
        <w:rPr>
          <w:rFonts w:ascii="Verdana" w:eastAsia="Malgun Gothic" w:hAnsi="Verdana" w:cs="Arial"/>
          <w:b/>
          <w:sz w:val="18"/>
          <w:szCs w:val="18"/>
          <w:u w:val="single"/>
          <w:lang w:val="el-GR"/>
        </w:rPr>
        <w:t>τοιχείων</w:t>
      </w:r>
    </w:p>
    <w:p w14:paraId="3FE84039" w14:textId="77777777" w:rsidR="00833DCE" w:rsidRDefault="00833DCE" w:rsidP="00833DCE">
      <w:pPr>
        <w:jc w:val="both"/>
        <w:rPr>
          <w:rFonts w:ascii="Verdana" w:eastAsia="Malgun Gothic" w:hAnsi="Verdana" w:cs="Arial"/>
          <w:sz w:val="18"/>
          <w:szCs w:val="18"/>
          <w:lang w:val="el-GR"/>
        </w:rPr>
      </w:pPr>
    </w:p>
    <w:p w14:paraId="4BF498EF" w14:textId="77777777" w:rsidR="00833DCE" w:rsidRDefault="00833DCE" w:rsidP="00833DCE">
      <w:pPr>
        <w:spacing w:line="276" w:lineRule="auto"/>
        <w:jc w:val="both"/>
        <w:rPr>
          <w:rFonts w:ascii="Verdana" w:eastAsia="Malgun Gothic" w:hAnsi="Verdana" w:cs="Arial"/>
          <w:sz w:val="18"/>
          <w:szCs w:val="18"/>
          <w:lang w:val="el-GR"/>
        </w:rPr>
      </w:pPr>
      <w:r w:rsidRPr="006547FB">
        <w:rPr>
          <w:rFonts w:ascii="Verdana" w:eastAsia="Malgun Gothic" w:hAnsi="Verdana" w:cs="Arial"/>
          <w:sz w:val="18"/>
          <w:szCs w:val="18"/>
          <w:lang w:val="el-GR"/>
        </w:rPr>
        <w:t xml:space="preserve">Πηγή των στοιχείων </w:t>
      </w:r>
      <w:r>
        <w:rPr>
          <w:rFonts w:ascii="Verdana" w:eastAsia="Malgun Gothic" w:hAnsi="Verdana" w:cs="Arial"/>
          <w:sz w:val="18"/>
          <w:szCs w:val="18"/>
          <w:lang w:val="el-GR"/>
        </w:rPr>
        <w:t>για την απασχόληση στην</w:t>
      </w:r>
      <w:r w:rsidRPr="006547FB">
        <w:rPr>
          <w:rFonts w:ascii="Verdana" w:eastAsia="Malgun Gothic" w:hAnsi="Verdana" w:cs="Arial"/>
          <w:sz w:val="18"/>
          <w:szCs w:val="18"/>
          <w:lang w:val="el-GR"/>
        </w:rPr>
        <w:t xml:space="preserve"> Κυβέρνηση είναι το Γενικό Λογιστήριο</w:t>
      </w:r>
      <w:r>
        <w:rPr>
          <w:rFonts w:ascii="Verdana" w:eastAsia="Malgun Gothic" w:hAnsi="Verdana" w:cs="Arial"/>
          <w:sz w:val="18"/>
          <w:szCs w:val="18"/>
          <w:lang w:val="el-GR"/>
        </w:rPr>
        <w:t xml:space="preserve"> της Δημοκρατίας. Τα στοιχεία αφορούν σε </w:t>
      </w:r>
      <w:r w:rsidRPr="006547FB">
        <w:rPr>
          <w:rFonts w:ascii="Verdana" w:eastAsia="Malgun Gothic" w:hAnsi="Verdana" w:cs="Arial"/>
          <w:sz w:val="18"/>
          <w:szCs w:val="18"/>
          <w:lang w:val="el-GR"/>
        </w:rPr>
        <w:t xml:space="preserve">άτομα </w:t>
      </w:r>
      <w:r>
        <w:rPr>
          <w:rFonts w:ascii="Verdana" w:eastAsia="Malgun Gothic" w:hAnsi="Verdana" w:cs="Arial"/>
          <w:sz w:val="18"/>
          <w:szCs w:val="18"/>
          <w:lang w:val="el-GR"/>
        </w:rPr>
        <w:t>τα οποία πληρώθηκαν τον συγκεκριμένο μήνα ανεξαρτήτως της περιόδου και της διάρκειας απασχόλησης</w:t>
      </w:r>
      <w:r w:rsidRPr="006547FB">
        <w:rPr>
          <w:rFonts w:ascii="Verdana" w:eastAsia="Malgun Gothic" w:hAnsi="Verdana" w:cs="Arial"/>
          <w:sz w:val="18"/>
          <w:szCs w:val="18"/>
          <w:lang w:val="el-GR"/>
        </w:rPr>
        <w:t>.</w:t>
      </w:r>
    </w:p>
    <w:p w14:paraId="5236FDBE" w14:textId="77777777" w:rsidR="00833DCE" w:rsidRDefault="00833DCE" w:rsidP="00833DCE">
      <w:pPr>
        <w:jc w:val="both"/>
        <w:rPr>
          <w:rFonts w:ascii="Verdana" w:eastAsia="Malgun Gothic" w:hAnsi="Verdana" w:cs="Arial"/>
          <w:sz w:val="18"/>
          <w:szCs w:val="18"/>
          <w:lang w:val="el-GR"/>
        </w:rPr>
      </w:pPr>
    </w:p>
    <w:p w14:paraId="22B142E9" w14:textId="77777777" w:rsidR="00833DCE" w:rsidRPr="002D7D4A" w:rsidRDefault="00833DCE" w:rsidP="00833DCE">
      <w:pPr>
        <w:jc w:val="both"/>
        <w:rPr>
          <w:rFonts w:ascii="Verdana" w:eastAsia="Malgun Gothic" w:hAnsi="Verdana" w:cs="Arial"/>
          <w:sz w:val="18"/>
          <w:szCs w:val="18"/>
          <w:lang w:val="el-GR"/>
        </w:rPr>
      </w:pPr>
    </w:p>
    <w:p w14:paraId="05609E45" w14:textId="77777777" w:rsidR="00833DCE" w:rsidRDefault="00833DCE" w:rsidP="00833DCE">
      <w:pPr>
        <w:rPr>
          <w:rFonts w:ascii="Verdana" w:hAnsi="Verdana"/>
          <w:i/>
          <w:iCs/>
          <w:sz w:val="18"/>
          <w:szCs w:val="18"/>
          <w:lang w:val="el-GR"/>
        </w:rPr>
      </w:pPr>
      <w:r>
        <w:rPr>
          <w:rFonts w:ascii="Verdana" w:hAnsi="Verdana"/>
          <w:b/>
          <w:bCs/>
          <w:i/>
          <w:iCs/>
          <w:sz w:val="18"/>
          <w:szCs w:val="18"/>
          <w:lang w:val="el-GR"/>
        </w:rPr>
        <w:t>Για περισσότερες πληροφορίες:</w:t>
      </w:r>
      <w:r>
        <w:rPr>
          <w:rFonts w:ascii="Verdana" w:hAnsi="Verdana"/>
          <w:i/>
          <w:iCs/>
          <w:sz w:val="18"/>
          <w:szCs w:val="18"/>
          <w:lang w:val="el-GR"/>
        </w:rPr>
        <w:t xml:space="preserve"> </w:t>
      </w:r>
    </w:p>
    <w:p w14:paraId="66A46454" w14:textId="77777777" w:rsidR="00833DCE" w:rsidRDefault="00833DCE" w:rsidP="00833DCE">
      <w:pPr>
        <w:rPr>
          <w:rFonts w:ascii="Verdana" w:hAnsi="Verdana"/>
          <w:sz w:val="18"/>
          <w:szCs w:val="18"/>
          <w:lang w:val="el-GR"/>
        </w:rPr>
      </w:pPr>
      <w:r>
        <w:rPr>
          <w:rFonts w:ascii="Verdana" w:hAnsi="Verdana"/>
          <w:sz w:val="18"/>
          <w:szCs w:val="18"/>
          <w:lang w:val="el-GR"/>
        </w:rPr>
        <w:t xml:space="preserve">Πύλη Στατιστικής Υπηρεσίας, υπόθεμα </w:t>
      </w:r>
      <w:hyperlink r:id="rId9" w:history="1">
        <w:r>
          <w:rPr>
            <w:rStyle w:val="Hyperlink"/>
            <w:rFonts w:ascii="Verdana" w:hAnsi="Verdana"/>
            <w:sz w:val="18"/>
            <w:szCs w:val="18"/>
            <w:lang w:val="el-GR"/>
          </w:rPr>
          <w:t>Αγορά Εργασίας</w:t>
        </w:r>
      </w:hyperlink>
    </w:p>
    <w:p w14:paraId="4BA9CB3F" w14:textId="77777777" w:rsidR="00833DCE" w:rsidRDefault="00000000" w:rsidP="00833DCE">
      <w:pPr>
        <w:rPr>
          <w:rFonts w:ascii="Verdana" w:hAnsi="Verdana"/>
          <w:sz w:val="18"/>
          <w:szCs w:val="18"/>
          <w:lang w:val="el-GR"/>
        </w:rPr>
      </w:pPr>
      <w:hyperlink r:id="rId10" w:history="1">
        <w:r w:rsidR="00833DCE">
          <w:rPr>
            <w:rStyle w:val="Hyperlink"/>
            <w:rFonts w:ascii="Verdana" w:hAnsi="Verdana"/>
            <w:sz w:val="18"/>
            <w:szCs w:val="18"/>
          </w:rPr>
          <w:t>CYSTAT</w:t>
        </w:r>
        <w:r w:rsidR="00833DCE">
          <w:rPr>
            <w:rStyle w:val="Hyperlink"/>
            <w:rFonts w:ascii="Verdana" w:hAnsi="Verdana"/>
            <w:sz w:val="18"/>
            <w:szCs w:val="18"/>
            <w:lang w:val="el-GR"/>
          </w:rPr>
          <w:t>-</w:t>
        </w:r>
        <w:r w:rsidR="00833DCE">
          <w:rPr>
            <w:rStyle w:val="Hyperlink"/>
            <w:rFonts w:ascii="Verdana" w:hAnsi="Verdana"/>
            <w:sz w:val="18"/>
            <w:szCs w:val="18"/>
          </w:rPr>
          <w:t>DB</w:t>
        </w:r>
      </w:hyperlink>
      <w:r w:rsidR="00833DCE">
        <w:rPr>
          <w:rFonts w:ascii="Verdana" w:hAnsi="Verdana"/>
          <w:sz w:val="18"/>
          <w:szCs w:val="18"/>
          <w:lang w:val="el-GR"/>
        </w:rPr>
        <w:t xml:space="preserve"> (Βάση Δεδομένων)</w:t>
      </w:r>
    </w:p>
    <w:p w14:paraId="4BE71CD5" w14:textId="77777777" w:rsidR="00833DCE" w:rsidRDefault="00000000" w:rsidP="00833DCE">
      <w:pPr>
        <w:rPr>
          <w:rFonts w:ascii="Verdana" w:hAnsi="Verdana"/>
          <w:sz w:val="18"/>
          <w:szCs w:val="18"/>
          <w:lang w:val="el-GR"/>
        </w:rPr>
      </w:pPr>
      <w:hyperlink r:id="rId11" w:history="1">
        <w:r w:rsidR="00833DCE">
          <w:rPr>
            <w:rStyle w:val="Hyperlink"/>
            <w:rFonts w:ascii="Verdana" w:hAnsi="Verdana"/>
            <w:sz w:val="18"/>
            <w:szCs w:val="18"/>
            <w:lang w:val="el-GR"/>
          </w:rPr>
          <w:t>Προκαθορισμένοι Πίνακες</w:t>
        </w:r>
      </w:hyperlink>
      <w:r w:rsidR="00833DCE">
        <w:rPr>
          <w:rFonts w:ascii="Verdana" w:hAnsi="Verdana"/>
          <w:sz w:val="18"/>
          <w:szCs w:val="18"/>
          <w:lang w:val="el-GR"/>
        </w:rPr>
        <w:t xml:space="preserve"> (</w:t>
      </w:r>
      <w:r w:rsidR="00833DCE">
        <w:rPr>
          <w:rFonts w:ascii="Verdana" w:hAnsi="Verdana"/>
          <w:sz w:val="18"/>
          <w:szCs w:val="18"/>
        </w:rPr>
        <w:t>Excel</w:t>
      </w:r>
      <w:r w:rsidR="00833DCE">
        <w:rPr>
          <w:rFonts w:ascii="Verdana" w:hAnsi="Verdana"/>
          <w:sz w:val="18"/>
          <w:szCs w:val="18"/>
          <w:lang w:val="el-GR"/>
        </w:rPr>
        <w:t>)</w:t>
      </w:r>
    </w:p>
    <w:p w14:paraId="7C49F543" w14:textId="427E5C6E" w:rsidR="00833DCE" w:rsidRDefault="00000000" w:rsidP="00833DCE">
      <w:pPr>
        <w:rPr>
          <w:rFonts w:ascii="Verdana" w:hAnsi="Verdana"/>
          <w:sz w:val="18"/>
          <w:szCs w:val="18"/>
          <w:lang w:val="el-GR"/>
        </w:rPr>
      </w:pPr>
      <w:hyperlink r:id="rId12" w:history="1">
        <w:r w:rsidR="00833DCE" w:rsidRPr="00CB1F4A">
          <w:rPr>
            <w:rStyle w:val="Hyperlink"/>
            <w:rFonts w:ascii="Verdana" w:hAnsi="Verdana"/>
            <w:sz w:val="18"/>
            <w:szCs w:val="18"/>
            <w:lang w:val="el-GR"/>
          </w:rPr>
          <w:t>Μεθοδολογικές Πληροφορίες</w:t>
        </w:r>
      </w:hyperlink>
    </w:p>
    <w:p w14:paraId="569B9FF0" w14:textId="77777777" w:rsidR="00833DCE" w:rsidRDefault="00833DCE" w:rsidP="00833DCE">
      <w:pPr>
        <w:jc w:val="both"/>
        <w:rPr>
          <w:rFonts w:ascii="Verdana" w:hAnsi="Verdana"/>
          <w:b/>
          <w:bCs/>
          <w:sz w:val="18"/>
          <w:szCs w:val="18"/>
          <w:lang w:val="el-GR"/>
        </w:rPr>
      </w:pPr>
    </w:p>
    <w:p w14:paraId="2B539CA5" w14:textId="77777777" w:rsidR="00833DCE" w:rsidRPr="00183CB4" w:rsidRDefault="00833DCE" w:rsidP="00833DCE">
      <w:pPr>
        <w:jc w:val="both"/>
        <w:rPr>
          <w:rFonts w:ascii="Verdana" w:hAnsi="Verdana"/>
          <w:b/>
          <w:bCs/>
          <w:sz w:val="18"/>
          <w:szCs w:val="18"/>
          <w:lang w:val="el-GR"/>
        </w:rPr>
      </w:pPr>
      <w:r w:rsidRPr="00183CB4">
        <w:rPr>
          <w:rFonts w:ascii="Verdana" w:hAnsi="Verdana"/>
          <w:b/>
          <w:bCs/>
          <w:sz w:val="18"/>
          <w:szCs w:val="18"/>
          <w:lang w:val="el-GR"/>
        </w:rPr>
        <w:t xml:space="preserve">Οι </w:t>
      </w:r>
      <w:r w:rsidRPr="006E46DF">
        <w:rPr>
          <w:rFonts w:ascii="Verdana" w:hAnsi="Verdana"/>
          <w:b/>
          <w:bCs/>
          <w:sz w:val="18"/>
          <w:szCs w:val="18"/>
          <w:u w:val="single"/>
          <w:lang w:val="el-GR"/>
        </w:rPr>
        <w:t>Προκαθορισμένοι Πίνακες</w:t>
      </w:r>
      <w:r w:rsidRPr="006E46DF">
        <w:rPr>
          <w:rFonts w:ascii="Verdana" w:hAnsi="Verdana"/>
          <w:b/>
          <w:bCs/>
          <w:sz w:val="18"/>
          <w:szCs w:val="18"/>
          <w:lang w:val="el-GR"/>
        </w:rPr>
        <w:t xml:space="preserve"> σε μορφή</w:t>
      </w:r>
      <w:r w:rsidRPr="00183CB4">
        <w:rPr>
          <w:rFonts w:ascii="Verdana" w:hAnsi="Verdana"/>
          <w:b/>
          <w:bCs/>
          <w:sz w:val="18"/>
          <w:szCs w:val="18"/>
          <w:lang w:val="el-GR"/>
        </w:rPr>
        <w:t xml:space="preserve"> </w:t>
      </w:r>
      <w:r>
        <w:rPr>
          <w:rFonts w:ascii="Verdana" w:hAnsi="Verdana"/>
          <w:b/>
          <w:bCs/>
          <w:sz w:val="18"/>
          <w:szCs w:val="18"/>
        </w:rPr>
        <w:t>Excel</w:t>
      </w:r>
      <w:r w:rsidRPr="00183CB4">
        <w:rPr>
          <w:rFonts w:ascii="Verdana" w:hAnsi="Verdana"/>
          <w:b/>
          <w:bCs/>
          <w:sz w:val="18"/>
          <w:szCs w:val="18"/>
          <w:lang w:val="el-GR"/>
        </w:rPr>
        <w:t xml:space="preserve"> περιλαμβάνουν στοιχεία μέχρι και τον Δεκέμβριο του 2021. Για τα στοιχεία από τον Ιανουάριο 2022 και μετά η ενημέρωση γίνεται μόνο στη Βάση Δεδομένων </w:t>
      </w:r>
      <w:r>
        <w:rPr>
          <w:rFonts w:ascii="Verdana" w:hAnsi="Verdana"/>
          <w:b/>
          <w:bCs/>
          <w:sz w:val="18"/>
          <w:szCs w:val="18"/>
        </w:rPr>
        <w:t>CYSTAT</w:t>
      </w:r>
      <w:r w:rsidRPr="00183CB4">
        <w:rPr>
          <w:rFonts w:ascii="Verdana" w:hAnsi="Verdana"/>
          <w:b/>
          <w:bCs/>
          <w:sz w:val="18"/>
          <w:szCs w:val="18"/>
          <w:lang w:val="el-GR"/>
        </w:rPr>
        <w:t>-</w:t>
      </w:r>
      <w:r>
        <w:rPr>
          <w:rFonts w:ascii="Verdana" w:hAnsi="Verdana"/>
          <w:b/>
          <w:bCs/>
          <w:sz w:val="18"/>
          <w:szCs w:val="18"/>
        </w:rPr>
        <w:t>DB</w:t>
      </w:r>
      <w:r w:rsidRPr="00183CB4">
        <w:rPr>
          <w:rFonts w:ascii="Verdana" w:hAnsi="Verdana"/>
          <w:b/>
          <w:bCs/>
          <w:sz w:val="18"/>
          <w:szCs w:val="18"/>
          <w:lang w:val="el-GR"/>
        </w:rPr>
        <w:t>.</w:t>
      </w:r>
    </w:p>
    <w:p w14:paraId="2C9782CC" w14:textId="77777777" w:rsidR="00833DCE" w:rsidRPr="005A08B1" w:rsidRDefault="00833DCE" w:rsidP="00833DCE">
      <w:pPr>
        <w:ind w:right="-79"/>
        <w:jc w:val="both"/>
        <w:rPr>
          <w:rFonts w:ascii="Verdana" w:eastAsia="Malgun Gothic" w:hAnsi="Verdana" w:cs="Arial"/>
          <w:sz w:val="18"/>
          <w:szCs w:val="18"/>
          <w:lang w:val="el-GR"/>
        </w:rPr>
      </w:pPr>
    </w:p>
    <w:p w14:paraId="4B819F0E" w14:textId="77777777" w:rsidR="00833DCE" w:rsidRPr="00D50BB4" w:rsidRDefault="00833DCE" w:rsidP="00833DCE">
      <w:pPr>
        <w:ind w:right="-79"/>
        <w:jc w:val="both"/>
        <w:rPr>
          <w:rFonts w:ascii="Verdana" w:hAnsi="Verdana"/>
          <w:sz w:val="18"/>
          <w:szCs w:val="18"/>
          <w:lang w:val="el-GR"/>
        </w:rPr>
      </w:pPr>
      <w:r w:rsidRPr="00C53F95">
        <w:rPr>
          <w:rFonts w:ascii="Verdana" w:hAnsi="Verdana"/>
          <w:i/>
          <w:sz w:val="18"/>
          <w:szCs w:val="18"/>
          <w:u w:val="single"/>
          <w:lang w:val="el-GR"/>
        </w:rPr>
        <w:t>Επικοινωνία</w:t>
      </w:r>
      <w:r>
        <w:rPr>
          <w:rFonts w:ascii="Verdana" w:hAnsi="Verdana"/>
          <w:sz w:val="18"/>
          <w:szCs w:val="18"/>
          <w:lang w:val="el-GR"/>
        </w:rPr>
        <w:t xml:space="preserve"> </w:t>
      </w:r>
    </w:p>
    <w:p w14:paraId="46BFB8D9" w14:textId="77777777" w:rsidR="00833DCE" w:rsidRPr="009C4938" w:rsidRDefault="00833DCE" w:rsidP="00833DCE">
      <w:pPr>
        <w:ind w:right="-79"/>
        <w:jc w:val="both"/>
        <w:rPr>
          <w:rFonts w:ascii="Verdana" w:eastAsia="Malgun Gothic" w:hAnsi="Verdana" w:cs="Arial"/>
          <w:sz w:val="18"/>
          <w:szCs w:val="18"/>
          <w:lang w:val="el-GR"/>
        </w:rPr>
      </w:pPr>
      <w:r>
        <w:rPr>
          <w:rFonts w:ascii="Verdana" w:eastAsia="Malgun Gothic" w:hAnsi="Verdana" w:cs="Arial"/>
          <w:sz w:val="18"/>
          <w:szCs w:val="18"/>
          <w:lang w:val="el-GR"/>
        </w:rPr>
        <w:t>Μαρία Κκουσιή</w:t>
      </w:r>
      <w:r w:rsidRPr="00780A62">
        <w:rPr>
          <w:rFonts w:ascii="Verdana" w:eastAsia="Malgun Gothic" w:hAnsi="Verdana" w:cs="Arial"/>
          <w:sz w:val="18"/>
          <w:szCs w:val="18"/>
          <w:lang w:val="el-GR"/>
        </w:rPr>
        <w:t>: Τηλ:+357</w:t>
      </w:r>
      <w:r>
        <w:rPr>
          <w:rFonts w:ascii="Verdana" w:eastAsia="Malgun Gothic" w:hAnsi="Verdana" w:cs="Arial"/>
          <w:sz w:val="18"/>
          <w:szCs w:val="18"/>
          <w:lang w:val="el-GR"/>
        </w:rPr>
        <w:t>-</w:t>
      </w:r>
      <w:r w:rsidRPr="00780A62">
        <w:rPr>
          <w:rFonts w:ascii="Verdana" w:eastAsia="Malgun Gothic" w:hAnsi="Verdana" w:cs="Arial"/>
          <w:sz w:val="18"/>
          <w:szCs w:val="18"/>
          <w:lang w:val="el-GR"/>
        </w:rPr>
        <w:t>22602</w:t>
      </w:r>
      <w:r w:rsidRPr="001011A3">
        <w:rPr>
          <w:rFonts w:ascii="Verdana" w:eastAsia="Malgun Gothic" w:hAnsi="Verdana" w:cs="Arial"/>
          <w:sz w:val="18"/>
          <w:szCs w:val="18"/>
          <w:lang w:val="el-GR"/>
        </w:rPr>
        <w:t>2</w:t>
      </w:r>
      <w:r>
        <w:rPr>
          <w:rFonts w:ascii="Verdana" w:eastAsia="Malgun Gothic" w:hAnsi="Verdana" w:cs="Arial"/>
          <w:sz w:val="18"/>
          <w:szCs w:val="18"/>
          <w:lang w:val="el-GR"/>
        </w:rPr>
        <w:t>35</w:t>
      </w:r>
      <w:r w:rsidRPr="00780A62">
        <w:rPr>
          <w:rFonts w:ascii="Verdana" w:eastAsia="Malgun Gothic" w:hAnsi="Verdana" w:cs="Arial"/>
          <w:sz w:val="18"/>
          <w:szCs w:val="18"/>
          <w:lang w:val="el-GR"/>
        </w:rPr>
        <w:t xml:space="preserve">, Ηλ. </w:t>
      </w:r>
      <w:proofErr w:type="spellStart"/>
      <w:r w:rsidRPr="00780A62">
        <w:rPr>
          <w:rFonts w:ascii="Verdana" w:eastAsia="Malgun Gothic" w:hAnsi="Verdana" w:cs="Arial"/>
          <w:sz w:val="18"/>
          <w:szCs w:val="18"/>
          <w:lang w:val="el-GR"/>
        </w:rPr>
        <w:t>Ταχ</w:t>
      </w:r>
      <w:proofErr w:type="spellEnd"/>
      <w:r w:rsidRPr="00780A62">
        <w:rPr>
          <w:rFonts w:ascii="Verdana" w:eastAsia="Malgun Gothic" w:hAnsi="Verdana" w:cs="Arial"/>
          <w:sz w:val="18"/>
          <w:szCs w:val="18"/>
          <w:lang w:val="el-GR"/>
        </w:rPr>
        <w:t>.:</w:t>
      </w:r>
      <w:r>
        <w:rPr>
          <w:rFonts w:ascii="Verdana" w:eastAsia="Malgun Gothic" w:hAnsi="Verdana" w:cs="Arial"/>
          <w:sz w:val="18"/>
          <w:szCs w:val="18"/>
          <w:lang w:val="el-GR"/>
        </w:rPr>
        <w:t xml:space="preserve"> </w:t>
      </w:r>
      <w:hyperlink r:id="rId13" w:history="1">
        <w:r w:rsidRPr="009C07AB">
          <w:rPr>
            <w:rStyle w:val="Hyperlink"/>
            <w:rFonts w:ascii="Verdana" w:eastAsia="Malgun Gothic" w:hAnsi="Verdana" w:cs="Arial"/>
            <w:sz w:val="18"/>
            <w:szCs w:val="18"/>
          </w:rPr>
          <w:t>mkkoushi</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cystat</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mof</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gov</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cy</w:t>
        </w:r>
      </w:hyperlink>
      <w:r w:rsidRPr="00C910F8">
        <w:rPr>
          <w:rFonts w:ascii="Verdana" w:eastAsia="Malgun Gothic" w:hAnsi="Verdana" w:cs="Arial"/>
          <w:sz w:val="18"/>
          <w:szCs w:val="18"/>
          <w:lang w:val="el-GR"/>
        </w:rPr>
        <w:t xml:space="preserve"> </w:t>
      </w:r>
      <w:r w:rsidRPr="009C4938">
        <w:rPr>
          <w:rFonts w:ascii="Verdana" w:eastAsia="Malgun Gothic" w:hAnsi="Verdana" w:cs="Arial"/>
          <w:sz w:val="18"/>
          <w:szCs w:val="18"/>
          <w:lang w:val="el-GR"/>
        </w:rPr>
        <w:t xml:space="preserve"> </w:t>
      </w:r>
    </w:p>
    <w:p w14:paraId="442331BA" w14:textId="77777777" w:rsidR="00833DCE" w:rsidRPr="00EA0DB2" w:rsidRDefault="00833DCE" w:rsidP="00833DCE">
      <w:pPr>
        <w:ind w:right="-79"/>
        <w:jc w:val="both"/>
        <w:rPr>
          <w:rFonts w:ascii="Verdana" w:eastAsia="Malgun Gothic" w:hAnsi="Verdana" w:cs="Arial"/>
          <w:color w:val="FF0000"/>
          <w:sz w:val="18"/>
          <w:szCs w:val="18"/>
          <w:lang w:val="el-GR"/>
        </w:rPr>
      </w:pPr>
    </w:p>
    <w:p w14:paraId="15377EB2" w14:textId="77777777" w:rsidR="00833DCE" w:rsidRPr="00A618CF" w:rsidRDefault="00833DCE" w:rsidP="00833DCE">
      <w:pPr>
        <w:ind w:right="-79"/>
        <w:jc w:val="both"/>
        <w:rPr>
          <w:rFonts w:ascii="Verdana" w:eastAsia="Malgun Gothic" w:hAnsi="Verdana" w:cs="Arial"/>
          <w:sz w:val="18"/>
          <w:szCs w:val="18"/>
          <w:lang w:val="el-GR"/>
        </w:rPr>
      </w:pPr>
      <w:r w:rsidRPr="00780A62">
        <w:rPr>
          <w:rFonts w:ascii="Verdana" w:eastAsia="Malgun Gothic" w:hAnsi="Verdana" w:cs="Arial"/>
          <w:sz w:val="18"/>
          <w:szCs w:val="18"/>
          <w:lang w:val="el-GR"/>
        </w:rPr>
        <w:t xml:space="preserve"> </w:t>
      </w:r>
    </w:p>
    <w:p w14:paraId="0D042924" w14:textId="77777777" w:rsidR="00833DCE" w:rsidRPr="00A12E81" w:rsidRDefault="00833DCE" w:rsidP="00833DCE">
      <w:pPr>
        <w:jc w:val="center"/>
        <w:rPr>
          <w:rFonts w:ascii="Verdana" w:eastAsia="Malgun Gothic" w:hAnsi="Verdana" w:cs="Arial"/>
          <w:sz w:val="18"/>
          <w:szCs w:val="18"/>
          <w:lang w:val="el-GR"/>
        </w:rPr>
      </w:pPr>
    </w:p>
    <w:p w14:paraId="73AAFF93" w14:textId="77777777" w:rsidR="00833DCE" w:rsidRPr="00A12E81" w:rsidRDefault="00833DCE" w:rsidP="00833DCE">
      <w:pPr>
        <w:jc w:val="both"/>
        <w:rPr>
          <w:rFonts w:ascii="Verdana" w:eastAsia="Malgun Gothic" w:hAnsi="Verdana" w:cs="Arial"/>
          <w:sz w:val="18"/>
          <w:szCs w:val="18"/>
          <w:lang w:val="el-GR"/>
        </w:rPr>
      </w:pPr>
    </w:p>
    <w:p w14:paraId="021B9EC5" w14:textId="77777777" w:rsidR="00833DCE" w:rsidRDefault="00833DCE" w:rsidP="00833DCE">
      <w:pPr>
        <w:jc w:val="both"/>
        <w:rPr>
          <w:rFonts w:ascii="Verdana" w:eastAsia="Malgun Gothic" w:hAnsi="Verdana" w:cs="Arial"/>
          <w:sz w:val="18"/>
          <w:szCs w:val="18"/>
          <w:lang w:val="el-GR"/>
        </w:rPr>
      </w:pPr>
    </w:p>
    <w:p w14:paraId="78A6A27C" w14:textId="77777777" w:rsidR="00833DCE" w:rsidRDefault="00833DCE" w:rsidP="00833DCE">
      <w:pPr>
        <w:jc w:val="both"/>
        <w:rPr>
          <w:rFonts w:ascii="Verdana" w:eastAsia="Malgun Gothic" w:hAnsi="Verdana" w:cs="Arial"/>
          <w:sz w:val="18"/>
          <w:szCs w:val="18"/>
          <w:lang w:val="el-GR"/>
        </w:rPr>
      </w:pPr>
    </w:p>
    <w:p w14:paraId="2BB474B9" w14:textId="77777777" w:rsidR="00833DCE" w:rsidRDefault="00833DCE" w:rsidP="00833DCE">
      <w:pPr>
        <w:jc w:val="both"/>
        <w:rPr>
          <w:rFonts w:ascii="Verdana" w:eastAsia="Malgun Gothic" w:hAnsi="Verdana" w:cs="Arial"/>
          <w:sz w:val="18"/>
          <w:szCs w:val="18"/>
          <w:lang w:val="el-GR"/>
        </w:rPr>
      </w:pPr>
    </w:p>
    <w:p w14:paraId="44EEA98F" w14:textId="77777777" w:rsidR="00833DCE" w:rsidRPr="00833DCE" w:rsidRDefault="00833DCE" w:rsidP="00833DCE">
      <w:pPr>
        <w:tabs>
          <w:tab w:val="left" w:pos="1089"/>
        </w:tabs>
        <w:jc w:val="both"/>
        <w:rPr>
          <w:rFonts w:ascii="Verdana" w:eastAsia="Malgun Gothic" w:hAnsi="Verdana" w:cs="Arial"/>
          <w:sz w:val="18"/>
          <w:szCs w:val="18"/>
          <w:lang w:val="el-GR"/>
        </w:rPr>
      </w:pPr>
      <w:r>
        <w:rPr>
          <w:rFonts w:ascii="Verdana" w:eastAsia="Malgun Gothic" w:hAnsi="Verdana" w:cs="Arial"/>
          <w:sz w:val="18"/>
          <w:szCs w:val="18"/>
          <w:lang w:val="el-GR"/>
        </w:rPr>
        <w:tab/>
      </w:r>
    </w:p>
    <w:p w14:paraId="12EBB050" w14:textId="77777777" w:rsidR="00833DCE" w:rsidRPr="00A12E81" w:rsidRDefault="00833DCE" w:rsidP="00833DCE">
      <w:pPr>
        <w:jc w:val="both"/>
        <w:rPr>
          <w:rFonts w:ascii="Verdana" w:eastAsia="Malgun Gothic" w:hAnsi="Verdana" w:cs="Arial"/>
          <w:sz w:val="18"/>
          <w:szCs w:val="18"/>
          <w:lang w:val="el-GR"/>
        </w:rPr>
      </w:pPr>
    </w:p>
    <w:p w14:paraId="76D7ACF9" w14:textId="77777777" w:rsidR="00833DCE" w:rsidRPr="00A12E81" w:rsidRDefault="00833DCE" w:rsidP="00833DCE">
      <w:pPr>
        <w:tabs>
          <w:tab w:val="left" w:pos="1080"/>
          <w:tab w:val="left" w:pos="6840"/>
        </w:tabs>
        <w:jc w:val="center"/>
        <w:rPr>
          <w:rFonts w:ascii="Verdana" w:eastAsia="Malgun Gothic" w:hAnsi="Verdana" w:cs="Arial"/>
          <w:b/>
          <w:sz w:val="18"/>
          <w:szCs w:val="18"/>
          <w:u w:val="single"/>
          <w:lang w:val="el-GR"/>
        </w:rPr>
      </w:pPr>
    </w:p>
    <w:p w14:paraId="4B13CA56"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51462513"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0B092FF5"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7A818C9D"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56FC4F3B"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28786F5D"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2F550FF6"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6D522DA7"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04AE3EFB"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2BB2D876"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0726DFF7"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796AC9F0"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28F414D2" w14:textId="36CF79F5" w:rsidR="001712CF" w:rsidRDefault="001712CF" w:rsidP="000E4CB0">
      <w:pPr>
        <w:jc w:val="both"/>
        <w:rPr>
          <w:rFonts w:ascii="Verdana" w:hAnsi="Verdana" w:cs="Arial"/>
          <w:sz w:val="18"/>
          <w:szCs w:val="18"/>
          <w:lang w:val="el-GR"/>
        </w:rPr>
      </w:pPr>
    </w:p>
    <w:p w14:paraId="50867249" w14:textId="50DB42E5" w:rsidR="001712CF" w:rsidRDefault="001712CF" w:rsidP="000E4CB0">
      <w:pPr>
        <w:jc w:val="both"/>
        <w:rPr>
          <w:rFonts w:ascii="Verdana" w:hAnsi="Verdana" w:cs="Arial"/>
          <w:sz w:val="18"/>
          <w:szCs w:val="18"/>
          <w:lang w:val="el-GR"/>
        </w:rPr>
      </w:pPr>
    </w:p>
    <w:p w14:paraId="06A22602" w14:textId="1598D3E6"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133440">
      <w:headerReference w:type="default" r:id="rId14"/>
      <w:footerReference w:type="default" r:id="rId15"/>
      <w:headerReference w:type="first" r:id="rId16"/>
      <w:footerReference w:type="first" r:id="rId17"/>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4F44E" w14:textId="77777777" w:rsidR="00133440" w:rsidRDefault="00133440" w:rsidP="00FB398F">
      <w:r>
        <w:separator/>
      </w:r>
    </w:p>
  </w:endnote>
  <w:endnote w:type="continuationSeparator" w:id="0">
    <w:p w14:paraId="46962F36" w14:textId="77777777" w:rsidR="00133440" w:rsidRDefault="00133440"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r w:rsidRPr="00233FBF">
      <w:rPr>
        <w:rFonts w:ascii="Arial" w:hAnsi="Arial" w:cs="Arial"/>
        <w:i/>
        <w:iCs/>
        <w:sz w:val="16"/>
        <w:szCs w:val="16"/>
        <w:lang w:val="el-GR"/>
      </w:rPr>
      <w:t>Τηλ</w:t>
    </w:r>
    <w:r w:rsidRPr="0085007D">
      <w:rPr>
        <w:rFonts w:ascii="Arial" w:hAnsi="Arial" w:cs="Arial"/>
        <w:i/>
        <w:iCs/>
        <w:sz w:val="16"/>
        <w:szCs w:val="16"/>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2D95D" w14:textId="77777777" w:rsidR="00133440" w:rsidRDefault="00133440" w:rsidP="00FB398F">
      <w:r>
        <w:separator/>
      </w:r>
    </w:p>
  </w:footnote>
  <w:footnote w:type="continuationSeparator" w:id="0">
    <w:p w14:paraId="279E5C46" w14:textId="77777777" w:rsidR="00133440" w:rsidRDefault="00133440"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06152CAE"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724572557">
    <w:abstractNumId w:val="4"/>
  </w:num>
  <w:num w:numId="2" w16cid:durableId="1210069212">
    <w:abstractNumId w:val="1"/>
  </w:num>
  <w:num w:numId="3" w16cid:durableId="2038852595">
    <w:abstractNumId w:val="2"/>
  </w:num>
  <w:num w:numId="4" w16cid:durableId="1726370462">
    <w:abstractNumId w:val="3"/>
  </w:num>
  <w:num w:numId="5" w16cid:durableId="268464844">
    <w:abstractNumId w:val="0"/>
  </w:num>
  <w:num w:numId="6" w16cid:durableId="18681306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0107"/>
    <w:rsid w:val="00002458"/>
    <w:rsid w:val="0000542E"/>
    <w:rsid w:val="00006064"/>
    <w:rsid w:val="00013E40"/>
    <w:rsid w:val="000161B1"/>
    <w:rsid w:val="00023574"/>
    <w:rsid w:val="00025A39"/>
    <w:rsid w:val="0002616B"/>
    <w:rsid w:val="00027853"/>
    <w:rsid w:val="00030E18"/>
    <w:rsid w:val="00031D32"/>
    <w:rsid w:val="00034877"/>
    <w:rsid w:val="0003603D"/>
    <w:rsid w:val="00036B5B"/>
    <w:rsid w:val="00045088"/>
    <w:rsid w:val="00045990"/>
    <w:rsid w:val="00045A06"/>
    <w:rsid w:val="000478E7"/>
    <w:rsid w:val="00050391"/>
    <w:rsid w:val="00055291"/>
    <w:rsid w:val="000563D3"/>
    <w:rsid w:val="00057383"/>
    <w:rsid w:val="00057E44"/>
    <w:rsid w:val="00061299"/>
    <w:rsid w:val="00061476"/>
    <w:rsid w:val="00070576"/>
    <w:rsid w:val="000706CB"/>
    <w:rsid w:val="0007256F"/>
    <w:rsid w:val="00072A06"/>
    <w:rsid w:val="000752BB"/>
    <w:rsid w:val="00080528"/>
    <w:rsid w:val="00080852"/>
    <w:rsid w:val="00081ADF"/>
    <w:rsid w:val="0008445B"/>
    <w:rsid w:val="00084A02"/>
    <w:rsid w:val="00084BF7"/>
    <w:rsid w:val="000870E9"/>
    <w:rsid w:val="0009236F"/>
    <w:rsid w:val="000932CF"/>
    <w:rsid w:val="0009481F"/>
    <w:rsid w:val="000949FB"/>
    <w:rsid w:val="00096ED8"/>
    <w:rsid w:val="000A0E1A"/>
    <w:rsid w:val="000A1A88"/>
    <w:rsid w:val="000A28F7"/>
    <w:rsid w:val="000A2B5C"/>
    <w:rsid w:val="000A3601"/>
    <w:rsid w:val="000A6FA8"/>
    <w:rsid w:val="000B6C36"/>
    <w:rsid w:val="000C1070"/>
    <w:rsid w:val="000C4E72"/>
    <w:rsid w:val="000D1E7A"/>
    <w:rsid w:val="000D779C"/>
    <w:rsid w:val="000E24B1"/>
    <w:rsid w:val="000E2735"/>
    <w:rsid w:val="000E32D6"/>
    <w:rsid w:val="000E4CB0"/>
    <w:rsid w:val="000E57F2"/>
    <w:rsid w:val="000E72A7"/>
    <w:rsid w:val="000F061C"/>
    <w:rsid w:val="000F1162"/>
    <w:rsid w:val="000F3467"/>
    <w:rsid w:val="000F38DE"/>
    <w:rsid w:val="000F532A"/>
    <w:rsid w:val="000F5D6C"/>
    <w:rsid w:val="00106852"/>
    <w:rsid w:val="00107B2F"/>
    <w:rsid w:val="00110AC4"/>
    <w:rsid w:val="00110F9D"/>
    <w:rsid w:val="001112F8"/>
    <w:rsid w:val="00114A67"/>
    <w:rsid w:val="00115E99"/>
    <w:rsid w:val="001218D6"/>
    <w:rsid w:val="00122828"/>
    <w:rsid w:val="001253B6"/>
    <w:rsid w:val="001262C3"/>
    <w:rsid w:val="00127320"/>
    <w:rsid w:val="00127456"/>
    <w:rsid w:val="001312D8"/>
    <w:rsid w:val="0013137B"/>
    <w:rsid w:val="00133440"/>
    <w:rsid w:val="00142818"/>
    <w:rsid w:val="00143637"/>
    <w:rsid w:val="0015118B"/>
    <w:rsid w:val="001519CE"/>
    <w:rsid w:val="0015607B"/>
    <w:rsid w:val="00161CF3"/>
    <w:rsid w:val="00162C00"/>
    <w:rsid w:val="001639EF"/>
    <w:rsid w:val="0016589F"/>
    <w:rsid w:val="00166B3C"/>
    <w:rsid w:val="001712CF"/>
    <w:rsid w:val="0017769A"/>
    <w:rsid w:val="00180CAC"/>
    <w:rsid w:val="00183DFC"/>
    <w:rsid w:val="00184384"/>
    <w:rsid w:val="00186717"/>
    <w:rsid w:val="00187FFC"/>
    <w:rsid w:val="0019391C"/>
    <w:rsid w:val="001A2018"/>
    <w:rsid w:val="001B16AF"/>
    <w:rsid w:val="001B2C39"/>
    <w:rsid w:val="001B305A"/>
    <w:rsid w:val="001B3675"/>
    <w:rsid w:val="001B3A6A"/>
    <w:rsid w:val="001B5E10"/>
    <w:rsid w:val="001B6AB3"/>
    <w:rsid w:val="001B73D5"/>
    <w:rsid w:val="001B7448"/>
    <w:rsid w:val="001B7D93"/>
    <w:rsid w:val="001C0681"/>
    <w:rsid w:val="001C62B3"/>
    <w:rsid w:val="001C7C8C"/>
    <w:rsid w:val="001D0D6A"/>
    <w:rsid w:val="001D20A4"/>
    <w:rsid w:val="001E00D1"/>
    <w:rsid w:val="001E0E58"/>
    <w:rsid w:val="001E14F3"/>
    <w:rsid w:val="001E15ED"/>
    <w:rsid w:val="001E61AA"/>
    <w:rsid w:val="002017B9"/>
    <w:rsid w:val="0020309E"/>
    <w:rsid w:val="00210B58"/>
    <w:rsid w:val="00214791"/>
    <w:rsid w:val="00222423"/>
    <w:rsid w:val="00225B28"/>
    <w:rsid w:val="00225EED"/>
    <w:rsid w:val="00226891"/>
    <w:rsid w:val="0022799A"/>
    <w:rsid w:val="00230D9B"/>
    <w:rsid w:val="002313AC"/>
    <w:rsid w:val="00235FB2"/>
    <w:rsid w:val="00237BC1"/>
    <w:rsid w:val="00237E43"/>
    <w:rsid w:val="00241893"/>
    <w:rsid w:val="002430B4"/>
    <w:rsid w:val="002447D0"/>
    <w:rsid w:val="002454C5"/>
    <w:rsid w:val="00245E19"/>
    <w:rsid w:val="00246AEB"/>
    <w:rsid w:val="00247ED0"/>
    <w:rsid w:val="00250005"/>
    <w:rsid w:val="0025254F"/>
    <w:rsid w:val="0025566D"/>
    <w:rsid w:val="0025595C"/>
    <w:rsid w:val="00257149"/>
    <w:rsid w:val="002576E7"/>
    <w:rsid w:val="00260357"/>
    <w:rsid w:val="00264F04"/>
    <w:rsid w:val="00267554"/>
    <w:rsid w:val="002755B9"/>
    <w:rsid w:val="0028338F"/>
    <w:rsid w:val="00287DF9"/>
    <w:rsid w:val="00290CE1"/>
    <w:rsid w:val="002915C4"/>
    <w:rsid w:val="0029699F"/>
    <w:rsid w:val="00297E6B"/>
    <w:rsid w:val="002A108B"/>
    <w:rsid w:val="002A1D1C"/>
    <w:rsid w:val="002A4D64"/>
    <w:rsid w:val="002A7603"/>
    <w:rsid w:val="002B4969"/>
    <w:rsid w:val="002B6554"/>
    <w:rsid w:val="002D05F0"/>
    <w:rsid w:val="002D2829"/>
    <w:rsid w:val="002D5155"/>
    <w:rsid w:val="002D5C7D"/>
    <w:rsid w:val="002D7D4A"/>
    <w:rsid w:val="002E3846"/>
    <w:rsid w:val="002E3F78"/>
    <w:rsid w:val="002E575D"/>
    <w:rsid w:val="002F00AD"/>
    <w:rsid w:val="002F400C"/>
    <w:rsid w:val="002F4D76"/>
    <w:rsid w:val="002F6D26"/>
    <w:rsid w:val="0030231E"/>
    <w:rsid w:val="003042C4"/>
    <w:rsid w:val="00304CB4"/>
    <w:rsid w:val="00313F37"/>
    <w:rsid w:val="003141D0"/>
    <w:rsid w:val="003168C1"/>
    <w:rsid w:val="00320EA9"/>
    <w:rsid w:val="00322FBE"/>
    <w:rsid w:val="0032348A"/>
    <w:rsid w:val="00325632"/>
    <w:rsid w:val="003269CB"/>
    <w:rsid w:val="00327549"/>
    <w:rsid w:val="003342A5"/>
    <w:rsid w:val="00334616"/>
    <w:rsid w:val="00336C36"/>
    <w:rsid w:val="00337354"/>
    <w:rsid w:val="0034139D"/>
    <w:rsid w:val="00343815"/>
    <w:rsid w:val="003522BB"/>
    <w:rsid w:val="00352F6C"/>
    <w:rsid w:val="003556EA"/>
    <w:rsid w:val="00365251"/>
    <w:rsid w:val="00375ABE"/>
    <w:rsid w:val="00386FC7"/>
    <w:rsid w:val="00390A32"/>
    <w:rsid w:val="00393468"/>
    <w:rsid w:val="003A03A1"/>
    <w:rsid w:val="003A07D5"/>
    <w:rsid w:val="003A1E91"/>
    <w:rsid w:val="003A40F2"/>
    <w:rsid w:val="003A50D1"/>
    <w:rsid w:val="003B196D"/>
    <w:rsid w:val="003B2710"/>
    <w:rsid w:val="003B4608"/>
    <w:rsid w:val="003B6B46"/>
    <w:rsid w:val="003C2392"/>
    <w:rsid w:val="003C5174"/>
    <w:rsid w:val="003C5240"/>
    <w:rsid w:val="003C76E6"/>
    <w:rsid w:val="003D0F02"/>
    <w:rsid w:val="003D1190"/>
    <w:rsid w:val="003D14E0"/>
    <w:rsid w:val="003D1EA5"/>
    <w:rsid w:val="003D3348"/>
    <w:rsid w:val="003D4E63"/>
    <w:rsid w:val="003D6822"/>
    <w:rsid w:val="003D724C"/>
    <w:rsid w:val="003E0CD3"/>
    <w:rsid w:val="003E0CE2"/>
    <w:rsid w:val="003E1C96"/>
    <w:rsid w:val="003F02E6"/>
    <w:rsid w:val="003F49E4"/>
    <w:rsid w:val="003F4A73"/>
    <w:rsid w:val="003F4D2F"/>
    <w:rsid w:val="003F5E32"/>
    <w:rsid w:val="003F75F6"/>
    <w:rsid w:val="00404670"/>
    <w:rsid w:val="00414CA0"/>
    <w:rsid w:val="004150AE"/>
    <w:rsid w:val="00422F54"/>
    <w:rsid w:val="00427269"/>
    <w:rsid w:val="00431281"/>
    <w:rsid w:val="00431516"/>
    <w:rsid w:val="004361B3"/>
    <w:rsid w:val="0044249D"/>
    <w:rsid w:val="00442EAE"/>
    <w:rsid w:val="0044379F"/>
    <w:rsid w:val="00444FCC"/>
    <w:rsid w:val="00446FB1"/>
    <w:rsid w:val="00450A17"/>
    <w:rsid w:val="00452753"/>
    <w:rsid w:val="0045648E"/>
    <w:rsid w:val="0046078F"/>
    <w:rsid w:val="00463214"/>
    <w:rsid w:val="00463A3E"/>
    <w:rsid w:val="0046434D"/>
    <w:rsid w:val="004656FA"/>
    <w:rsid w:val="00467AFC"/>
    <w:rsid w:val="00471D77"/>
    <w:rsid w:val="00473686"/>
    <w:rsid w:val="00475587"/>
    <w:rsid w:val="00480BC2"/>
    <w:rsid w:val="004845C3"/>
    <w:rsid w:val="004929C2"/>
    <w:rsid w:val="00492E57"/>
    <w:rsid w:val="00493FC1"/>
    <w:rsid w:val="00493FDD"/>
    <w:rsid w:val="0049586B"/>
    <w:rsid w:val="00496692"/>
    <w:rsid w:val="004A3E44"/>
    <w:rsid w:val="004B12C5"/>
    <w:rsid w:val="004B2018"/>
    <w:rsid w:val="004B2896"/>
    <w:rsid w:val="004B38E9"/>
    <w:rsid w:val="004B3FBA"/>
    <w:rsid w:val="004B6599"/>
    <w:rsid w:val="004C5BD9"/>
    <w:rsid w:val="004C6CA7"/>
    <w:rsid w:val="004D4357"/>
    <w:rsid w:val="004D4950"/>
    <w:rsid w:val="004D5733"/>
    <w:rsid w:val="004E2393"/>
    <w:rsid w:val="004E3745"/>
    <w:rsid w:val="004E3CC1"/>
    <w:rsid w:val="004E42BE"/>
    <w:rsid w:val="004E4F42"/>
    <w:rsid w:val="004E63D5"/>
    <w:rsid w:val="004F03FD"/>
    <w:rsid w:val="004F52F0"/>
    <w:rsid w:val="004F6250"/>
    <w:rsid w:val="004F677C"/>
    <w:rsid w:val="004F6D8F"/>
    <w:rsid w:val="00503812"/>
    <w:rsid w:val="00505503"/>
    <w:rsid w:val="00510C3B"/>
    <w:rsid w:val="0051107B"/>
    <w:rsid w:val="0051198D"/>
    <w:rsid w:val="00512F9C"/>
    <w:rsid w:val="00521895"/>
    <w:rsid w:val="00527CDB"/>
    <w:rsid w:val="0053337E"/>
    <w:rsid w:val="005341C9"/>
    <w:rsid w:val="005369CA"/>
    <w:rsid w:val="00536DE9"/>
    <w:rsid w:val="005415A7"/>
    <w:rsid w:val="00541E08"/>
    <w:rsid w:val="00543B7C"/>
    <w:rsid w:val="00554FE0"/>
    <w:rsid w:val="00555609"/>
    <w:rsid w:val="0055614C"/>
    <w:rsid w:val="0055789A"/>
    <w:rsid w:val="00560952"/>
    <w:rsid w:val="00563DB5"/>
    <w:rsid w:val="005652D1"/>
    <w:rsid w:val="005660A0"/>
    <w:rsid w:val="00566A4F"/>
    <w:rsid w:val="00567D64"/>
    <w:rsid w:val="00584FA1"/>
    <w:rsid w:val="0058614D"/>
    <w:rsid w:val="00591245"/>
    <w:rsid w:val="005978D4"/>
    <w:rsid w:val="005A23FA"/>
    <w:rsid w:val="005A32CA"/>
    <w:rsid w:val="005A6FBC"/>
    <w:rsid w:val="005B2A67"/>
    <w:rsid w:val="005B3DCD"/>
    <w:rsid w:val="005B4AD4"/>
    <w:rsid w:val="005C2798"/>
    <w:rsid w:val="005C36C3"/>
    <w:rsid w:val="005C49D2"/>
    <w:rsid w:val="005C56EE"/>
    <w:rsid w:val="005C5ACC"/>
    <w:rsid w:val="005D074B"/>
    <w:rsid w:val="005D1714"/>
    <w:rsid w:val="005D7638"/>
    <w:rsid w:val="005F12F5"/>
    <w:rsid w:val="005F7C7D"/>
    <w:rsid w:val="006044B7"/>
    <w:rsid w:val="006071CE"/>
    <w:rsid w:val="00607399"/>
    <w:rsid w:val="006075B5"/>
    <w:rsid w:val="0061018C"/>
    <w:rsid w:val="0061094E"/>
    <w:rsid w:val="00613440"/>
    <w:rsid w:val="00613BE3"/>
    <w:rsid w:val="0062327B"/>
    <w:rsid w:val="00625510"/>
    <w:rsid w:val="00632777"/>
    <w:rsid w:val="00633750"/>
    <w:rsid w:val="00634491"/>
    <w:rsid w:val="0063679C"/>
    <w:rsid w:val="00637055"/>
    <w:rsid w:val="00641D59"/>
    <w:rsid w:val="00644507"/>
    <w:rsid w:val="00646880"/>
    <w:rsid w:val="00647D2A"/>
    <w:rsid w:val="006537BB"/>
    <w:rsid w:val="00655CDC"/>
    <w:rsid w:val="0065643E"/>
    <w:rsid w:val="00667E07"/>
    <w:rsid w:val="00671785"/>
    <w:rsid w:val="00671C46"/>
    <w:rsid w:val="006725B5"/>
    <w:rsid w:val="00672BA9"/>
    <w:rsid w:val="00673005"/>
    <w:rsid w:val="006804BE"/>
    <w:rsid w:val="00680C89"/>
    <w:rsid w:val="00680D13"/>
    <w:rsid w:val="0068434A"/>
    <w:rsid w:val="006846A7"/>
    <w:rsid w:val="0069008E"/>
    <w:rsid w:val="0069087E"/>
    <w:rsid w:val="006925C4"/>
    <w:rsid w:val="00694922"/>
    <w:rsid w:val="006A02B7"/>
    <w:rsid w:val="006A7019"/>
    <w:rsid w:val="006B46D5"/>
    <w:rsid w:val="006B46F4"/>
    <w:rsid w:val="006B6114"/>
    <w:rsid w:val="006C452D"/>
    <w:rsid w:val="006C7AF3"/>
    <w:rsid w:val="006D0B9D"/>
    <w:rsid w:val="006D6548"/>
    <w:rsid w:val="006E0E20"/>
    <w:rsid w:val="006E4256"/>
    <w:rsid w:val="006E4BBA"/>
    <w:rsid w:val="006E5F43"/>
    <w:rsid w:val="006E60A6"/>
    <w:rsid w:val="006E7DE7"/>
    <w:rsid w:val="006F092B"/>
    <w:rsid w:val="006F0F69"/>
    <w:rsid w:val="006F116B"/>
    <w:rsid w:val="006F117F"/>
    <w:rsid w:val="006F13DF"/>
    <w:rsid w:val="006F2780"/>
    <w:rsid w:val="006F570B"/>
    <w:rsid w:val="0070211B"/>
    <w:rsid w:val="00702F26"/>
    <w:rsid w:val="0070313E"/>
    <w:rsid w:val="00703799"/>
    <w:rsid w:val="00704A7A"/>
    <w:rsid w:val="00705C5C"/>
    <w:rsid w:val="00711475"/>
    <w:rsid w:val="00716482"/>
    <w:rsid w:val="007240EE"/>
    <w:rsid w:val="0072548A"/>
    <w:rsid w:val="007277A6"/>
    <w:rsid w:val="007413F2"/>
    <w:rsid w:val="007437AB"/>
    <w:rsid w:val="00745425"/>
    <w:rsid w:val="0075096F"/>
    <w:rsid w:val="007534F8"/>
    <w:rsid w:val="007541FF"/>
    <w:rsid w:val="007545AD"/>
    <w:rsid w:val="00763722"/>
    <w:rsid w:val="00763829"/>
    <w:rsid w:val="00764BC1"/>
    <w:rsid w:val="00766993"/>
    <w:rsid w:val="00770869"/>
    <w:rsid w:val="007738AA"/>
    <w:rsid w:val="00780A62"/>
    <w:rsid w:val="00783241"/>
    <w:rsid w:val="00784BDC"/>
    <w:rsid w:val="00792F28"/>
    <w:rsid w:val="007935CA"/>
    <w:rsid w:val="0079543F"/>
    <w:rsid w:val="00795880"/>
    <w:rsid w:val="00797FAC"/>
    <w:rsid w:val="007A2ACA"/>
    <w:rsid w:val="007A4367"/>
    <w:rsid w:val="007B0867"/>
    <w:rsid w:val="007B1AC1"/>
    <w:rsid w:val="007B5A08"/>
    <w:rsid w:val="007B693D"/>
    <w:rsid w:val="007C0F44"/>
    <w:rsid w:val="007C4CDC"/>
    <w:rsid w:val="007E041B"/>
    <w:rsid w:val="007E17D1"/>
    <w:rsid w:val="007E199A"/>
    <w:rsid w:val="007E1AED"/>
    <w:rsid w:val="007E2415"/>
    <w:rsid w:val="007E39F3"/>
    <w:rsid w:val="007E405E"/>
    <w:rsid w:val="007E47D0"/>
    <w:rsid w:val="007E68F4"/>
    <w:rsid w:val="007E6DE2"/>
    <w:rsid w:val="007F31BA"/>
    <w:rsid w:val="007F4078"/>
    <w:rsid w:val="0080014B"/>
    <w:rsid w:val="00801793"/>
    <w:rsid w:val="00803642"/>
    <w:rsid w:val="00806EA2"/>
    <w:rsid w:val="008070B3"/>
    <w:rsid w:val="00812A2B"/>
    <w:rsid w:val="00814A30"/>
    <w:rsid w:val="00814A4C"/>
    <w:rsid w:val="00816492"/>
    <w:rsid w:val="008246F5"/>
    <w:rsid w:val="00824D67"/>
    <w:rsid w:val="00831AAB"/>
    <w:rsid w:val="00833BCD"/>
    <w:rsid w:val="00833DCE"/>
    <w:rsid w:val="00834B82"/>
    <w:rsid w:val="008350D7"/>
    <w:rsid w:val="0083574E"/>
    <w:rsid w:val="0083640C"/>
    <w:rsid w:val="008374E3"/>
    <w:rsid w:val="0084157B"/>
    <w:rsid w:val="00842BFB"/>
    <w:rsid w:val="00843617"/>
    <w:rsid w:val="00846B85"/>
    <w:rsid w:val="00847DC3"/>
    <w:rsid w:val="00847F49"/>
    <w:rsid w:val="0085007D"/>
    <w:rsid w:val="008535C5"/>
    <w:rsid w:val="00853765"/>
    <w:rsid w:val="0085516F"/>
    <w:rsid w:val="00855BD3"/>
    <w:rsid w:val="008575E6"/>
    <w:rsid w:val="00867186"/>
    <w:rsid w:val="008677F2"/>
    <w:rsid w:val="00870AF6"/>
    <w:rsid w:val="00871441"/>
    <w:rsid w:val="00872FD4"/>
    <w:rsid w:val="00877452"/>
    <w:rsid w:val="00881268"/>
    <w:rsid w:val="0088394A"/>
    <w:rsid w:val="008860BD"/>
    <w:rsid w:val="00887399"/>
    <w:rsid w:val="0088779E"/>
    <w:rsid w:val="00890982"/>
    <w:rsid w:val="00890C50"/>
    <w:rsid w:val="008912AF"/>
    <w:rsid w:val="00892114"/>
    <w:rsid w:val="00892CB9"/>
    <w:rsid w:val="008935CB"/>
    <w:rsid w:val="00893BB6"/>
    <w:rsid w:val="008968A6"/>
    <w:rsid w:val="008B0E7E"/>
    <w:rsid w:val="008B394B"/>
    <w:rsid w:val="008B6569"/>
    <w:rsid w:val="008B65BD"/>
    <w:rsid w:val="008B7900"/>
    <w:rsid w:val="008C71BF"/>
    <w:rsid w:val="008C7FE0"/>
    <w:rsid w:val="008D5717"/>
    <w:rsid w:val="008D74DF"/>
    <w:rsid w:val="008E3762"/>
    <w:rsid w:val="008E44A9"/>
    <w:rsid w:val="008E6B4D"/>
    <w:rsid w:val="008E6BFF"/>
    <w:rsid w:val="008F21AF"/>
    <w:rsid w:val="008F2400"/>
    <w:rsid w:val="008F61BA"/>
    <w:rsid w:val="008F6E3C"/>
    <w:rsid w:val="008F7C55"/>
    <w:rsid w:val="00903D1F"/>
    <w:rsid w:val="00914A23"/>
    <w:rsid w:val="00915E46"/>
    <w:rsid w:val="009178B1"/>
    <w:rsid w:val="00920B52"/>
    <w:rsid w:val="00930754"/>
    <w:rsid w:val="00933369"/>
    <w:rsid w:val="00934F68"/>
    <w:rsid w:val="009355AC"/>
    <w:rsid w:val="00935F38"/>
    <w:rsid w:val="00937586"/>
    <w:rsid w:val="00946D49"/>
    <w:rsid w:val="00947889"/>
    <w:rsid w:val="009478BD"/>
    <w:rsid w:val="00960E98"/>
    <w:rsid w:val="00963A82"/>
    <w:rsid w:val="00972912"/>
    <w:rsid w:val="00972EB1"/>
    <w:rsid w:val="00976D1F"/>
    <w:rsid w:val="00981C81"/>
    <w:rsid w:val="00982624"/>
    <w:rsid w:val="00993B63"/>
    <w:rsid w:val="009A2D24"/>
    <w:rsid w:val="009A456C"/>
    <w:rsid w:val="009B00E0"/>
    <w:rsid w:val="009B292A"/>
    <w:rsid w:val="009B76D5"/>
    <w:rsid w:val="009C1103"/>
    <w:rsid w:val="009C165D"/>
    <w:rsid w:val="009C3CEA"/>
    <w:rsid w:val="009C583D"/>
    <w:rsid w:val="009C7812"/>
    <w:rsid w:val="009D0EBD"/>
    <w:rsid w:val="009D2611"/>
    <w:rsid w:val="009D79D2"/>
    <w:rsid w:val="009E247C"/>
    <w:rsid w:val="009E31BA"/>
    <w:rsid w:val="009E73C7"/>
    <w:rsid w:val="009F0528"/>
    <w:rsid w:val="009F0806"/>
    <w:rsid w:val="009F233B"/>
    <w:rsid w:val="009F5771"/>
    <w:rsid w:val="00A00F24"/>
    <w:rsid w:val="00A02117"/>
    <w:rsid w:val="00A05D16"/>
    <w:rsid w:val="00A0659F"/>
    <w:rsid w:val="00A079BA"/>
    <w:rsid w:val="00A13ABE"/>
    <w:rsid w:val="00A14E8C"/>
    <w:rsid w:val="00A15EA7"/>
    <w:rsid w:val="00A2013F"/>
    <w:rsid w:val="00A20803"/>
    <w:rsid w:val="00A20C70"/>
    <w:rsid w:val="00A30701"/>
    <w:rsid w:val="00A33875"/>
    <w:rsid w:val="00A360A1"/>
    <w:rsid w:val="00A402B3"/>
    <w:rsid w:val="00A4655D"/>
    <w:rsid w:val="00A47ED6"/>
    <w:rsid w:val="00A5352C"/>
    <w:rsid w:val="00A544B7"/>
    <w:rsid w:val="00A5788B"/>
    <w:rsid w:val="00A618CF"/>
    <w:rsid w:val="00A62770"/>
    <w:rsid w:val="00A62EEB"/>
    <w:rsid w:val="00A660FF"/>
    <w:rsid w:val="00A732B4"/>
    <w:rsid w:val="00A73395"/>
    <w:rsid w:val="00A771E3"/>
    <w:rsid w:val="00A82B4C"/>
    <w:rsid w:val="00A83C28"/>
    <w:rsid w:val="00A93590"/>
    <w:rsid w:val="00A93A4C"/>
    <w:rsid w:val="00A94D5D"/>
    <w:rsid w:val="00AA044F"/>
    <w:rsid w:val="00AA1D9B"/>
    <w:rsid w:val="00AA2543"/>
    <w:rsid w:val="00AA2810"/>
    <w:rsid w:val="00AA3804"/>
    <w:rsid w:val="00AA55C2"/>
    <w:rsid w:val="00AB0ACA"/>
    <w:rsid w:val="00AB1D41"/>
    <w:rsid w:val="00AB6958"/>
    <w:rsid w:val="00AC57F9"/>
    <w:rsid w:val="00AC5E9A"/>
    <w:rsid w:val="00AC704B"/>
    <w:rsid w:val="00AD553E"/>
    <w:rsid w:val="00AD5848"/>
    <w:rsid w:val="00AE5ADA"/>
    <w:rsid w:val="00AF6145"/>
    <w:rsid w:val="00B01386"/>
    <w:rsid w:val="00B01915"/>
    <w:rsid w:val="00B01BB5"/>
    <w:rsid w:val="00B026CC"/>
    <w:rsid w:val="00B041B6"/>
    <w:rsid w:val="00B04AF4"/>
    <w:rsid w:val="00B05166"/>
    <w:rsid w:val="00B05214"/>
    <w:rsid w:val="00B1372E"/>
    <w:rsid w:val="00B20458"/>
    <w:rsid w:val="00B21E89"/>
    <w:rsid w:val="00B276D0"/>
    <w:rsid w:val="00B30D97"/>
    <w:rsid w:val="00B31074"/>
    <w:rsid w:val="00B3181A"/>
    <w:rsid w:val="00B35A7C"/>
    <w:rsid w:val="00B44ECD"/>
    <w:rsid w:val="00B450D1"/>
    <w:rsid w:val="00B51685"/>
    <w:rsid w:val="00B53D47"/>
    <w:rsid w:val="00B54A25"/>
    <w:rsid w:val="00B618C3"/>
    <w:rsid w:val="00B63652"/>
    <w:rsid w:val="00B668B0"/>
    <w:rsid w:val="00B70F5C"/>
    <w:rsid w:val="00B71873"/>
    <w:rsid w:val="00B75AE5"/>
    <w:rsid w:val="00B800C0"/>
    <w:rsid w:val="00B8132B"/>
    <w:rsid w:val="00B814B7"/>
    <w:rsid w:val="00B84C5A"/>
    <w:rsid w:val="00B858F5"/>
    <w:rsid w:val="00B93668"/>
    <w:rsid w:val="00BA40F3"/>
    <w:rsid w:val="00BA68C6"/>
    <w:rsid w:val="00BB12F1"/>
    <w:rsid w:val="00BB276E"/>
    <w:rsid w:val="00BB3FEE"/>
    <w:rsid w:val="00BB5EB0"/>
    <w:rsid w:val="00BC245A"/>
    <w:rsid w:val="00BD08D3"/>
    <w:rsid w:val="00BD16FA"/>
    <w:rsid w:val="00BD41C3"/>
    <w:rsid w:val="00BD488B"/>
    <w:rsid w:val="00BD7CCC"/>
    <w:rsid w:val="00BE002A"/>
    <w:rsid w:val="00BE0283"/>
    <w:rsid w:val="00BE1BC9"/>
    <w:rsid w:val="00BE5CDA"/>
    <w:rsid w:val="00BE608F"/>
    <w:rsid w:val="00BF23BB"/>
    <w:rsid w:val="00BF33DD"/>
    <w:rsid w:val="00BF5755"/>
    <w:rsid w:val="00BF5ED7"/>
    <w:rsid w:val="00BF684B"/>
    <w:rsid w:val="00C016F3"/>
    <w:rsid w:val="00C05128"/>
    <w:rsid w:val="00C05C86"/>
    <w:rsid w:val="00C124A2"/>
    <w:rsid w:val="00C15193"/>
    <w:rsid w:val="00C15609"/>
    <w:rsid w:val="00C15F6A"/>
    <w:rsid w:val="00C23EA7"/>
    <w:rsid w:val="00C256F3"/>
    <w:rsid w:val="00C270A2"/>
    <w:rsid w:val="00C30A90"/>
    <w:rsid w:val="00C311A1"/>
    <w:rsid w:val="00C315B5"/>
    <w:rsid w:val="00C326F0"/>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67B80"/>
    <w:rsid w:val="00C70FD1"/>
    <w:rsid w:val="00C711E8"/>
    <w:rsid w:val="00C72B76"/>
    <w:rsid w:val="00C733AA"/>
    <w:rsid w:val="00C83027"/>
    <w:rsid w:val="00C84B8A"/>
    <w:rsid w:val="00C85E65"/>
    <w:rsid w:val="00C87CA1"/>
    <w:rsid w:val="00C911B4"/>
    <w:rsid w:val="00C91B3B"/>
    <w:rsid w:val="00C91DEA"/>
    <w:rsid w:val="00C9378B"/>
    <w:rsid w:val="00C94262"/>
    <w:rsid w:val="00C945F1"/>
    <w:rsid w:val="00C976E1"/>
    <w:rsid w:val="00CA148E"/>
    <w:rsid w:val="00CA3A9A"/>
    <w:rsid w:val="00CA7249"/>
    <w:rsid w:val="00CB1F4A"/>
    <w:rsid w:val="00CB6BC1"/>
    <w:rsid w:val="00CB7021"/>
    <w:rsid w:val="00CD2ADA"/>
    <w:rsid w:val="00CD3294"/>
    <w:rsid w:val="00CD4524"/>
    <w:rsid w:val="00CD784D"/>
    <w:rsid w:val="00CE7B7D"/>
    <w:rsid w:val="00CF3A1C"/>
    <w:rsid w:val="00CF40F8"/>
    <w:rsid w:val="00D008DA"/>
    <w:rsid w:val="00D0416F"/>
    <w:rsid w:val="00D05851"/>
    <w:rsid w:val="00D10FED"/>
    <w:rsid w:val="00D11736"/>
    <w:rsid w:val="00D12EE8"/>
    <w:rsid w:val="00D14CDF"/>
    <w:rsid w:val="00D15FF1"/>
    <w:rsid w:val="00D164DA"/>
    <w:rsid w:val="00D167F4"/>
    <w:rsid w:val="00D1774E"/>
    <w:rsid w:val="00D17882"/>
    <w:rsid w:val="00D2092A"/>
    <w:rsid w:val="00D2216D"/>
    <w:rsid w:val="00D245DD"/>
    <w:rsid w:val="00D31A6F"/>
    <w:rsid w:val="00D33B3B"/>
    <w:rsid w:val="00D3531F"/>
    <w:rsid w:val="00D353D1"/>
    <w:rsid w:val="00D367DB"/>
    <w:rsid w:val="00D36E05"/>
    <w:rsid w:val="00D44F27"/>
    <w:rsid w:val="00D451F9"/>
    <w:rsid w:val="00D45304"/>
    <w:rsid w:val="00D46165"/>
    <w:rsid w:val="00D461C7"/>
    <w:rsid w:val="00D50424"/>
    <w:rsid w:val="00D50445"/>
    <w:rsid w:val="00D525C9"/>
    <w:rsid w:val="00D57D3E"/>
    <w:rsid w:val="00D644FE"/>
    <w:rsid w:val="00D645F6"/>
    <w:rsid w:val="00D6752D"/>
    <w:rsid w:val="00D76249"/>
    <w:rsid w:val="00DA0FD5"/>
    <w:rsid w:val="00DA6BEC"/>
    <w:rsid w:val="00DA7D12"/>
    <w:rsid w:val="00DC205C"/>
    <w:rsid w:val="00DC23CF"/>
    <w:rsid w:val="00DC2DEE"/>
    <w:rsid w:val="00DC6562"/>
    <w:rsid w:val="00DD53A0"/>
    <w:rsid w:val="00DE117E"/>
    <w:rsid w:val="00DE130D"/>
    <w:rsid w:val="00DE24CF"/>
    <w:rsid w:val="00DE407C"/>
    <w:rsid w:val="00DE4F2E"/>
    <w:rsid w:val="00DE7C7D"/>
    <w:rsid w:val="00DF229B"/>
    <w:rsid w:val="00DF2992"/>
    <w:rsid w:val="00DF2D0C"/>
    <w:rsid w:val="00E00058"/>
    <w:rsid w:val="00E01B9D"/>
    <w:rsid w:val="00E0468F"/>
    <w:rsid w:val="00E04F5E"/>
    <w:rsid w:val="00E0522E"/>
    <w:rsid w:val="00E0523D"/>
    <w:rsid w:val="00E07585"/>
    <w:rsid w:val="00E120F4"/>
    <w:rsid w:val="00E17172"/>
    <w:rsid w:val="00E173A1"/>
    <w:rsid w:val="00E207FB"/>
    <w:rsid w:val="00E3181C"/>
    <w:rsid w:val="00E3280A"/>
    <w:rsid w:val="00E372AF"/>
    <w:rsid w:val="00E37D68"/>
    <w:rsid w:val="00E40EAE"/>
    <w:rsid w:val="00E436AC"/>
    <w:rsid w:val="00E44F7A"/>
    <w:rsid w:val="00E44FF8"/>
    <w:rsid w:val="00E5066A"/>
    <w:rsid w:val="00E52CF9"/>
    <w:rsid w:val="00E63F34"/>
    <w:rsid w:val="00E63FEA"/>
    <w:rsid w:val="00E6715A"/>
    <w:rsid w:val="00E75DC9"/>
    <w:rsid w:val="00E81610"/>
    <w:rsid w:val="00E84910"/>
    <w:rsid w:val="00E85B28"/>
    <w:rsid w:val="00E91976"/>
    <w:rsid w:val="00E947A6"/>
    <w:rsid w:val="00E97FC7"/>
    <w:rsid w:val="00EA0690"/>
    <w:rsid w:val="00EA3956"/>
    <w:rsid w:val="00EA3FCC"/>
    <w:rsid w:val="00EA7136"/>
    <w:rsid w:val="00EB325A"/>
    <w:rsid w:val="00EC02A5"/>
    <w:rsid w:val="00EC176B"/>
    <w:rsid w:val="00EC33CD"/>
    <w:rsid w:val="00EC5BE5"/>
    <w:rsid w:val="00EC7768"/>
    <w:rsid w:val="00ED2650"/>
    <w:rsid w:val="00ED52CF"/>
    <w:rsid w:val="00ED6131"/>
    <w:rsid w:val="00ED721A"/>
    <w:rsid w:val="00EE2AE3"/>
    <w:rsid w:val="00EE393D"/>
    <w:rsid w:val="00EF01CF"/>
    <w:rsid w:val="00EF3FEE"/>
    <w:rsid w:val="00EF6A47"/>
    <w:rsid w:val="00EF72BE"/>
    <w:rsid w:val="00EF7AF9"/>
    <w:rsid w:val="00F00952"/>
    <w:rsid w:val="00F01495"/>
    <w:rsid w:val="00F05ABE"/>
    <w:rsid w:val="00F10138"/>
    <w:rsid w:val="00F10DED"/>
    <w:rsid w:val="00F13F92"/>
    <w:rsid w:val="00F22ECA"/>
    <w:rsid w:val="00F240E8"/>
    <w:rsid w:val="00F244FA"/>
    <w:rsid w:val="00F27191"/>
    <w:rsid w:val="00F2762D"/>
    <w:rsid w:val="00F366A2"/>
    <w:rsid w:val="00F37649"/>
    <w:rsid w:val="00F42B47"/>
    <w:rsid w:val="00F44F43"/>
    <w:rsid w:val="00F450E1"/>
    <w:rsid w:val="00F45222"/>
    <w:rsid w:val="00F4577F"/>
    <w:rsid w:val="00F50DF4"/>
    <w:rsid w:val="00F57AFE"/>
    <w:rsid w:val="00F6278E"/>
    <w:rsid w:val="00F63C41"/>
    <w:rsid w:val="00F63E96"/>
    <w:rsid w:val="00F701E3"/>
    <w:rsid w:val="00F71008"/>
    <w:rsid w:val="00F71F8C"/>
    <w:rsid w:val="00F8473D"/>
    <w:rsid w:val="00F86AD4"/>
    <w:rsid w:val="00F9558B"/>
    <w:rsid w:val="00F96322"/>
    <w:rsid w:val="00FA0113"/>
    <w:rsid w:val="00FA12B2"/>
    <w:rsid w:val="00FA733F"/>
    <w:rsid w:val="00FA7610"/>
    <w:rsid w:val="00FB02BD"/>
    <w:rsid w:val="00FB398F"/>
    <w:rsid w:val="00FB4EF8"/>
    <w:rsid w:val="00FB54AE"/>
    <w:rsid w:val="00FB709A"/>
    <w:rsid w:val="00FB78DD"/>
    <w:rsid w:val="00FB7E16"/>
    <w:rsid w:val="00FC3EF3"/>
    <w:rsid w:val="00FC5D35"/>
    <w:rsid w:val="00FD2049"/>
    <w:rsid w:val="00FD2140"/>
    <w:rsid w:val="00FD5B5F"/>
    <w:rsid w:val="00FD5BDE"/>
    <w:rsid w:val="00FD68EC"/>
    <w:rsid w:val="00FE24A5"/>
    <w:rsid w:val="00FE31E5"/>
    <w:rsid w:val="00FE508D"/>
    <w:rsid w:val="00FF19AD"/>
    <w:rsid w:val="00FF1EB5"/>
    <w:rsid w:val="00FF292D"/>
    <w:rsid w:val="00FF298D"/>
    <w:rsid w:val="00FF4B55"/>
    <w:rsid w:val="00FF4D41"/>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UnresolvedMention">
    <w:name w:val="Unresolved Mention"/>
    <w:basedOn w:val="DefaultParagraphFont"/>
    <w:uiPriority w:val="99"/>
    <w:semiHidden/>
    <w:unhideWhenUsed/>
    <w:rsid w:val="005C49D2"/>
    <w:rPr>
      <w:color w:val="605E5C"/>
      <w:shd w:val="clear" w:color="auto" w:fill="E1DFDD"/>
    </w:rPr>
  </w:style>
  <w:style w:type="character" w:styleId="FollowedHyperlink">
    <w:name w:val="FollowedHyperlink"/>
    <w:basedOn w:val="DefaultParagraphFont"/>
    <w:uiPriority w:val="99"/>
    <w:semiHidden/>
    <w:unhideWhenUsed/>
    <w:rsid w:val="00CB1F4A"/>
    <w:rPr>
      <w:color w:val="954F72" w:themeColor="followedHyperlink"/>
      <w:u w:val="single"/>
    </w:rPr>
  </w:style>
  <w:style w:type="paragraph" w:styleId="Revision">
    <w:name w:val="Revision"/>
    <w:hidden/>
    <w:uiPriority w:val="99"/>
    <w:semiHidden/>
    <w:rsid w:val="00C945F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kkoushi@cystat.mof.gov.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MethodologicalDetails?m=225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4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statdb.cystat.gov.cy/pxweb/el/8.CYSTAT-DB/8.CYSTAT-DB__Labour%20Market_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ystat.gov.cy/el/SubthemeStatistics?s=43"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3775</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21</cp:revision>
  <cp:lastPrinted>2023-12-07T11:16:00Z</cp:lastPrinted>
  <dcterms:created xsi:type="dcterms:W3CDTF">2024-01-10T13:04:00Z</dcterms:created>
  <dcterms:modified xsi:type="dcterms:W3CDTF">2024-02-16T09:52:00Z</dcterms:modified>
</cp:coreProperties>
</file>