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EE65" w14:textId="0E7EA245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5C0DDA">
        <w:rPr>
          <w:rFonts w:ascii="Verdana" w:hAnsi="Verdana" w:cs="Arial"/>
          <w:sz w:val="18"/>
          <w:szCs w:val="18"/>
          <w:lang w:val="el-GR"/>
        </w:rPr>
        <w:t>2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5C0DDA">
        <w:rPr>
          <w:rFonts w:ascii="Verdana" w:hAnsi="Verdana" w:cs="Arial"/>
          <w:sz w:val="18"/>
          <w:szCs w:val="18"/>
          <w:lang w:val="el-GR"/>
        </w:rPr>
        <w:t>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EA3FCC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1AFDBA6E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037258">
        <w:rPr>
          <w:rFonts w:ascii="Verdana" w:eastAsia="Malgun Gothic" w:hAnsi="Verdana" w:cs="Arial"/>
          <w:szCs w:val="22"/>
        </w:rPr>
        <w:t>ΙΟΥ</w:t>
      </w:r>
      <w:r w:rsidR="005C0DDA">
        <w:rPr>
          <w:rFonts w:ascii="Verdana" w:eastAsia="Malgun Gothic" w:hAnsi="Verdana" w:cs="Arial"/>
          <w:szCs w:val="22"/>
        </w:rPr>
        <w:t>Λ</w:t>
      </w:r>
      <w:r w:rsidR="00037258">
        <w:rPr>
          <w:rFonts w:ascii="Verdana" w:eastAsia="Malgun Gothic" w:hAnsi="Verdana" w:cs="Arial"/>
          <w:szCs w:val="22"/>
        </w:rPr>
        <w:t>Ι</w:t>
      </w:r>
      <w:r w:rsidR="00B47A61">
        <w:rPr>
          <w:rFonts w:ascii="Verdana" w:eastAsia="Malgun Gothic" w:hAnsi="Verdana" w:cs="Arial"/>
          <w:szCs w:val="22"/>
        </w:rPr>
        <w:t>ΟΣ</w:t>
      </w:r>
      <w:r w:rsidR="00B1372E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431281">
        <w:rPr>
          <w:rFonts w:ascii="Verdana" w:eastAsia="Malgun Gothic" w:hAnsi="Verdana" w:cs="Arial"/>
          <w:szCs w:val="22"/>
        </w:rPr>
        <w:t>4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73D8DB98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bookmarkStart w:id="0" w:name="_Hlk160797423"/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5C0DDA">
        <w:rPr>
          <w:rFonts w:ascii="Verdana" w:eastAsia="Malgun Gothic" w:hAnsi="Verdana" w:cs="Arial"/>
          <w:b/>
          <w:color w:val="000000" w:themeColor="text1"/>
          <w:lang w:val="el-GR"/>
        </w:rPr>
        <w:t>3</w:t>
      </w:r>
      <w:r w:rsidR="00716482" w:rsidRPr="009D7BA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bookmarkEnd w:id="0"/>
      <w:r w:rsidR="005C0DDA">
        <w:rPr>
          <w:rFonts w:ascii="Verdana" w:eastAsia="Malgun Gothic" w:hAnsi="Verdana" w:cs="Arial"/>
          <w:b/>
          <w:color w:val="000000" w:themeColor="text1"/>
          <w:lang w:val="el-GR"/>
        </w:rPr>
        <w:t>039</w:t>
      </w:r>
    </w:p>
    <w:p w14:paraId="3E535934" w14:textId="77777777" w:rsidR="00833DCE" w:rsidRPr="009D7BA9" w:rsidRDefault="00833DCE" w:rsidP="00833DCE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2EEED6EA" w:rsidR="00833DCE" w:rsidRPr="000C64DF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Ιού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λ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431281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039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Για την περίοδο Ιανουαρίο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υ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– 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Ιου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λ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ίου</w:t>
      </w:r>
      <w:r w:rsidR="008A3675" w:rsidRPr="008A367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2024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 σύνολο της απασχόλησης στην Κυβέρνηση ανήλθε 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μέσο όρο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στα 54.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481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άτομα, παρουσιάζοντας αύξηση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2.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23</w:t>
      </w:r>
      <w:r w:rsidR="00BA29A5" w:rsidRPr="00BA29A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άτομα (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 w:rsidR="00700D1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σε σύγκριση με την αντίστοιχη περίοδο του 2023. </w:t>
      </w:r>
    </w:p>
    <w:bookmarkEnd w:id="1"/>
    <w:p w14:paraId="79D75D2F" w14:textId="77777777" w:rsidR="00972EB1" w:rsidRDefault="00972EB1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6943F63C" w:rsidR="00972EB1" w:rsidRDefault="007E18D0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A9339E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32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4.2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5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αορίστου χρόνου (ΕΑΧ), 1.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31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35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6</w:t>
      </w:r>
      <w:r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6D8DD8C1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11.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88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1.1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58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593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14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BA29A5" w:rsidRPr="00BA29A5">
        <w:rPr>
          <w:rFonts w:ascii="Verdana" w:eastAsia="Malgun Gothic" w:hAnsi="Verdana" w:cs="Arial"/>
          <w:sz w:val="18"/>
          <w:szCs w:val="18"/>
          <w:lang w:val="el-GR"/>
        </w:rPr>
        <w:t>5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(0,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D0A023" w14:textId="5624C002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27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559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29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 xml:space="preserve">2 </w:t>
      </w:r>
      <w:r>
        <w:rPr>
          <w:rFonts w:ascii="Verdana" w:eastAsia="Malgun Gothic" w:hAnsi="Verdana" w:cs="Arial"/>
          <w:sz w:val="18"/>
          <w:szCs w:val="18"/>
          <w:lang w:val="el-GR"/>
        </w:rPr>
        <w:t>ωρομίσθιοι. Το μεγαλύτερο ποσοστό υπαλλήλων στις Δυνάμεις Ασφαλείας το αποτελούσαν οι μόνιμοι υπάλληλοι (5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6A539621" w14:textId="475301E7" w:rsidR="0023503C" w:rsidRPr="00B83444" w:rsidRDefault="0023503C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E3B8FF9" w14:textId="76C9F33C" w:rsidR="00794337" w:rsidRDefault="005C0DDA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noProof/>
        </w:rPr>
        <w:drawing>
          <wp:inline distT="0" distB="0" distL="0" distR="0" wp14:anchorId="3C852B86" wp14:editId="0738F2E7">
            <wp:extent cx="6084000" cy="3819525"/>
            <wp:effectExtent l="0" t="0" r="12065" b="9525"/>
            <wp:docPr id="4256236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8D11DA1-7E1F-4BB2-89F7-47312A4C56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13549C" w14:textId="77777777" w:rsidR="00FD15F8" w:rsidRPr="00FD15F8" w:rsidRDefault="00FD15F8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588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0"/>
        <w:gridCol w:w="1497"/>
        <w:gridCol w:w="3037"/>
        <w:gridCol w:w="1757"/>
        <w:gridCol w:w="1757"/>
      </w:tblGrid>
      <w:tr w:rsidR="00057600" w:rsidRPr="000A0E1A" w14:paraId="0AD09E20" w14:textId="3F577A61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AE68F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FE4791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80C4C1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19FEA558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C008EF" w14:paraId="575BCA22" w14:textId="77777777" w:rsidTr="0005430D">
        <w:trPr>
          <w:trHeight w:val="397"/>
          <w:jc w:val="center"/>
        </w:trPr>
        <w:tc>
          <w:tcPr>
            <w:tcW w:w="1584" w:type="pct"/>
            <w:gridSpan w:val="2"/>
            <w:vMerge w:val="restart"/>
            <w:tcBorders>
              <w:top w:val="single" w:sz="8" w:space="0" w:color="2F5496" w:themeColor="accent1" w:themeShade="BF"/>
              <w:left w:val="nil"/>
              <w:right w:val="nil"/>
            </w:tcBorders>
            <w:vAlign w:val="center"/>
          </w:tcPr>
          <w:p w14:paraId="66D372B4" w14:textId="50E3A7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84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14554BE" w14:textId="54EB6D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2" w:type="pct"/>
            <w:gridSpan w:val="2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E8BE1A1" w14:textId="164574A8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D15F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</w:tr>
      <w:tr w:rsidR="00C008EF" w14:paraId="4A84001A" w14:textId="5919ED18" w:rsidTr="0005430D">
        <w:trPr>
          <w:trHeight w:val="688"/>
          <w:jc w:val="center"/>
        </w:trPr>
        <w:tc>
          <w:tcPr>
            <w:tcW w:w="1584" w:type="pct"/>
            <w:gridSpan w:val="2"/>
            <w:vMerge/>
            <w:tcBorders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3D59FE21" w14:textId="6085C4B6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04EDDE9" w14:textId="3B7CC9E4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8E8EAC9" w14:textId="528D32F5" w:rsidR="00C008EF" w:rsidRPr="009D7BA9" w:rsidRDefault="00037258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Ιου</w:t>
            </w:r>
            <w:r w:rsidR="005C0DD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λ</w:t>
            </w:r>
            <w:r w:rsidR="00C008E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5BC5E106" w14:textId="335D8D44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03725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Ιου</w:t>
            </w:r>
            <w:r w:rsidR="005C0DD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  <w:p w14:paraId="52A9A089" w14:textId="5DBFB1CC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(Μέσος Όρος)</w:t>
            </w:r>
          </w:p>
        </w:tc>
      </w:tr>
      <w:tr w:rsidR="005C0DDA" w14:paraId="6F430E20" w14:textId="50809A69" w:rsidTr="00FD15F8">
        <w:trPr>
          <w:trHeight w:val="416"/>
          <w:jc w:val="center"/>
        </w:trPr>
        <w:tc>
          <w:tcPr>
            <w:tcW w:w="803" w:type="pct"/>
            <w:vMerge w:val="restar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0EEF017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327EA1AC" w:rsidR="005C0DDA" w:rsidRPr="00A25A35" w:rsidRDefault="005C0DDA" w:rsidP="005C0DD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23.333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70B08489" w14:textId="730E6EA3" w:rsidR="005C0DDA" w:rsidRDefault="005C0DDA" w:rsidP="005C0DD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23.314</w:t>
            </w:r>
          </w:p>
        </w:tc>
      </w:tr>
      <w:tr w:rsidR="005C0DDA" w14:paraId="1259A524" w14:textId="3ED9662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12ECCE63" w:rsidR="005C0DDA" w:rsidRPr="00A25A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12.032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6C24E778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12.034</w:t>
            </w:r>
          </w:p>
        </w:tc>
      </w:tr>
      <w:tr w:rsidR="005C0DDA" w14:paraId="4C45568B" w14:textId="40DA5A32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0FCB4AEE" w:rsidR="005C0DDA" w:rsidRPr="00A25A35" w:rsidRDefault="005C0DDA" w:rsidP="005C0DD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4.235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5D81B854" w:rsidR="005C0DDA" w:rsidRDefault="005C0DDA" w:rsidP="005C0DD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4.260</w:t>
            </w:r>
          </w:p>
        </w:tc>
      </w:tr>
      <w:tr w:rsidR="005C0DDA" w14:paraId="01CD4BC1" w14:textId="3B8EE39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361349E8" w:rsidR="005C0DDA" w:rsidRPr="00A25A35" w:rsidRDefault="005C0DDA" w:rsidP="005C0DD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1.231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348ADD11" w:rsidR="005C0DDA" w:rsidRDefault="005C0DDA" w:rsidP="005C0DD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1.257</w:t>
            </w:r>
          </w:p>
        </w:tc>
      </w:tr>
      <w:tr w:rsidR="005C0DDA" w14:paraId="238667B0" w14:textId="6F91069D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5C0DDA" w:rsidRPr="00014818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5F6D7B7B" w:rsidR="005C0DDA" w:rsidRPr="00A25A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5.835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2217A8A7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5.764</w:t>
            </w:r>
          </w:p>
        </w:tc>
      </w:tr>
      <w:tr w:rsidR="005C0DDA" w14:paraId="40FE99DD" w14:textId="04695CAD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C1BD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27B297F3" w:rsidR="005C0DDA" w:rsidRPr="00B26B67" w:rsidRDefault="005C0DDA" w:rsidP="005C0DD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15.780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74957AB0" w:rsidR="005C0DDA" w:rsidRPr="001E1EEB" w:rsidRDefault="005C0DDA" w:rsidP="005C0DD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17.270</w:t>
            </w:r>
          </w:p>
        </w:tc>
      </w:tr>
      <w:tr w:rsidR="005C0DDA" w14:paraId="128A467B" w14:textId="14DD5C7A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3A6F57F7" w:rsidR="005C0DDA" w:rsidRPr="00B26B67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11.888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60F0A7FE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11.891</w:t>
            </w:r>
          </w:p>
        </w:tc>
      </w:tr>
      <w:tr w:rsidR="005C0DDA" w14:paraId="2CE2B28B" w14:textId="03FA112B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70C03AB5" w:rsidR="005C0DDA" w:rsidRPr="00B26B67" w:rsidRDefault="005C0DDA" w:rsidP="005C0DD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1.158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236C4935" w:rsidR="005C0DDA" w:rsidRDefault="005C0DDA" w:rsidP="005C0DD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1.185</w:t>
            </w:r>
          </w:p>
        </w:tc>
      </w:tr>
      <w:tr w:rsidR="005C0DDA" w14:paraId="4709F233" w14:textId="37A36105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3C1E4EC5" w:rsidR="005C0DDA" w:rsidRPr="00B26B67" w:rsidRDefault="005C0DDA" w:rsidP="005C0DD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2.593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0613A9F4" w:rsidR="005C0DDA" w:rsidRDefault="005C0DDA" w:rsidP="005C0DD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4.043</w:t>
            </w:r>
          </w:p>
        </w:tc>
      </w:tr>
      <w:tr w:rsidR="005C0DDA" w14:paraId="15F66AF8" w14:textId="1E74B67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2B2FC1FD" w:rsidR="005C0DDA" w:rsidRPr="00B26B67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2A82E5B9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</w:tr>
      <w:tr w:rsidR="005C0DDA" w14:paraId="3E3912D1" w14:textId="3B0B5488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9B55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5A4476C2" w:rsidR="005C0DDA" w:rsidRPr="00B26B67" w:rsidRDefault="005C0DDA" w:rsidP="005C0DD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13.926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2A1A35FE" w:rsidR="005C0DDA" w:rsidRDefault="005C0DDA" w:rsidP="005C0DD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13.896</w:t>
            </w:r>
          </w:p>
        </w:tc>
      </w:tr>
      <w:tr w:rsidR="005C0DDA" w14:paraId="074DDEC6" w14:textId="4943EC06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7B0FAB16" w:rsidR="005C0DDA" w:rsidRPr="00B26B67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8.327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2197A61E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8.199</w:t>
            </w:r>
          </w:p>
        </w:tc>
      </w:tr>
      <w:tr w:rsidR="005C0DDA" w14:paraId="7AD5FD8A" w14:textId="3B2D85B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325F1B42" w:rsidR="005C0DDA" w:rsidRPr="00B26B67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4.559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37A5874D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4.667</w:t>
            </w:r>
          </w:p>
        </w:tc>
      </w:tr>
      <w:tr w:rsidR="005C0DDA" w14:paraId="1F11EB1F" w14:textId="1ED63502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302B156F" w:rsidR="005C0DDA" w:rsidRPr="00763C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1F749238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285</w:t>
            </w:r>
          </w:p>
        </w:tc>
      </w:tr>
      <w:tr w:rsidR="005C0DDA" w14:paraId="74173B36" w14:textId="4762886B" w:rsidTr="00FD15F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0D75C3E1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9E84A61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5F7A5B8E" w14:textId="44AFBA07" w:rsidR="005C0DDA" w:rsidRPr="00763C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185128" w14:textId="710148FA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744</w:t>
            </w:r>
          </w:p>
        </w:tc>
      </w:tr>
      <w:tr w:rsidR="005C0DDA" w14:paraId="4EE4AB9A" w14:textId="01EE2EAC" w:rsidTr="00FD15F8">
        <w:trPr>
          <w:trHeight w:val="416"/>
          <w:jc w:val="center"/>
        </w:trPr>
        <w:tc>
          <w:tcPr>
            <w:tcW w:w="80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5C0DDA" w:rsidRPr="009D7BA9" w:rsidRDefault="005C0DDA" w:rsidP="005C0DD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36765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5B119F23" w:rsidR="005C0DDA" w:rsidRPr="00763C35" w:rsidRDefault="005C0DDA" w:rsidP="005C0DD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53.039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981265F" w14:textId="45EAB7D5" w:rsidR="005C0DDA" w:rsidRPr="001E1EEB" w:rsidRDefault="005C0DDA" w:rsidP="005C0DD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54.481</w:t>
            </w:r>
          </w:p>
        </w:tc>
      </w:tr>
      <w:tr w:rsidR="005C0DDA" w14:paraId="34CBF42C" w14:textId="5AA9D29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58F83F20" w:rsidR="005C0DDA" w:rsidRPr="00763C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32.247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314CB096" w:rsidR="005C0DDA" w:rsidRPr="007A3B22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32.124</w:t>
            </w:r>
          </w:p>
        </w:tc>
      </w:tr>
      <w:tr w:rsidR="005C0DDA" w14:paraId="790351B7" w14:textId="0037B9C0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5503CB4A" w:rsidR="005C0DDA" w:rsidRPr="00763C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9.952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01544965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10.112</w:t>
            </w:r>
          </w:p>
        </w:tc>
      </w:tr>
      <w:tr w:rsidR="005C0DDA" w14:paraId="210B824C" w14:textId="79C4BDF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4F6E502B" w:rsidR="005C0DDA" w:rsidRPr="00763C35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4.122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4D8678B6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5.584</w:t>
            </w:r>
          </w:p>
        </w:tc>
      </w:tr>
      <w:tr w:rsidR="005C0DDA" w14:paraId="43CD3286" w14:textId="4D4C93D2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926949" w14:textId="77777777" w:rsidR="005C0DDA" w:rsidRPr="0002616B" w:rsidRDefault="005C0DDA" w:rsidP="005C0DD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8DE00E3" w14:textId="77777777" w:rsidR="005C0DDA" w:rsidRDefault="005C0DDA" w:rsidP="005C0DD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77D50FD4" w14:textId="1C06729B" w:rsidR="005C0DDA" w:rsidRPr="00B24016" w:rsidRDefault="005C0DDA" w:rsidP="005C0DD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DCFBC34" w14:textId="22459627" w:rsidR="005C0DDA" w:rsidRDefault="005C0DDA" w:rsidP="005C0DD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6.661</w:t>
            </w:r>
          </w:p>
        </w:tc>
      </w:tr>
    </w:tbl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  <w:bookmarkStart w:id="2" w:name="_Hlk158968486"/>
    </w:p>
    <w:p w14:paraId="5AF76D8E" w14:textId="77777777" w:rsidR="00CE71A1" w:rsidRP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91F59BF" w14:textId="77777777" w:rsidR="00763C35" w:rsidRDefault="00763C35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781C60B" w14:textId="0A1A7296" w:rsidR="004C603B" w:rsidRDefault="004C603B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F3560F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6A54AE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85D4B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06C633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943CD0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B14716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AF7C9ED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331EA7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E5518C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A19FB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</w:rPr>
      </w:pPr>
    </w:p>
    <w:p w14:paraId="78AF77A2" w14:textId="77777777" w:rsidR="002C3477" w:rsidRPr="002C3477" w:rsidRDefault="002C3477" w:rsidP="00CE71A1">
      <w:pPr>
        <w:jc w:val="both"/>
        <w:rPr>
          <w:rFonts w:ascii="Verdana" w:hAnsi="Verdana" w:cs="Arial"/>
          <w:sz w:val="18"/>
          <w:szCs w:val="18"/>
        </w:rPr>
      </w:pPr>
    </w:p>
    <w:p w14:paraId="0A299FF5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DEA810" w14:textId="77777777" w:rsidR="00833DCE" w:rsidRDefault="00833DCE" w:rsidP="00833DCE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A9359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04060F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 xml:space="preserve">Και στις τρεις κατηγορίες οι υπάλληλοι διαχωρίζονται σε μόνιμους, </w:t>
      </w:r>
      <w:proofErr w:type="spellStart"/>
      <w:r w:rsidR="009D7759">
        <w:rPr>
          <w:rFonts w:ascii="Verdana" w:eastAsia="Malgun Gothic" w:hAnsi="Verdana" w:cs="Arial"/>
          <w:sz w:val="18"/>
          <w:szCs w:val="18"/>
          <w:lang w:val="el-GR"/>
        </w:rPr>
        <w:t>εργοδοτούμενους</w:t>
      </w:r>
      <w:proofErr w:type="spellEnd"/>
      <w:r w:rsidR="009D7759">
        <w:rPr>
          <w:rFonts w:ascii="Verdana" w:eastAsia="Malgun Gothic" w:hAnsi="Verdana" w:cs="Arial"/>
          <w:sz w:val="18"/>
          <w:szCs w:val="18"/>
          <w:lang w:val="el-GR"/>
        </w:rPr>
        <w:t xml:space="preserve">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833DCE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B83444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B8344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B83444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</w:t>
      </w:r>
      <w:proofErr w:type="spellStart"/>
      <w:r w:rsidRPr="00C732B0">
        <w:rPr>
          <w:rFonts w:ascii="Verdana" w:hAnsi="Verdana" w:cs="Arial"/>
          <w:sz w:val="18"/>
          <w:szCs w:val="18"/>
          <w:lang w:val="el-GR"/>
        </w:rPr>
        <w:t>εργοδοτούμενους</w:t>
      </w:r>
      <w:proofErr w:type="spellEnd"/>
      <w:r w:rsidRPr="00C732B0">
        <w:rPr>
          <w:rFonts w:ascii="Verdana" w:hAnsi="Verdana" w:cs="Arial"/>
          <w:sz w:val="18"/>
          <w:szCs w:val="18"/>
          <w:lang w:val="el-GR"/>
        </w:rPr>
        <w:t xml:space="preserve"> αορίστου χρόνου (ΕΑΧ), </w:t>
      </w:r>
      <w:proofErr w:type="spellStart"/>
      <w:r w:rsidRPr="00C732B0">
        <w:rPr>
          <w:rFonts w:ascii="Verdana" w:hAnsi="Verdana" w:cs="Arial"/>
          <w:sz w:val="18"/>
          <w:szCs w:val="18"/>
          <w:lang w:val="el-GR"/>
        </w:rPr>
        <w:t>εργοδοτούμενους</w:t>
      </w:r>
      <w:proofErr w:type="spellEnd"/>
      <w:r w:rsidRPr="00C732B0">
        <w:rPr>
          <w:rFonts w:ascii="Verdana" w:hAnsi="Verdana" w:cs="Arial"/>
          <w:sz w:val="18"/>
          <w:szCs w:val="18"/>
          <w:lang w:val="el-GR"/>
        </w:rPr>
        <w:t xml:space="preserve">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833DCE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833DCE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</w:t>
      </w:r>
      <w:r w:rsidR="00833DCE">
        <w:rPr>
          <w:rFonts w:ascii="Verdana" w:hAnsi="Verdana"/>
          <w:sz w:val="18"/>
          <w:szCs w:val="18"/>
        </w:rPr>
        <w:t>Excel</w:t>
      </w:r>
      <w:r w:rsidR="00833DCE"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833DC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833DCE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833DCE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833DCE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833DC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6695" w14:textId="77777777" w:rsidR="00D9068F" w:rsidRDefault="00D9068F" w:rsidP="00FB398F">
      <w:r>
        <w:separator/>
      </w:r>
    </w:p>
  </w:endnote>
  <w:endnote w:type="continuationSeparator" w:id="0">
    <w:p w14:paraId="01F9EF50" w14:textId="77777777" w:rsidR="00D9068F" w:rsidRDefault="00D9068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EB3D20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CA96" w14:textId="77777777" w:rsidR="00D9068F" w:rsidRDefault="00D9068F" w:rsidP="00FB398F">
      <w:r>
        <w:separator/>
      </w:r>
    </w:p>
  </w:footnote>
  <w:footnote w:type="continuationSeparator" w:id="0">
    <w:p w14:paraId="0B228A5B" w14:textId="77777777" w:rsidR="00D9068F" w:rsidRDefault="00D9068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542E"/>
    <w:rsid w:val="00006064"/>
    <w:rsid w:val="000104BC"/>
    <w:rsid w:val="00011AF0"/>
    <w:rsid w:val="00013E40"/>
    <w:rsid w:val="00014818"/>
    <w:rsid w:val="000161B1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445B"/>
    <w:rsid w:val="00084A02"/>
    <w:rsid w:val="00084BF7"/>
    <w:rsid w:val="000870E9"/>
    <w:rsid w:val="0009236F"/>
    <w:rsid w:val="000932CF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482B"/>
    <w:rsid w:val="001253B6"/>
    <w:rsid w:val="001262C3"/>
    <w:rsid w:val="00127320"/>
    <w:rsid w:val="00127456"/>
    <w:rsid w:val="001312D8"/>
    <w:rsid w:val="0013137B"/>
    <w:rsid w:val="00142818"/>
    <w:rsid w:val="001429A9"/>
    <w:rsid w:val="00143637"/>
    <w:rsid w:val="0015118B"/>
    <w:rsid w:val="001519CE"/>
    <w:rsid w:val="0015607B"/>
    <w:rsid w:val="00161CF3"/>
    <w:rsid w:val="00162C00"/>
    <w:rsid w:val="001639EF"/>
    <w:rsid w:val="0016589F"/>
    <w:rsid w:val="00166B3C"/>
    <w:rsid w:val="001712CF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A2018"/>
    <w:rsid w:val="001A43D9"/>
    <w:rsid w:val="001B16AF"/>
    <w:rsid w:val="001B2C39"/>
    <w:rsid w:val="001B305A"/>
    <w:rsid w:val="001B3675"/>
    <w:rsid w:val="001B3A6A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10B58"/>
    <w:rsid w:val="00214791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C3477"/>
    <w:rsid w:val="002D05F0"/>
    <w:rsid w:val="002D2829"/>
    <w:rsid w:val="002D5155"/>
    <w:rsid w:val="002D5C7D"/>
    <w:rsid w:val="002D7D4A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F02"/>
    <w:rsid w:val="003D1190"/>
    <w:rsid w:val="003D14E0"/>
    <w:rsid w:val="003D1AAC"/>
    <w:rsid w:val="003D1EA5"/>
    <w:rsid w:val="003D3348"/>
    <w:rsid w:val="003D4E63"/>
    <w:rsid w:val="003D6822"/>
    <w:rsid w:val="003D724C"/>
    <w:rsid w:val="003E0CD3"/>
    <w:rsid w:val="003E0CE2"/>
    <w:rsid w:val="003E1C96"/>
    <w:rsid w:val="003F02E6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FCC"/>
    <w:rsid w:val="00445E9B"/>
    <w:rsid w:val="00446FB1"/>
    <w:rsid w:val="00450A17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6599"/>
    <w:rsid w:val="004C5BD9"/>
    <w:rsid w:val="004C603B"/>
    <w:rsid w:val="004C6CA7"/>
    <w:rsid w:val="004D1264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156FE"/>
    <w:rsid w:val="00521895"/>
    <w:rsid w:val="00527CDB"/>
    <w:rsid w:val="0053337E"/>
    <w:rsid w:val="005341C9"/>
    <w:rsid w:val="005369CA"/>
    <w:rsid w:val="00536DE9"/>
    <w:rsid w:val="00537501"/>
    <w:rsid w:val="00537E91"/>
    <w:rsid w:val="005415A7"/>
    <w:rsid w:val="00541E08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3A07"/>
    <w:rsid w:val="006A7019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7A6"/>
    <w:rsid w:val="0074007C"/>
    <w:rsid w:val="007406A3"/>
    <w:rsid w:val="007413F2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4BDC"/>
    <w:rsid w:val="00792F28"/>
    <w:rsid w:val="007935CA"/>
    <w:rsid w:val="00794337"/>
    <w:rsid w:val="0079543F"/>
    <w:rsid w:val="00795880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4D4A"/>
    <w:rsid w:val="008B022B"/>
    <w:rsid w:val="008B0E7E"/>
    <w:rsid w:val="008B394B"/>
    <w:rsid w:val="008B6569"/>
    <w:rsid w:val="008B65BD"/>
    <w:rsid w:val="008B7900"/>
    <w:rsid w:val="008C71BF"/>
    <w:rsid w:val="008C7FE0"/>
    <w:rsid w:val="008D5717"/>
    <w:rsid w:val="008D74DF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60C19"/>
    <w:rsid w:val="00960E98"/>
    <w:rsid w:val="00963A82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CEA"/>
    <w:rsid w:val="009C583D"/>
    <w:rsid w:val="009C7812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73C7"/>
    <w:rsid w:val="009F0528"/>
    <w:rsid w:val="009F0806"/>
    <w:rsid w:val="009F233B"/>
    <w:rsid w:val="009F5771"/>
    <w:rsid w:val="00A002DC"/>
    <w:rsid w:val="00A00F24"/>
    <w:rsid w:val="00A02117"/>
    <w:rsid w:val="00A022D1"/>
    <w:rsid w:val="00A05D16"/>
    <w:rsid w:val="00A0659F"/>
    <w:rsid w:val="00A079BA"/>
    <w:rsid w:val="00A13ABE"/>
    <w:rsid w:val="00A14E8C"/>
    <w:rsid w:val="00A15EA7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9088A"/>
    <w:rsid w:val="00A9339E"/>
    <w:rsid w:val="00A93590"/>
    <w:rsid w:val="00A93A4C"/>
    <w:rsid w:val="00A94D5D"/>
    <w:rsid w:val="00A97510"/>
    <w:rsid w:val="00AA044F"/>
    <w:rsid w:val="00AA1D9B"/>
    <w:rsid w:val="00AA2543"/>
    <w:rsid w:val="00AA2810"/>
    <w:rsid w:val="00AA3804"/>
    <w:rsid w:val="00AA55C2"/>
    <w:rsid w:val="00AB0ACA"/>
    <w:rsid w:val="00AB1D41"/>
    <w:rsid w:val="00AB3F35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4ECD"/>
    <w:rsid w:val="00B450D1"/>
    <w:rsid w:val="00B47A61"/>
    <w:rsid w:val="00B51685"/>
    <w:rsid w:val="00B53D47"/>
    <w:rsid w:val="00B54A25"/>
    <w:rsid w:val="00B55197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40F3"/>
    <w:rsid w:val="00BA68C6"/>
    <w:rsid w:val="00BB12F1"/>
    <w:rsid w:val="00BB276E"/>
    <w:rsid w:val="00BB3FEE"/>
    <w:rsid w:val="00BB510C"/>
    <w:rsid w:val="00BB5EB0"/>
    <w:rsid w:val="00BC245A"/>
    <w:rsid w:val="00BD08D3"/>
    <w:rsid w:val="00BD16FA"/>
    <w:rsid w:val="00BD41C3"/>
    <w:rsid w:val="00BD488B"/>
    <w:rsid w:val="00BD7CCC"/>
    <w:rsid w:val="00BE002A"/>
    <w:rsid w:val="00BE0283"/>
    <w:rsid w:val="00BE1BC9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A8B"/>
    <w:rsid w:val="00C05128"/>
    <w:rsid w:val="00C05C86"/>
    <w:rsid w:val="00C124A2"/>
    <w:rsid w:val="00C15193"/>
    <w:rsid w:val="00C15609"/>
    <w:rsid w:val="00C15F6A"/>
    <w:rsid w:val="00C23EA7"/>
    <w:rsid w:val="00C256F3"/>
    <w:rsid w:val="00C270A2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7249"/>
    <w:rsid w:val="00CB1F4A"/>
    <w:rsid w:val="00CB6BC1"/>
    <w:rsid w:val="00CB7021"/>
    <w:rsid w:val="00CC24A1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3FF1"/>
    <w:rsid w:val="00D245DD"/>
    <w:rsid w:val="00D31A6F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6165"/>
    <w:rsid w:val="00D461C7"/>
    <w:rsid w:val="00D50424"/>
    <w:rsid w:val="00D50445"/>
    <w:rsid w:val="00D525C9"/>
    <w:rsid w:val="00D57D3E"/>
    <w:rsid w:val="00D64016"/>
    <w:rsid w:val="00D644FE"/>
    <w:rsid w:val="00D645F6"/>
    <w:rsid w:val="00D6752D"/>
    <w:rsid w:val="00D70F45"/>
    <w:rsid w:val="00D76249"/>
    <w:rsid w:val="00D9068F"/>
    <w:rsid w:val="00DA0FD5"/>
    <w:rsid w:val="00DA2B63"/>
    <w:rsid w:val="00DA6BEC"/>
    <w:rsid w:val="00DA7D12"/>
    <w:rsid w:val="00DC205C"/>
    <w:rsid w:val="00DC23CF"/>
    <w:rsid w:val="00DC2DEE"/>
    <w:rsid w:val="00DC6562"/>
    <w:rsid w:val="00DD4420"/>
    <w:rsid w:val="00DD53A0"/>
    <w:rsid w:val="00DE117E"/>
    <w:rsid w:val="00DE130D"/>
    <w:rsid w:val="00DE24CF"/>
    <w:rsid w:val="00DE407C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57FB0"/>
    <w:rsid w:val="00E63F34"/>
    <w:rsid w:val="00E63FEA"/>
    <w:rsid w:val="00E64AB9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3FCC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2650"/>
    <w:rsid w:val="00ED52CF"/>
    <w:rsid w:val="00ED6131"/>
    <w:rsid w:val="00ED721A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6EA5"/>
    <w:rsid w:val="00F57AFE"/>
    <w:rsid w:val="00F6278E"/>
    <w:rsid w:val="00F63C41"/>
    <w:rsid w:val="00F63E96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24A5"/>
    <w:rsid w:val="00FE31E5"/>
    <w:rsid w:val="00FE3723"/>
    <w:rsid w:val="00FE508D"/>
    <w:rsid w:val="00FE6A65"/>
    <w:rsid w:val="00FF19AD"/>
    <w:rsid w:val="00FF1EB5"/>
    <w:rsid w:val="00FF292D"/>
    <w:rsid w:val="00FF298D"/>
    <w:rsid w:val="00FF4B55"/>
    <w:rsid w:val="00FF4D41"/>
    <w:rsid w:val="00FF6287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overnment%20Labour%20Force\2024\07.2024\Monthly_GLF_Graphs_M0724-1208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l-GR" sz="1100" b="1" i="0" u="none" strike="noStrike" kern="1200" spc="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Απασχόληση Κυβέρνησης ανά Κατηγορία</a:t>
            </a:r>
          </a:p>
          <a:p>
            <a:pPr>
              <a:defRPr/>
            </a:pPr>
            <a:r>
              <a:rPr lang="el-GR" sz="1100" b="1" i="0" u="none" strike="noStrike" kern="1200" spc="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Ιούλιος 2024</a:t>
            </a:r>
            <a:endParaRPr lang="en-US" sz="1100" b="1" i="0" u="none" strike="noStrike" kern="1200" spc="0" baseline="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23671614069690994"/>
          <c:y val="2.60798696006519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title>
    <c:autoTitleDeleted val="0"/>
    <c:plotArea>
      <c:layout>
        <c:manualLayout>
          <c:layoutTarget val="inner"/>
          <c:xMode val="edge"/>
          <c:yMode val="edge"/>
          <c:x val="0.12065762656147272"/>
          <c:y val="0.13121526891432833"/>
          <c:w val="0.86681771860618018"/>
          <c:h val="0.66312996938952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'EL-EN (2)'!$D$8</c:f>
              <c:strCache>
                <c:ptCount val="1"/>
                <c:pt idx="0">
                  <c:v>Μόνιμοι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(2)'!$K$4,'EL-EN (2)'!$K$8,'EL-EN (2)'!$K$12,'EL-EN (2)'!$K$16)</c:f>
              <c:numCache>
                <c:formatCode>#,##0</c:formatCode>
                <c:ptCount val="4"/>
                <c:pt idx="0">
                  <c:v>32247</c:v>
                </c:pt>
                <c:pt idx="1">
                  <c:v>12032</c:v>
                </c:pt>
                <c:pt idx="2">
                  <c:v>11888</c:v>
                </c:pt>
                <c:pt idx="3">
                  <c:v>8327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DC-4204-9944-34234519C807}"/>
            </c:ext>
          </c:extLst>
        </c:ser>
        <c:ser>
          <c:idx val="1"/>
          <c:order val="1"/>
          <c:tx>
            <c:strRef>
              <c:f>'EL-EN (2)'!$D$5</c:f>
              <c:strCache>
                <c:ptCount val="1"/>
                <c:pt idx="0">
                  <c:v>Εργοδοτούμενοι
Αορίστου Χρόνου (ΕΑΧ)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(2)'!$K$5,'EL-EN (2)'!$K$9,'EL-EN (2)'!$K$13,'EL-EN (2)'!$K$17)</c:f>
              <c:numCache>
                <c:formatCode>#,##0</c:formatCode>
                <c:ptCount val="4"/>
                <c:pt idx="0">
                  <c:v>9952</c:v>
                </c:pt>
                <c:pt idx="1">
                  <c:v>4235</c:v>
                </c:pt>
                <c:pt idx="2">
                  <c:v>1158</c:v>
                </c:pt>
                <c:pt idx="3">
                  <c:v>4559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DC-4204-9944-34234519C807}"/>
            </c:ext>
          </c:extLst>
        </c:ser>
        <c:ser>
          <c:idx val="2"/>
          <c:order val="2"/>
          <c:tx>
            <c:strRef>
              <c:f>'EL-EN (2)'!$D$6</c:f>
              <c:strCache>
                <c:ptCount val="1"/>
                <c:pt idx="0">
                  <c:v>Εργοδοτούμενοι
Ορισμένου Χρόνου (ΕΟΧ)
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(2)'!$K$6,'EL-EN (2)'!$K$10,'EL-EN (2)'!$K$14,'EL-EN (2)'!$K$18)</c:f>
              <c:numCache>
                <c:formatCode>#,##0</c:formatCode>
                <c:ptCount val="4"/>
                <c:pt idx="0">
                  <c:v>4122</c:v>
                </c:pt>
                <c:pt idx="1">
                  <c:v>1231</c:v>
                </c:pt>
                <c:pt idx="2">
                  <c:v>2593</c:v>
                </c:pt>
                <c:pt idx="3" formatCode="General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DC-4204-9944-34234519C807}"/>
            </c:ext>
          </c:extLst>
        </c:ser>
        <c:ser>
          <c:idx val="3"/>
          <c:order val="3"/>
          <c:tx>
            <c:strRef>
              <c:f>'EL-EN (2)'!$D$7</c:f>
              <c:strCache>
                <c:ptCount val="1"/>
                <c:pt idx="0">
                  <c:v>Ωρομίσθιοι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(2)'!$K$7,'EL-EN (2)'!$K$11,'EL-EN (2)'!$K$15,'EL-EN (2)'!$K$19)</c:f>
              <c:numCache>
                <c:formatCode>#,##0</c:formatCode>
                <c:ptCount val="4"/>
                <c:pt idx="0">
                  <c:v>6718</c:v>
                </c:pt>
                <c:pt idx="1">
                  <c:v>5835</c:v>
                </c:pt>
                <c:pt idx="2" formatCode="General">
                  <c:v>141</c:v>
                </c:pt>
                <c:pt idx="3" formatCode="0">
                  <c:v>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DC-4204-9944-34234519C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4"/>
        <c:overlap val="-17"/>
        <c:axId val="2119489200"/>
        <c:axId val="2116015744"/>
      </c:barChart>
      <c:catAx>
        <c:axId val="211948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2116015744"/>
        <c:crosses val="autoZero"/>
        <c:auto val="1"/>
        <c:lblAlgn val="ctr"/>
        <c:lblOffset val="100"/>
        <c:noMultiLvlLbl val="0"/>
      </c:catAx>
      <c:valAx>
        <c:axId val="211601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el-GR" sz="900" b="1">
                    <a:solidFill>
                      <a:schemeClr val="tx1"/>
                    </a:solidFill>
                  </a:rPr>
                  <a:t>Άτομα</a:t>
                </a:r>
                <a:endParaRPr lang="en-US" sz="9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3.3399079552925703E-2"/>
              <c:y val="6.07261374123745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en-CY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211948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781886916502301E-2"/>
          <c:y val="0.89081775536004193"/>
          <c:w val="0.87043606180144639"/>
          <c:h val="0.1026622772397949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558ED5">
          <a:alpha val="50196"/>
        </a:srgbClr>
      </a:solidFill>
      <a:round/>
    </a:ln>
    <a:effectLst/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</a:defRPr>
      </a:pPr>
      <a:endParaRPr lang="en-C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44</cp:revision>
  <cp:lastPrinted>2024-07-09T04:56:00Z</cp:lastPrinted>
  <dcterms:created xsi:type="dcterms:W3CDTF">2024-04-09T16:31:00Z</dcterms:created>
  <dcterms:modified xsi:type="dcterms:W3CDTF">2024-08-12T08:43:00Z</dcterms:modified>
</cp:coreProperties>
</file>