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EE65" w14:textId="0554E854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0F26EB" w:rsidRPr="006A5332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26EB">
        <w:rPr>
          <w:rFonts w:ascii="Verdana" w:hAnsi="Verdana" w:cs="Arial"/>
          <w:sz w:val="18"/>
          <w:szCs w:val="18"/>
          <w:lang w:val="el-GR"/>
        </w:rPr>
        <w:t>Ιου</w:t>
      </w:r>
      <w:r w:rsidR="00922C1F">
        <w:rPr>
          <w:rFonts w:ascii="Verdana" w:hAnsi="Verdana" w:cs="Arial"/>
          <w:sz w:val="18"/>
          <w:szCs w:val="18"/>
          <w:lang w:val="el-GR"/>
        </w:rPr>
        <w:t>λίου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709BA3FC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922C1F">
        <w:rPr>
          <w:rFonts w:ascii="Verdana" w:eastAsia="Malgun Gothic" w:hAnsi="Verdana" w:cs="Arial"/>
          <w:szCs w:val="22"/>
        </w:rPr>
        <w:t>ΙΟΥΝΙΟΣ</w:t>
      </w:r>
      <w:r w:rsidR="000F26EB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2DBFF36F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922C1F">
        <w:rPr>
          <w:rFonts w:ascii="Verdana" w:eastAsia="Malgun Gothic" w:hAnsi="Verdana" w:cs="Arial"/>
          <w:b/>
          <w:color w:val="000000" w:themeColor="text1"/>
          <w:lang w:val="el-GR"/>
        </w:rPr>
        <w:t>4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922C1F">
        <w:rPr>
          <w:rFonts w:ascii="Verdana" w:eastAsia="Malgun Gothic" w:hAnsi="Verdana" w:cs="Arial"/>
          <w:b/>
          <w:color w:val="000000" w:themeColor="text1"/>
          <w:lang w:val="el-GR"/>
        </w:rPr>
        <w:t>829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7958D1AB" w14:textId="4A63238D" w:rsidR="00080FFE" w:rsidRDefault="00833DC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Ιούνιο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676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829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παρέμεινε στα ίδια επίπεδα, στη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ν Εκπαιδευτική Υπηρεσία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αυξήθηκε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 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%, ενώ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στις Δυνάμεις Ασφαλείας μειώθηκε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0F26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22C1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. </w:t>
      </w:r>
    </w:p>
    <w:p w14:paraId="7D4C0B10" w14:textId="77777777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EF005CC" w14:textId="094DEF9E" w:rsid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μεγαλύτερη αύξηση  (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Ορισμένου Χρόνου (ΕΟΧ) σε σύγκριση με τον 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Ιούνιο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2024,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με τη μεγαλύτερη ποσοστιαία μεταβολή να παρουσιάζεται στους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ΕΟΧ της Δημόσιας Υπηρεσίας (1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%). Η μεγαλύτερη μείωση (-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6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%) παρατηρείται στους Εργοδοτούμενους Αορίστου Χρόνου (ΕΑΧ), </w:t>
      </w:r>
      <w:r w:rsidR="00FE60D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με τη μεγαλύτερη ποσοστιαία μεταβολή να παρουσιάζεται στους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ΕΑΧ της Εκπαιδευτικής Υπηρεσίας (-20,</w:t>
      </w:r>
      <w:r w:rsidR="00885F2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%).</w:t>
      </w:r>
    </w:p>
    <w:p w14:paraId="50ECB156" w14:textId="77777777" w:rsidR="00080FFE" w:rsidRPr="00080FFE" w:rsidRDefault="00080FFE" w:rsidP="00080FFE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E920053" w14:textId="27C92B86" w:rsidR="00833DCE" w:rsidRPr="0054335B" w:rsidRDefault="0054335B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B6456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Ιουνίου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934320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σ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1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B0B835" w14:textId="77777777" w:rsidR="007F2051" w:rsidRDefault="007F2051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23C339EB" w:rsidR="00152D2C" w:rsidRPr="00C21A3E" w:rsidRDefault="00B64564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5971A305" wp14:editId="2E5F9426">
            <wp:extent cx="6078220" cy="3719195"/>
            <wp:effectExtent l="0" t="0" r="0" b="0"/>
            <wp:docPr id="3099850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99DDB3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A062F1E" w14:textId="77777777" w:rsidR="00080FFE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0484BF" w14:textId="77777777" w:rsidR="00080FFE" w:rsidRPr="00E13827" w:rsidRDefault="00080FF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1"/>
        <w:gridCol w:w="1806"/>
        <w:gridCol w:w="1536"/>
        <w:gridCol w:w="1538"/>
        <w:gridCol w:w="222"/>
        <w:gridCol w:w="1259"/>
        <w:gridCol w:w="1737"/>
      </w:tblGrid>
      <w:tr w:rsidR="00E13827" w:rsidRPr="00E13827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E13827" w:rsidRDefault="006F53AB" w:rsidP="00CC7AC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E13827" w:rsidRPr="00E13827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E13827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E13827" w:rsidRPr="00E13827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E13827" w:rsidRDefault="00580DD4" w:rsidP="00CC7AC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304389C6" w:rsidR="00580DD4" w:rsidRPr="00E13827" w:rsidRDefault="00B6456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</w:p>
          <w:p w14:paraId="68E8EAC9" w14:textId="4E36B371" w:rsidR="00580DD4" w:rsidRPr="00E13827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6EC626C5" w:rsidR="00580DD4" w:rsidRPr="00E13827" w:rsidRDefault="00B6456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</w:p>
          <w:p w14:paraId="52A9A089" w14:textId="5CA4A856" w:rsidR="00580DD4" w:rsidRPr="00E13827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4BECAEE" w14:textId="593D542E" w:rsidR="00580DD4" w:rsidRPr="00E13827" w:rsidRDefault="00B64564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  <w:r w:rsidR="00580DD4"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7F012ACC" w14:textId="48906D46" w:rsidR="00580DD4" w:rsidRPr="00E13827" w:rsidRDefault="00B64564" w:rsidP="00133D2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  <w:r w:rsidR="00580DD4"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  <w:p w14:paraId="4AECE9B0" w14:textId="08CCD4D9" w:rsidR="00580DD4" w:rsidRPr="00E13827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63E03DBD" w:rsidR="00580DD4" w:rsidRPr="00E13827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B64564"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25/ </w:t>
            </w:r>
          </w:p>
          <w:p w14:paraId="2FE546C7" w14:textId="134C16D0" w:rsidR="00580DD4" w:rsidRPr="00E13827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Ιαν - </w:t>
            </w:r>
            <w:r w:rsidR="00B64564"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Ιουν</w:t>
            </w: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</w:tr>
      <w:tr w:rsidR="00E13827" w:rsidRPr="00E13827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257473E0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23.368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08CDEBD6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23.366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6D9C52FC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0,0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28EA51EB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-0,1</w:t>
            </w:r>
          </w:p>
        </w:tc>
      </w:tr>
      <w:tr w:rsidR="00E13827" w:rsidRPr="00E13827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62E05FBE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12.004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44DE0EA1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11.943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29C0DBD6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310A7EFD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</w:tr>
      <w:tr w:rsidR="00E13827" w:rsidRPr="00E13827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69A3B490" w:rsidR="00AD4BDD" w:rsidRPr="00E13827" w:rsidRDefault="00AD4BDD" w:rsidP="00AD4BDD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4.243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31F7F2EB" w:rsidR="00AD4BDD" w:rsidRPr="00E13827" w:rsidRDefault="00AD4BDD" w:rsidP="00AD4BDD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4.139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45261B12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-2,5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52F88C2A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-2,6</w:t>
            </w:r>
          </w:p>
        </w:tc>
      </w:tr>
      <w:tr w:rsidR="00E13827" w:rsidRPr="00E13827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75C41426" w:rsidR="00AD4BDD" w:rsidRPr="00E13827" w:rsidRDefault="00AD4BDD" w:rsidP="00AD4BDD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1.265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5A665A38" w:rsidR="00AD4BDD" w:rsidRPr="00E13827" w:rsidRDefault="00AD4BDD" w:rsidP="00AD4BDD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1.429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62A2DB21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13,0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2A4EE64A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12,7</w:t>
            </w:r>
          </w:p>
        </w:tc>
      </w:tr>
      <w:tr w:rsidR="00E13827" w:rsidRPr="00E13827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491BD4C4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5.856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5A3337F2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5.855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0EDCF7AE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51B64062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E13827" w:rsidRPr="00E13827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72FDA050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16.999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11E1811B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17.714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00C9BA59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210004A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3,7</w:t>
            </w:r>
          </w:p>
        </w:tc>
      </w:tr>
      <w:tr w:rsidR="00E13827" w:rsidRPr="00E13827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3522680B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11.890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490EBCD7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12.467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7E423A98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13B9F316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E13827" w:rsidRPr="00E13827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2FA159FD" w:rsidR="00AD4BDD" w:rsidRPr="00E13827" w:rsidRDefault="00AD4BDD" w:rsidP="00AD4BDD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1.193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6E91CAB5" w:rsidR="00AD4BDD" w:rsidRPr="00E13827" w:rsidRDefault="00AD4BDD" w:rsidP="00AD4BDD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951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617FE327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0F603F94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-20,2</w:t>
            </w:r>
          </w:p>
        </w:tc>
      </w:tr>
      <w:tr w:rsidR="00E13827" w:rsidRPr="00E13827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13FB9CB8" w:rsidR="00AD4BDD" w:rsidRPr="00E13827" w:rsidRDefault="00AD4BDD" w:rsidP="00AD4BDD">
            <w:pPr>
              <w:ind w:right="153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3.768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4BF18D47" w:rsidR="00AD4BDD" w:rsidRPr="00E13827" w:rsidRDefault="00AD4BDD" w:rsidP="00AD4BDD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4.151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479277CF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10,2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19C4C560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7,8</w:t>
            </w:r>
          </w:p>
        </w:tc>
      </w:tr>
      <w:tr w:rsidR="00E13827" w:rsidRPr="00E13827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17699D1F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040A626D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79358A8C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-2,0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2A2A39D6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-7,0</w:t>
            </w:r>
          </w:p>
        </w:tc>
      </w:tr>
      <w:tr w:rsidR="00E13827" w:rsidRPr="00E13827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3A41ACC1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3864B39E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13.749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712E0158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68D20B52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-0,9</w:t>
            </w:r>
          </w:p>
        </w:tc>
      </w:tr>
      <w:tr w:rsidR="00E13827" w:rsidRPr="00E13827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0EC4F589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8.123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31B22B96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8.403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43935FE0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1A6D7403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</w:tr>
      <w:tr w:rsidR="00E13827" w:rsidRPr="00E13827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5643D57E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4.617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68F0022D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4.341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7CA0142A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-6,0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41B3BF41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-7,4</w:t>
            </w:r>
          </w:p>
        </w:tc>
      </w:tr>
      <w:tr w:rsidR="00E13827" w:rsidRPr="00E13827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6F7118CD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299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5E918685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255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16F2708D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-14,7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0C66BF0A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-4,8</w:t>
            </w:r>
          </w:p>
        </w:tc>
      </w:tr>
      <w:tr w:rsidR="00E13827" w:rsidRPr="00E13827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0137278A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747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2F027703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750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24F03109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68F1C481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0,8</w:t>
            </w:r>
          </w:p>
        </w:tc>
      </w:tr>
      <w:tr w:rsidR="00E13827" w:rsidRPr="00E13827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6920A946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54.153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29E51DB8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54.829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603876C3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1,2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009BF1B6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</w:tr>
      <w:tr w:rsidR="00E13827" w:rsidRPr="00E13827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2667950B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32.017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5D8F723A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32.813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50AED5E5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51A8F122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E13827" w:rsidRPr="00E13827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14512662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10.053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3AB066FE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9.431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3F961DCD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-6,2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57120463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-6,9</w:t>
            </w:r>
          </w:p>
        </w:tc>
      </w:tr>
      <w:tr w:rsidR="00E13827" w:rsidRPr="00E13827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7245E2CB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5.332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5AE7C925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5.835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35F16BA6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79A1D822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</w:tr>
      <w:tr w:rsidR="00E13827" w:rsidRPr="00E13827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AD4BDD" w:rsidRPr="00E13827" w:rsidRDefault="00AD4BDD" w:rsidP="00AD4BDD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AD4BDD" w:rsidRPr="00E13827" w:rsidRDefault="00AD4BDD" w:rsidP="00AD4BDD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E1382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21DB6131" w:rsidR="00AD4BDD" w:rsidRPr="00E13827" w:rsidRDefault="00AD4BDD" w:rsidP="00AD4BDD">
            <w:pPr>
              <w:ind w:right="153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6.751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5A5B69BC" w:rsidR="00AD4BDD" w:rsidRPr="00E13827" w:rsidRDefault="00AD4BDD" w:rsidP="00AD4BDD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6.750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425705C9" w:rsidR="00AD4BDD" w:rsidRPr="00E13827" w:rsidRDefault="00AD4BDD" w:rsidP="00AD4BDD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697B7BA7" w:rsidR="00AD4BDD" w:rsidRPr="00E13827" w:rsidRDefault="00AD4BDD" w:rsidP="00AD4BDD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E13827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2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proofErr w:type="spellStart"/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  <w:proofErr w:type="spellEnd"/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582F83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49F543" w14:textId="427E5C6E" w:rsidR="00833DCE" w:rsidRDefault="00582F83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3D2CE" w14:textId="77777777" w:rsidR="00582F83" w:rsidRDefault="00582F83" w:rsidP="00FB398F">
      <w:r>
        <w:separator/>
      </w:r>
    </w:p>
  </w:endnote>
  <w:endnote w:type="continuationSeparator" w:id="0">
    <w:p w14:paraId="7DE2D3CA" w14:textId="77777777" w:rsidR="00582F83" w:rsidRDefault="00582F8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913EE3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D261" w14:textId="77777777" w:rsidR="00582F83" w:rsidRDefault="00582F83" w:rsidP="00FB398F">
      <w:r>
        <w:separator/>
      </w:r>
    </w:p>
  </w:footnote>
  <w:footnote w:type="continuationSeparator" w:id="0">
    <w:p w14:paraId="53030B3F" w14:textId="77777777" w:rsidR="00582F83" w:rsidRDefault="00582F8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0FFE"/>
    <w:rsid w:val="00081ADF"/>
    <w:rsid w:val="000820B0"/>
    <w:rsid w:val="0008445B"/>
    <w:rsid w:val="00084A02"/>
    <w:rsid w:val="00084BF7"/>
    <w:rsid w:val="000870E9"/>
    <w:rsid w:val="0009187F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26EB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373D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8E8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477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67606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56971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908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2F83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9A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5332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1429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751C3"/>
    <w:rsid w:val="00780A62"/>
    <w:rsid w:val="00783241"/>
    <w:rsid w:val="007839F8"/>
    <w:rsid w:val="00784BDC"/>
    <w:rsid w:val="00792F28"/>
    <w:rsid w:val="007935CA"/>
    <w:rsid w:val="00794337"/>
    <w:rsid w:val="0079543F"/>
    <w:rsid w:val="00795880"/>
    <w:rsid w:val="00795BE2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2051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5F25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3EE3"/>
    <w:rsid w:val="00914A23"/>
    <w:rsid w:val="00915E46"/>
    <w:rsid w:val="009178B1"/>
    <w:rsid w:val="00920B52"/>
    <w:rsid w:val="00922C1F"/>
    <w:rsid w:val="00930754"/>
    <w:rsid w:val="00933369"/>
    <w:rsid w:val="00934320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E7E93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2B3"/>
    <w:rsid w:val="00A454F7"/>
    <w:rsid w:val="00A4655D"/>
    <w:rsid w:val="00A47ED6"/>
    <w:rsid w:val="00A5352C"/>
    <w:rsid w:val="00A544B7"/>
    <w:rsid w:val="00A575EE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A696D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4BD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4564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164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066A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804"/>
    <w:rsid w:val="00E01B9D"/>
    <w:rsid w:val="00E0468F"/>
    <w:rsid w:val="00E04F5E"/>
    <w:rsid w:val="00E0522E"/>
    <w:rsid w:val="00E0523D"/>
    <w:rsid w:val="00E07585"/>
    <w:rsid w:val="00E120F4"/>
    <w:rsid w:val="00E13827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0CC3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93B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80D22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D8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912D-DEC1-4B42-8F1F-9969F0BA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109</cp:revision>
  <cp:lastPrinted>2025-07-11T06:58:00Z</cp:lastPrinted>
  <dcterms:created xsi:type="dcterms:W3CDTF">2024-04-09T16:31:00Z</dcterms:created>
  <dcterms:modified xsi:type="dcterms:W3CDTF">2025-07-11T06:58:00Z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