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39502" w14:textId="77777777" w:rsidR="00BC7B6A" w:rsidRPr="00054F4F" w:rsidRDefault="00BC7B6A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EEDB81D" w14:textId="1A28AE8E" w:rsidR="00766260" w:rsidRPr="00CB100D" w:rsidRDefault="00FC6FB5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766260" w:rsidRPr="00CB100D">
        <w:rPr>
          <w:rFonts w:ascii="Verdana" w:hAnsi="Verdana" w:cs="Arial"/>
          <w:sz w:val="18"/>
          <w:szCs w:val="18"/>
        </w:rPr>
        <w:t>1</w:t>
      </w:r>
      <w:r w:rsidR="004255D3">
        <w:rPr>
          <w:rFonts w:ascii="Verdana" w:hAnsi="Verdana" w:cs="Arial"/>
          <w:sz w:val="18"/>
          <w:szCs w:val="18"/>
        </w:rPr>
        <w:t>1</w:t>
      </w:r>
      <w:r w:rsidR="00407A77">
        <w:rPr>
          <w:rFonts w:ascii="Verdana" w:hAnsi="Verdana" w:cs="Arial"/>
          <w:sz w:val="18"/>
          <w:szCs w:val="18"/>
        </w:rPr>
        <w:t xml:space="preserve"> </w:t>
      </w:r>
      <w:r w:rsidR="004255D3">
        <w:rPr>
          <w:rFonts w:ascii="Verdana" w:hAnsi="Verdana" w:cs="Arial"/>
          <w:sz w:val="18"/>
          <w:szCs w:val="18"/>
        </w:rPr>
        <w:t>Ju</w:t>
      </w:r>
      <w:r w:rsidR="006B429B">
        <w:rPr>
          <w:rFonts w:ascii="Verdana" w:hAnsi="Verdana" w:cs="Arial"/>
          <w:sz w:val="18"/>
          <w:szCs w:val="18"/>
        </w:rPr>
        <w:t>ly</w:t>
      </w:r>
      <w:r w:rsidR="00766260" w:rsidRPr="00CB100D">
        <w:rPr>
          <w:rFonts w:ascii="Verdana" w:eastAsia="Malgun Gothic" w:hAnsi="Verdana" w:cs="Arial"/>
          <w:sz w:val="18"/>
          <w:szCs w:val="18"/>
        </w:rPr>
        <w:t>, 202</w:t>
      </w:r>
      <w:r w:rsidR="00321717">
        <w:rPr>
          <w:rFonts w:ascii="Verdana" w:eastAsia="Malgun Gothic" w:hAnsi="Verdana" w:cs="Arial"/>
          <w:sz w:val="18"/>
          <w:szCs w:val="18"/>
        </w:rPr>
        <w:t>5</w:t>
      </w:r>
    </w:p>
    <w:p w14:paraId="7AC8EA25" w14:textId="77777777" w:rsidR="00766260" w:rsidRPr="00064266" w:rsidRDefault="00766260" w:rsidP="00766260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08CB87E1" w14:textId="77777777" w:rsidR="00766260" w:rsidRPr="00931164" w:rsidRDefault="00766260" w:rsidP="0076626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3286EBA" w14:textId="77777777" w:rsidR="00766260" w:rsidRPr="00064266" w:rsidRDefault="00766260" w:rsidP="00766260">
      <w:pPr>
        <w:rPr>
          <w:rFonts w:ascii="Verdana" w:eastAsia="Malgun Gothic" w:hAnsi="Verdana" w:cs="Arial"/>
          <w:sz w:val="18"/>
          <w:szCs w:val="18"/>
        </w:rPr>
      </w:pPr>
    </w:p>
    <w:p w14:paraId="412C7A96" w14:textId="44198C9C" w:rsidR="00766260" w:rsidRPr="00407A77" w:rsidRDefault="00766260" w:rsidP="00766260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  <w:lang w:val="en-US"/>
        </w:rPr>
      </w:pPr>
      <w:r w:rsidRPr="001142C7">
        <w:rPr>
          <w:rFonts w:ascii="Verdana" w:eastAsia="Malgun Gothic" w:hAnsi="Verdana" w:cs="Arial"/>
          <w:b w:val="0"/>
          <w:szCs w:val="22"/>
          <w:lang w:val="en-US"/>
        </w:rPr>
        <w:t xml:space="preserve">GOVERNMENT 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EMPLOYMENT </w:t>
      </w:r>
      <w:r w:rsidRPr="001142C7">
        <w:rPr>
          <w:rFonts w:ascii="Verdana" w:eastAsia="Malgun Gothic" w:hAnsi="Verdana" w:cs="Arial"/>
          <w:b w:val="0"/>
          <w:szCs w:val="22"/>
          <w:lang w:val="en-US"/>
        </w:rPr>
        <w:t>BY CATEGORY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6B429B">
        <w:rPr>
          <w:rFonts w:ascii="Verdana" w:eastAsia="Malgun Gothic" w:hAnsi="Verdana" w:cs="Arial"/>
          <w:szCs w:val="22"/>
          <w:lang w:val="en-US"/>
        </w:rPr>
        <w:t>JUNE</w:t>
      </w:r>
      <w:r w:rsidR="00225DE6">
        <w:rPr>
          <w:rFonts w:ascii="Verdana" w:eastAsia="Malgun Gothic" w:hAnsi="Verdana" w:cs="Arial"/>
          <w:szCs w:val="22"/>
          <w:lang w:val="en-US"/>
        </w:rPr>
        <w:t xml:space="preserve"> </w:t>
      </w:r>
      <w:r>
        <w:rPr>
          <w:rFonts w:ascii="Verdana" w:eastAsia="Malgun Gothic" w:hAnsi="Verdana" w:cs="Arial"/>
          <w:szCs w:val="22"/>
          <w:lang w:val="en-US"/>
        </w:rPr>
        <w:t>202</w:t>
      </w:r>
      <w:r w:rsidR="00C63961">
        <w:rPr>
          <w:rFonts w:ascii="Verdana" w:eastAsia="Malgun Gothic" w:hAnsi="Verdana" w:cs="Arial"/>
          <w:szCs w:val="22"/>
          <w:lang w:val="en-US"/>
        </w:rPr>
        <w:t>5</w:t>
      </w:r>
    </w:p>
    <w:p w14:paraId="62679BFE" w14:textId="77777777" w:rsidR="00766260" w:rsidRPr="00064266" w:rsidRDefault="00766260" w:rsidP="000D0FC2">
      <w:pPr>
        <w:rPr>
          <w:rFonts w:ascii="Verdana" w:eastAsia="Malgun Gothic" w:hAnsi="Verdana" w:cs="Arial"/>
          <w:sz w:val="18"/>
          <w:szCs w:val="18"/>
        </w:rPr>
      </w:pPr>
    </w:p>
    <w:p w14:paraId="3BD84567" w14:textId="5AFBA011" w:rsidR="00766260" w:rsidRPr="00E206E8" w:rsidRDefault="00766260" w:rsidP="000D0FC2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Total Employment</w:t>
      </w:r>
      <w:r w:rsidRPr="00722EEB">
        <w:rPr>
          <w:rFonts w:ascii="Verdana" w:eastAsia="Malgun Gothic" w:hAnsi="Verdana" w:cs="Arial"/>
          <w:b/>
        </w:rPr>
        <w:t>: 5</w:t>
      </w:r>
      <w:r w:rsidR="006B429B">
        <w:rPr>
          <w:rFonts w:ascii="Verdana" w:eastAsia="Malgun Gothic" w:hAnsi="Verdana" w:cs="Arial"/>
          <w:b/>
        </w:rPr>
        <w:t>4</w:t>
      </w:r>
      <w:r w:rsidR="009465D2">
        <w:rPr>
          <w:rFonts w:ascii="Verdana" w:eastAsia="Malgun Gothic" w:hAnsi="Verdana" w:cs="Arial"/>
          <w:b/>
        </w:rPr>
        <w:t>.</w:t>
      </w:r>
      <w:r w:rsidR="006B429B">
        <w:rPr>
          <w:rFonts w:ascii="Verdana" w:eastAsia="Malgun Gothic" w:hAnsi="Verdana" w:cs="Arial"/>
          <w:b/>
        </w:rPr>
        <w:t>829</w:t>
      </w:r>
    </w:p>
    <w:p w14:paraId="72EB49FF" w14:textId="77777777" w:rsidR="00766260" w:rsidRPr="00722EEB" w:rsidRDefault="00766260" w:rsidP="000D0FC2">
      <w:pPr>
        <w:jc w:val="both"/>
        <w:rPr>
          <w:rFonts w:ascii="Verdana" w:hAnsi="Verdana" w:cs="Arial"/>
          <w:sz w:val="18"/>
          <w:szCs w:val="18"/>
        </w:rPr>
      </w:pPr>
    </w:p>
    <w:p w14:paraId="1717E16C" w14:textId="48FF4F3D" w:rsidR="004255D3" w:rsidRDefault="00766260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  <w:r w:rsidRPr="00FB49A0">
        <w:rPr>
          <w:rFonts w:ascii="Verdana" w:hAnsi="Verdana" w:cs="Arial"/>
          <w:sz w:val="18"/>
          <w:szCs w:val="18"/>
        </w:rPr>
        <w:t xml:space="preserve">In </w:t>
      </w:r>
      <w:r w:rsidR="006B429B">
        <w:rPr>
          <w:rFonts w:ascii="Verdana" w:hAnsi="Verdana" w:cs="Arial"/>
          <w:sz w:val="18"/>
          <w:szCs w:val="18"/>
        </w:rPr>
        <w:t>June</w:t>
      </w:r>
      <w:r w:rsidR="0062595D">
        <w:rPr>
          <w:rFonts w:ascii="Verdana" w:hAnsi="Verdana" w:cs="Arial"/>
          <w:sz w:val="18"/>
          <w:szCs w:val="18"/>
        </w:rPr>
        <w:t xml:space="preserve"> </w:t>
      </w:r>
      <w:r w:rsidRPr="00FB49A0">
        <w:rPr>
          <w:rFonts w:ascii="Verdana" w:hAnsi="Verdana" w:cs="Arial"/>
          <w:sz w:val="18"/>
          <w:szCs w:val="18"/>
        </w:rPr>
        <w:t>202</w:t>
      </w:r>
      <w:r w:rsidR="00DC718F">
        <w:rPr>
          <w:rFonts w:ascii="Verdana" w:hAnsi="Verdana" w:cs="Arial"/>
          <w:sz w:val="18"/>
          <w:szCs w:val="18"/>
        </w:rPr>
        <w:t>5</w:t>
      </w:r>
      <w:r w:rsidRPr="00FB49A0">
        <w:rPr>
          <w:rFonts w:ascii="Verdana" w:hAnsi="Verdana" w:cs="Arial"/>
          <w:sz w:val="18"/>
          <w:szCs w:val="18"/>
        </w:rPr>
        <w:t xml:space="preserve"> total government employment </w:t>
      </w:r>
      <w:r w:rsidR="00DC718F">
        <w:rPr>
          <w:rFonts w:ascii="Verdana" w:hAnsi="Verdana" w:cs="Arial"/>
          <w:sz w:val="18"/>
          <w:szCs w:val="18"/>
        </w:rPr>
        <w:t xml:space="preserve">increased by </w:t>
      </w:r>
      <w:r w:rsidR="006B429B">
        <w:rPr>
          <w:rFonts w:ascii="Verdana" w:hAnsi="Verdana" w:cs="Arial"/>
          <w:sz w:val="18"/>
          <w:szCs w:val="18"/>
        </w:rPr>
        <w:t>676</w:t>
      </w:r>
      <w:r w:rsidR="00DC718F">
        <w:rPr>
          <w:rFonts w:ascii="Verdana" w:hAnsi="Verdana" w:cs="Arial"/>
          <w:sz w:val="18"/>
          <w:szCs w:val="18"/>
        </w:rPr>
        <w:t xml:space="preserve"> persons (</w:t>
      </w:r>
      <w:r w:rsidR="006B429B">
        <w:rPr>
          <w:rFonts w:ascii="Verdana" w:hAnsi="Verdana" w:cs="Arial"/>
          <w:sz w:val="18"/>
          <w:szCs w:val="18"/>
        </w:rPr>
        <w:t>1</w:t>
      </w:r>
      <w:proofErr w:type="gramStart"/>
      <w:r w:rsidR="00BA1BC3" w:rsidRPr="00BA1BC3">
        <w:rPr>
          <w:rFonts w:ascii="Verdana" w:hAnsi="Verdana" w:cs="Arial"/>
          <w:sz w:val="18"/>
          <w:szCs w:val="18"/>
        </w:rPr>
        <w:t>,</w:t>
      </w:r>
      <w:r w:rsidR="006B429B">
        <w:rPr>
          <w:rFonts w:ascii="Verdana" w:hAnsi="Verdana" w:cs="Arial"/>
          <w:sz w:val="18"/>
          <w:szCs w:val="18"/>
        </w:rPr>
        <w:t>2</w:t>
      </w:r>
      <w:proofErr w:type="gramEnd"/>
      <w:r w:rsidR="00DC718F">
        <w:rPr>
          <w:rFonts w:ascii="Verdana" w:hAnsi="Verdana" w:cs="Arial"/>
          <w:sz w:val="18"/>
          <w:szCs w:val="18"/>
        </w:rPr>
        <w:t>%)</w:t>
      </w:r>
      <w:r w:rsidR="00DC718F" w:rsidRPr="00DC718F">
        <w:t xml:space="preserve"> </w:t>
      </w:r>
      <w:r w:rsidR="00DC718F" w:rsidRPr="00DC718F">
        <w:rPr>
          <w:rFonts w:ascii="Verdana" w:hAnsi="Verdana" w:cs="Arial"/>
          <w:sz w:val="18"/>
          <w:szCs w:val="18"/>
        </w:rPr>
        <w:t>in comparison to the</w:t>
      </w:r>
      <w:r w:rsidR="00AA240E">
        <w:rPr>
          <w:rFonts w:ascii="Verdana" w:hAnsi="Verdana" w:cs="Arial"/>
          <w:sz w:val="18"/>
          <w:szCs w:val="18"/>
        </w:rPr>
        <w:t xml:space="preserve"> </w:t>
      </w:r>
      <w:r w:rsidR="00DC718F" w:rsidRPr="00DC718F">
        <w:rPr>
          <w:rFonts w:ascii="Verdana" w:hAnsi="Verdana" w:cs="Arial"/>
          <w:sz w:val="18"/>
          <w:szCs w:val="18"/>
        </w:rPr>
        <w:t>corresponding month of 202</w:t>
      </w:r>
      <w:r w:rsidR="00DC718F">
        <w:rPr>
          <w:rFonts w:ascii="Verdana" w:hAnsi="Verdana" w:cs="Arial"/>
          <w:sz w:val="18"/>
          <w:szCs w:val="18"/>
        </w:rPr>
        <w:t xml:space="preserve">4 and </w:t>
      </w:r>
      <w:r w:rsidR="0062595D">
        <w:rPr>
          <w:rFonts w:ascii="Verdana" w:hAnsi="Verdana" w:cs="Arial"/>
          <w:sz w:val="18"/>
          <w:szCs w:val="18"/>
        </w:rPr>
        <w:t>reached 5</w:t>
      </w:r>
      <w:r w:rsidR="006B429B">
        <w:rPr>
          <w:rFonts w:ascii="Verdana" w:hAnsi="Verdana" w:cs="Arial"/>
          <w:sz w:val="18"/>
          <w:szCs w:val="18"/>
        </w:rPr>
        <w:t>4</w:t>
      </w:r>
      <w:r w:rsidR="0062595D">
        <w:rPr>
          <w:rFonts w:ascii="Verdana" w:hAnsi="Verdana" w:cs="Arial"/>
          <w:sz w:val="18"/>
          <w:szCs w:val="18"/>
        </w:rPr>
        <w:t>.</w:t>
      </w:r>
      <w:r w:rsidR="006B429B">
        <w:rPr>
          <w:rFonts w:ascii="Verdana" w:hAnsi="Verdana" w:cs="Arial"/>
          <w:sz w:val="18"/>
          <w:szCs w:val="18"/>
        </w:rPr>
        <w:t>829</w:t>
      </w:r>
      <w:r w:rsidR="0062595D">
        <w:rPr>
          <w:rFonts w:ascii="Verdana" w:hAnsi="Verdana" w:cs="Arial"/>
          <w:sz w:val="18"/>
          <w:szCs w:val="18"/>
        </w:rPr>
        <w:t xml:space="preserve"> persons.</w:t>
      </w:r>
      <w:r w:rsidR="00AA240E">
        <w:rPr>
          <w:rFonts w:ascii="Verdana" w:hAnsi="Verdana" w:cs="Arial"/>
          <w:sz w:val="18"/>
          <w:szCs w:val="18"/>
        </w:rPr>
        <w:t xml:space="preserve"> Employment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in the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Civil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704521">
        <w:rPr>
          <w:rFonts w:ascii="Verdana" w:hAnsi="Verdana" w:cs="Arial"/>
          <w:sz w:val="18"/>
          <w:szCs w:val="18"/>
        </w:rPr>
        <w:t>Service</w:t>
      </w:r>
      <w:r w:rsidR="006B429B">
        <w:rPr>
          <w:rFonts w:ascii="Verdana" w:hAnsi="Verdana" w:cs="Arial"/>
          <w:sz w:val="18"/>
          <w:szCs w:val="18"/>
        </w:rPr>
        <w:t xml:space="preserve"> remained stable,</w:t>
      </w:r>
      <w:r w:rsidR="00DA277C">
        <w:rPr>
          <w:rFonts w:ascii="Verdana" w:hAnsi="Verdana" w:cs="Arial"/>
          <w:sz w:val="18"/>
          <w:szCs w:val="18"/>
        </w:rPr>
        <w:t xml:space="preserve"> in the</w:t>
      </w:r>
      <w:r w:rsidR="004255D3">
        <w:rPr>
          <w:rFonts w:ascii="Verdana" w:hAnsi="Verdana" w:cs="Arial"/>
          <w:sz w:val="18"/>
          <w:szCs w:val="18"/>
        </w:rPr>
        <w:t xml:space="preserve"> Educational</w:t>
      </w:r>
      <w:r w:rsidR="004255D3" w:rsidRPr="00AA240E">
        <w:rPr>
          <w:rFonts w:ascii="Verdana" w:hAnsi="Verdana" w:cs="Arial"/>
          <w:sz w:val="18"/>
          <w:szCs w:val="18"/>
        </w:rPr>
        <w:t xml:space="preserve"> </w:t>
      </w:r>
      <w:r w:rsidR="004255D3">
        <w:rPr>
          <w:rFonts w:ascii="Verdana" w:hAnsi="Verdana" w:cs="Arial"/>
          <w:sz w:val="18"/>
          <w:szCs w:val="18"/>
        </w:rPr>
        <w:t>Service</w:t>
      </w:r>
      <w:r w:rsidR="006B429B">
        <w:rPr>
          <w:rFonts w:ascii="Verdana" w:hAnsi="Verdana" w:cs="Arial"/>
          <w:sz w:val="18"/>
          <w:szCs w:val="18"/>
        </w:rPr>
        <w:t xml:space="preserve"> it</w:t>
      </w:r>
      <w:r w:rsidR="00DA277C">
        <w:rPr>
          <w:rFonts w:ascii="Verdana" w:hAnsi="Verdana" w:cs="Arial"/>
          <w:sz w:val="18"/>
          <w:szCs w:val="18"/>
        </w:rPr>
        <w:t xml:space="preserve"> </w:t>
      </w:r>
      <w:r w:rsidR="004255D3">
        <w:rPr>
          <w:rFonts w:ascii="Verdana" w:hAnsi="Verdana" w:cs="Arial"/>
          <w:sz w:val="18"/>
          <w:szCs w:val="18"/>
        </w:rPr>
        <w:t xml:space="preserve">increased by </w:t>
      </w:r>
      <w:r w:rsidR="006B429B">
        <w:rPr>
          <w:rFonts w:ascii="Verdana" w:hAnsi="Verdana" w:cs="Arial"/>
          <w:sz w:val="18"/>
          <w:szCs w:val="18"/>
        </w:rPr>
        <w:t>4</w:t>
      </w:r>
      <w:proofErr w:type="gramStart"/>
      <w:r w:rsidR="004255D3">
        <w:rPr>
          <w:rFonts w:ascii="Verdana" w:hAnsi="Verdana" w:cs="Arial"/>
          <w:sz w:val="18"/>
          <w:szCs w:val="18"/>
        </w:rPr>
        <w:t>,</w:t>
      </w:r>
      <w:r w:rsidR="006B429B">
        <w:rPr>
          <w:rFonts w:ascii="Verdana" w:hAnsi="Verdana" w:cs="Arial"/>
          <w:sz w:val="18"/>
          <w:szCs w:val="18"/>
        </w:rPr>
        <w:t>2</w:t>
      </w:r>
      <w:proofErr w:type="gramEnd"/>
      <w:r w:rsidR="004255D3">
        <w:rPr>
          <w:rFonts w:ascii="Verdana" w:hAnsi="Verdana" w:cs="Arial"/>
          <w:sz w:val="18"/>
          <w:szCs w:val="18"/>
        </w:rPr>
        <w:t xml:space="preserve">%, whereas in </w:t>
      </w:r>
      <w:r w:rsidR="00DA277C">
        <w:rPr>
          <w:rFonts w:ascii="Verdana" w:hAnsi="Verdana" w:cs="Arial"/>
          <w:sz w:val="18"/>
          <w:szCs w:val="18"/>
        </w:rPr>
        <w:t>Security Forces</w:t>
      </w:r>
      <w:r w:rsidR="004255D3">
        <w:rPr>
          <w:rFonts w:ascii="Verdana" w:hAnsi="Verdana" w:cs="Arial"/>
          <w:sz w:val="18"/>
          <w:szCs w:val="18"/>
        </w:rPr>
        <w:t xml:space="preserve"> it</w:t>
      </w:r>
      <w:r w:rsidR="00DA277C">
        <w:rPr>
          <w:rFonts w:ascii="Verdana" w:hAnsi="Verdana" w:cs="Arial"/>
          <w:sz w:val="18"/>
          <w:szCs w:val="18"/>
        </w:rPr>
        <w:t xml:space="preserve"> decreased </w:t>
      </w:r>
      <w:r w:rsidR="00AA240E">
        <w:rPr>
          <w:rFonts w:ascii="Verdana" w:hAnsi="Verdana" w:cs="Arial"/>
          <w:sz w:val="18"/>
          <w:szCs w:val="18"/>
        </w:rPr>
        <w:t>by</w:t>
      </w:r>
      <w:r w:rsidR="00225DE6">
        <w:rPr>
          <w:rFonts w:ascii="Verdana" w:hAnsi="Verdana" w:cs="Arial"/>
          <w:sz w:val="18"/>
          <w:szCs w:val="18"/>
        </w:rPr>
        <w:t xml:space="preserve"> </w:t>
      </w:r>
      <w:r w:rsidR="004255D3">
        <w:rPr>
          <w:rFonts w:ascii="Verdana" w:hAnsi="Verdana" w:cs="Arial"/>
          <w:sz w:val="18"/>
          <w:szCs w:val="18"/>
        </w:rPr>
        <w:t>0</w:t>
      </w:r>
      <w:r w:rsidR="00AA240E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3</w:t>
      </w:r>
      <w:r w:rsidR="00225DE6">
        <w:rPr>
          <w:rFonts w:ascii="Verdana" w:eastAsia="Malgun Gothic" w:hAnsi="Verdana" w:cs="Arial"/>
          <w:color w:val="000000" w:themeColor="text1"/>
          <w:sz w:val="18"/>
          <w:szCs w:val="18"/>
        </w:rPr>
        <w:t>%</w:t>
      </w:r>
      <w:r w:rsidR="00DA277C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. </w:t>
      </w:r>
    </w:p>
    <w:p w14:paraId="61B287E8" w14:textId="77777777" w:rsidR="004255D3" w:rsidRDefault="004255D3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</w:p>
    <w:p w14:paraId="3C9E19DE" w14:textId="12399893" w:rsidR="004255D3" w:rsidRDefault="004255D3" w:rsidP="004255D3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Compared to 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June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2024, the main increase is observed in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number </w:t>
      </w:r>
      <w:r w:rsidR="00B70CD0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of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employees with contracts of definite duration (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9</w:t>
      </w:r>
      <w:proofErr w:type="gramStart"/>
      <w:r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proofErr w:type="gramEnd"/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%), </w:t>
      </w:r>
      <w:r w:rsidR="007C60B3">
        <w:rPr>
          <w:rFonts w:ascii="Verdana" w:eastAsia="Malgun Gothic" w:hAnsi="Verdana" w:cs="Arial"/>
          <w:color w:val="000000" w:themeColor="text1"/>
          <w:sz w:val="18"/>
          <w:szCs w:val="18"/>
        </w:rPr>
        <w:t>with the highest percentage change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for this category</w:t>
      </w:r>
      <w:r w:rsidR="007C60B3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observed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>in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6B28B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Civil Service (1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3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0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%). The main decrease is observed in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number of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employees with contracts of indefinite duration (-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6</w:t>
      </w:r>
      <w:proofErr w:type="gramStart"/>
      <w:r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2</w:t>
      </w:r>
      <w:proofErr w:type="gramEnd"/>
      <w:r>
        <w:rPr>
          <w:rFonts w:ascii="Verdana" w:eastAsia="Malgun Gothic" w:hAnsi="Verdana" w:cs="Arial"/>
          <w:color w:val="000000" w:themeColor="text1"/>
          <w:sz w:val="18"/>
          <w:szCs w:val="18"/>
        </w:rPr>
        <w:t>%),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7C60B3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with the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>largest</w:t>
      </w:r>
      <w:r w:rsidR="007C60B3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percentage </w:t>
      </w:r>
      <w:r w:rsidR="00C50274">
        <w:rPr>
          <w:rFonts w:ascii="Verdana" w:eastAsia="Malgun Gothic" w:hAnsi="Verdana" w:cs="Arial"/>
          <w:color w:val="000000" w:themeColor="text1"/>
          <w:sz w:val="18"/>
          <w:szCs w:val="18"/>
        </w:rPr>
        <w:t>decrease for this category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B70CD0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observed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in </w:t>
      </w:r>
      <w:r w:rsidR="006B28B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Educational Service</w:t>
      </w:r>
      <w:r w:rsidR="00DB48EB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(-20,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3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%). </w:t>
      </w:r>
    </w:p>
    <w:p w14:paraId="52C2A0D6" w14:textId="77777777" w:rsidR="004255D3" w:rsidRDefault="004255D3" w:rsidP="000D0FC2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</w:rPr>
      </w:pPr>
    </w:p>
    <w:p w14:paraId="4782A3B6" w14:textId="1F37CAE1" w:rsidR="00766260" w:rsidRPr="00AA240E" w:rsidRDefault="00890EC2" w:rsidP="000D0FC2">
      <w:pPr>
        <w:jc w:val="both"/>
        <w:rPr>
          <w:rFonts w:ascii="Verdana" w:hAnsi="Verdana" w:cs="Arial"/>
          <w:sz w:val="18"/>
          <w:szCs w:val="18"/>
        </w:rPr>
      </w:pP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For the period January –</w:t>
      </w:r>
      <w:r w:rsidR="006B429B">
        <w:rPr>
          <w:rFonts w:ascii="Verdana" w:eastAsia="Malgun Gothic" w:hAnsi="Verdana" w:cs="Arial"/>
          <w:color w:val="000000" w:themeColor="text1"/>
          <w:sz w:val="18"/>
          <w:szCs w:val="18"/>
        </w:rPr>
        <w:t>June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202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5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FC54A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average total government employment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increase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d by</w:t>
      </w:r>
      <w:r w:rsidR="00DA277C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0</w:t>
      </w:r>
      <w:proofErr w:type="gramStart"/>
      <w:r w:rsidR="00DA277C">
        <w:rPr>
          <w:rFonts w:ascii="Verdana" w:eastAsia="Malgun Gothic" w:hAnsi="Verdana" w:cs="Arial"/>
          <w:color w:val="000000" w:themeColor="text1"/>
          <w:sz w:val="18"/>
          <w:szCs w:val="18"/>
        </w:rPr>
        <w:t>,9</w:t>
      </w:r>
      <w:proofErr w:type="gramEnd"/>
      <w:r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 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compared to the corresponding period of 202</w:t>
      </w:r>
      <w:r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r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.</w:t>
      </w:r>
    </w:p>
    <w:p w14:paraId="6821FB8E" w14:textId="77777777" w:rsidR="0062595D" w:rsidRDefault="0062595D" w:rsidP="000D0FC2">
      <w:pPr>
        <w:jc w:val="both"/>
        <w:rPr>
          <w:rFonts w:ascii="Verdana" w:hAnsi="Verdana" w:cs="Arial"/>
          <w:sz w:val="18"/>
          <w:szCs w:val="18"/>
        </w:rPr>
      </w:pPr>
    </w:p>
    <w:p w14:paraId="035C106D" w14:textId="77777777" w:rsidR="004255D3" w:rsidRDefault="004255D3" w:rsidP="000D0FC2">
      <w:pPr>
        <w:jc w:val="both"/>
        <w:rPr>
          <w:rFonts w:ascii="Verdana" w:hAnsi="Verdana" w:cs="Arial"/>
          <w:sz w:val="18"/>
          <w:szCs w:val="18"/>
        </w:rPr>
      </w:pPr>
    </w:p>
    <w:p w14:paraId="0BA183DF" w14:textId="77777777" w:rsidR="004255D3" w:rsidRPr="00AA240E" w:rsidRDefault="004255D3" w:rsidP="000D0FC2">
      <w:pPr>
        <w:jc w:val="both"/>
        <w:rPr>
          <w:rFonts w:ascii="Verdana" w:hAnsi="Verdana" w:cs="Arial"/>
          <w:sz w:val="18"/>
          <w:szCs w:val="18"/>
        </w:rPr>
      </w:pPr>
    </w:p>
    <w:p w14:paraId="18444F57" w14:textId="38C85C86" w:rsidR="00B6579F" w:rsidRDefault="006B429B" w:rsidP="00FF0E26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1EEBD055" wp14:editId="1FE1E985">
            <wp:extent cx="6096635" cy="3724910"/>
            <wp:effectExtent l="0" t="0" r="0" b="8890"/>
            <wp:docPr id="7760965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5B1BFC" w14:textId="4E4CB7CF" w:rsidR="005A24C9" w:rsidRDefault="005A24C9" w:rsidP="000D0FC2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50C38A6E" w14:textId="77777777" w:rsidR="000D0FC2" w:rsidRDefault="000D0FC2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10CADDB" w14:textId="77777777" w:rsidR="004255D3" w:rsidRDefault="004255D3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4DEB2F6" w14:textId="77777777" w:rsidR="004255D3" w:rsidRDefault="004255D3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462"/>
        <w:gridCol w:w="2044"/>
        <w:gridCol w:w="1555"/>
        <w:gridCol w:w="1536"/>
        <w:gridCol w:w="231"/>
        <w:gridCol w:w="1260"/>
        <w:gridCol w:w="1551"/>
      </w:tblGrid>
      <w:tr w:rsidR="00DB48EB" w:rsidRPr="00DB48EB" w14:paraId="0A443E6C" w14:textId="77777777" w:rsidTr="00BA688A">
        <w:trPr>
          <w:trHeight w:val="284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</w:tcPr>
          <w:p w14:paraId="620AF9B8" w14:textId="60A1B9F2" w:rsidR="00C13E31" w:rsidRPr="00DB48EB" w:rsidRDefault="006C5317" w:rsidP="00C13E3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lastRenderedPageBreak/>
              <w:t>Table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5A1AFED4" w14:textId="77777777" w:rsidR="00C13E31" w:rsidRPr="00DB48EB" w:rsidRDefault="00C13E31" w:rsidP="00C13E3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58AEF5F0" w14:textId="77777777" w:rsidR="00C13E31" w:rsidRPr="00DB48EB" w:rsidRDefault="00C13E31" w:rsidP="006A4491">
            <w:pPr>
              <w:ind w:right="153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4B1DD9BE" w14:textId="77777777" w:rsidR="00C13E31" w:rsidRPr="00DB48EB" w:rsidRDefault="00C13E31" w:rsidP="006A4491">
            <w:pPr>
              <w:ind w:right="28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3373AE5" w14:textId="77777777" w:rsidR="00C13E31" w:rsidRPr="00DB48EB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8DB3A1D" w14:textId="77777777" w:rsidR="00C13E31" w:rsidRPr="00DB48EB" w:rsidRDefault="00C13E31" w:rsidP="006A44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D51129F" w14:textId="77777777" w:rsidR="00C13E31" w:rsidRPr="00DB48EB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DB48EB" w:rsidRPr="00DB48EB" w14:paraId="76C7C481" w14:textId="77777777" w:rsidTr="00A9717C">
        <w:trPr>
          <w:trHeight w:val="397"/>
          <w:jc w:val="center"/>
        </w:trPr>
        <w:tc>
          <w:tcPr>
            <w:tcW w:w="3506" w:type="dxa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tcMar>
              <w:top w:w="113" w:type="dxa"/>
            </w:tcMar>
            <w:vAlign w:val="center"/>
          </w:tcPr>
          <w:p w14:paraId="11878C37" w14:textId="73EAB79C" w:rsidR="00BA688A" w:rsidRPr="00DB48EB" w:rsidRDefault="00BA688A" w:rsidP="00D47FEC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Personnel Category</w:t>
            </w:r>
          </w:p>
        </w:tc>
        <w:tc>
          <w:tcPr>
            <w:tcW w:w="309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57B60E43" w14:textId="3D4006BE" w:rsidR="00BA688A" w:rsidRPr="00DB48EB" w:rsidRDefault="00BA688A" w:rsidP="00D47FEC">
            <w:pPr>
              <w:ind w:right="284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Number of Persons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E4DF694" w14:textId="77777777" w:rsidR="00BA688A" w:rsidRPr="00DB48EB" w:rsidRDefault="00BA688A" w:rsidP="00D47FEC">
            <w:pPr>
              <w:ind w:right="691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73E01663" w14:textId="145510AE" w:rsidR="00BA688A" w:rsidRPr="00DB48EB" w:rsidRDefault="00BA688A" w:rsidP="00D47FE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Change (%)</w:t>
            </w:r>
          </w:p>
        </w:tc>
      </w:tr>
      <w:tr w:rsidR="00DB48EB" w:rsidRPr="00DB48EB" w14:paraId="7FA9275C" w14:textId="77777777" w:rsidTr="00A9717C">
        <w:trPr>
          <w:trHeight w:val="567"/>
          <w:jc w:val="center"/>
        </w:trPr>
        <w:tc>
          <w:tcPr>
            <w:tcW w:w="3506" w:type="dxa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14833B21" w14:textId="77777777" w:rsidR="00BA688A" w:rsidRPr="00DB48EB" w:rsidRDefault="00BA688A" w:rsidP="006C5317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72ED8292" w14:textId="2DAB9668" w:rsidR="00BA688A" w:rsidRPr="00DB48EB" w:rsidRDefault="006B429B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Jun</w:t>
            </w:r>
            <w:r w:rsidR="00A5455C" w:rsidRPr="00DB48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</w:t>
            </w:r>
          </w:p>
          <w:p w14:paraId="09802DF1" w14:textId="1CB71B52" w:rsidR="00BA688A" w:rsidRPr="00DB48EB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379FCB11" w14:textId="2AB5EB4D" w:rsidR="00BA688A" w:rsidRPr="00DB48EB" w:rsidRDefault="006B429B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Jun</w:t>
            </w:r>
            <w:r w:rsidR="00A5455C" w:rsidRPr="00DB48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</w:t>
            </w:r>
          </w:p>
          <w:p w14:paraId="156F3EEF" w14:textId="083E2073" w:rsidR="00BA688A" w:rsidRPr="00DB48EB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7CE1C21" w14:textId="77777777" w:rsidR="00BA688A" w:rsidRPr="00DB48EB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1A1EDD" w14:textId="3934AF1B" w:rsidR="00BA688A" w:rsidRPr="00DB48EB" w:rsidRDefault="006B429B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Jun</w:t>
            </w:r>
            <w:r w:rsidR="00A5455C"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e</w:t>
            </w:r>
            <w:r w:rsidR="00BA688A"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</w:t>
            </w: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Jun</w:t>
            </w:r>
            <w:r w:rsidR="00A5455C"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e</w:t>
            </w:r>
            <w:r w:rsidR="00BA688A"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EEE4F" w14:textId="4F5C3211" w:rsidR="00BA688A" w:rsidRPr="00DB48EB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Jan–</w:t>
            </w:r>
            <w:r w:rsidR="006B429B"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Jun</w:t>
            </w:r>
            <w:r w:rsidR="00A5455C"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e</w:t>
            </w: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25/ Jan-</w:t>
            </w:r>
            <w:r w:rsidR="006B429B"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Jun</w:t>
            </w:r>
            <w:r w:rsidR="00A5455C"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e</w:t>
            </w: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24</w:t>
            </w:r>
          </w:p>
        </w:tc>
      </w:tr>
      <w:tr w:rsidR="00DB48EB" w:rsidRPr="00DB48EB" w14:paraId="4E18B422" w14:textId="77777777" w:rsidTr="00A9717C">
        <w:trPr>
          <w:trHeight w:val="227"/>
          <w:jc w:val="center"/>
        </w:trPr>
        <w:tc>
          <w:tcPr>
            <w:tcW w:w="1462" w:type="dxa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4BAA657" w14:textId="06E67439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Civil Service</w:t>
            </w:r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78C4C6B" w14:textId="6E7F4F19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0C5C8588" w14:textId="1FC3E234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23.368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7B7205" w14:textId="2C22FA93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23.366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1ED20BD3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B1C679A" w14:textId="6C33DFCB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0,0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0BBF89DE" w14:textId="0C4D5C94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-0,1</w:t>
            </w:r>
          </w:p>
        </w:tc>
      </w:tr>
      <w:tr w:rsidR="00DB48EB" w:rsidRPr="00DB48EB" w14:paraId="7C4DD1BD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24C355D1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0081E" w14:textId="18A79C1F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0454E6" w14:textId="247ADFD6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12.004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A18A" w14:textId="5CD25115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11.943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0F72EDC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6DFC" w14:textId="0E1EB1B5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-0,5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41FF" w14:textId="3026A349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-0,6</w:t>
            </w:r>
          </w:p>
        </w:tc>
      </w:tr>
      <w:tr w:rsidR="00DB48EB" w:rsidRPr="00DB48EB" w14:paraId="4079C49C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50743466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06E6" w14:textId="00CFFDE6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31450DD" w14:textId="672138F8" w:rsidR="00BB60B2" w:rsidRPr="00DB48EB" w:rsidRDefault="00BB60B2" w:rsidP="00BB60B2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4.243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07AD" w14:textId="32D5937E" w:rsidR="00BB60B2" w:rsidRPr="00DB48EB" w:rsidRDefault="00BB60B2" w:rsidP="00BB60B2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4.139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864613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12A9" w14:textId="6D4B0DE0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-2,5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8302" w14:textId="4D3CE26A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-2,6</w:t>
            </w:r>
          </w:p>
        </w:tc>
      </w:tr>
      <w:tr w:rsidR="00DB48EB" w:rsidRPr="00DB48EB" w14:paraId="1E5F05D1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A786932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5272" w14:textId="6D6A6271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52FAA7D" w14:textId="700679CF" w:rsidR="00BB60B2" w:rsidRPr="00DB48EB" w:rsidRDefault="00BB60B2" w:rsidP="00BB60B2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1.265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7DC3" w14:textId="04A145FF" w:rsidR="00BB60B2" w:rsidRPr="00DB48EB" w:rsidRDefault="00BB60B2" w:rsidP="00BB60B2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1.429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4618186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C9CC" w14:textId="704D4CA7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13,0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61F7" w14:textId="0E4D5B29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12,7</w:t>
            </w:r>
          </w:p>
        </w:tc>
      </w:tr>
      <w:tr w:rsidR="00DB48EB" w:rsidRPr="00DB48EB" w14:paraId="5483043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E6EE889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B9FCB" w14:textId="76010390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78E0849" w14:textId="3871FDFE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5.856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B4AE" w14:textId="475E33AA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5.855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D806116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55B8" w14:textId="77E964F3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4DAF" w14:textId="61867627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</w:tr>
      <w:tr w:rsidR="00DB48EB" w:rsidRPr="00DB48EB" w14:paraId="6E3B2B1F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4EA9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DB48EB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Educational</w:t>
            </w:r>
            <w:proofErr w:type="spellEnd"/>
          </w:p>
          <w:p w14:paraId="4146BE47" w14:textId="7AF08B53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DB48EB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Service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E7804" w14:textId="3B34DE14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4F2392" w14:textId="4A2A0F50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16.999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6404" w14:textId="1E3CBBA2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17.714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E4DCE55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8DC2" w14:textId="1AF6F740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4,2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477B" w14:textId="0EE18FCF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3,7</w:t>
            </w:r>
          </w:p>
        </w:tc>
      </w:tr>
      <w:tr w:rsidR="00DB48EB" w:rsidRPr="00DB48EB" w14:paraId="77C2DB53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244C3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4DA75" w14:textId="6F09B0A5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F7DB0D0" w14:textId="0EDA9C40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11.890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147F" w14:textId="339274CE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12.467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202C92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AE1C" w14:textId="5E8ED74F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4,9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568A" w14:textId="3DE98774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</w:tr>
      <w:tr w:rsidR="00DB48EB" w:rsidRPr="00DB48EB" w14:paraId="03E5F777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EE46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B54C" w14:textId="339585BA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BD8CB1F" w14:textId="1EBAC463" w:rsidR="00BB60B2" w:rsidRPr="00DB48EB" w:rsidRDefault="00BB60B2" w:rsidP="00BB60B2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1.193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4C0A" w14:textId="4C840A6D" w:rsidR="00BB60B2" w:rsidRPr="00DB48EB" w:rsidRDefault="00BB60B2" w:rsidP="00BB60B2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951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72F2B3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9969" w14:textId="30071C15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-20,3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4FEC" w14:textId="254397B9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-20,2</w:t>
            </w:r>
          </w:p>
        </w:tc>
      </w:tr>
      <w:tr w:rsidR="00DB48EB" w:rsidRPr="00DB48EB" w14:paraId="1B61084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44D5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667D" w14:textId="23FF83CB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B5C8B58" w14:textId="4EB407E0" w:rsidR="00BB60B2" w:rsidRPr="00DB48EB" w:rsidRDefault="00BB60B2" w:rsidP="00BB60B2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3.768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A92E" w14:textId="4EBF9D71" w:rsidR="00BB60B2" w:rsidRPr="00DB48EB" w:rsidRDefault="00BB60B2" w:rsidP="00BB60B2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4.151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190714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B0B" w14:textId="4AE390D0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10,2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6121" w14:textId="43918289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7,8</w:t>
            </w:r>
          </w:p>
        </w:tc>
      </w:tr>
      <w:tr w:rsidR="00DB48EB" w:rsidRPr="00DB48EB" w14:paraId="297A6EFB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5F97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81A18" w14:textId="04AB9A83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D9DD679" w14:textId="4DDB3735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ABEF" w14:textId="0BA13F90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145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85D0B5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8445" w14:textId="619BD016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-2,0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4712" w14:textId="32C76E88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-7,0</w:t>
            </w:r>
          </w:p>
        </w:tc>
      </w:tr>
      <w:tr w:rsidR="00DB48EB" w:rsidRPr="00DB48EB" w14:paraId="50F979AD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0850640E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DB48EB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Security</w:t>
            </w:r>
            <w:proofErr w:type="spellEnd"/>
          </w:p>
          <w:p w14:paraId="59006D2C" w14:textId="0F1B25E3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DB48EB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Forces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1099" w14:textId="04670284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AE685D" w14:textId="3D62C0BE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13.786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AD21" w14:textId="7474C7AA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13.749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C77B9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B88B" w14:textId="1245C918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7926" w14:textId="340413F8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-0,9</w:t>
            </w:r>
          </w:p>
        </w:tc>
      </w:tr>
      <w:tr w:rsidR="00DB48EB" w:rsidRPr="00DB48EB" w14:paraId="3A1D68F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0DBDB7A5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E798" w14:textId="45F140DE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8D383F7" w14:textId="4A250C7F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8.123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7B17" w14:textId="39416D69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8.403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6D0EB76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D9FE" w14:textId="6F46E1A6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3,4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D417" w14:textId="26BE6ECE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2,8</w:t>
            </w:r>
          </w:p>
        </w:tc>
      </w:tr>
      <w:tr w:rsidR="00DB48EB" w:rsidRPr="00DB48EB" w14:paraId="45B0045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1551D52F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17AE" w14:textId="1AC8EA08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0D56379" w14:textId="47A42A0E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4.617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5FD23" w14:textId="7090D858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4.341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EDCFC03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BFD4" w14:textId="0AE5221A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-6,0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FF75" w14:textId="7E55C78E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-7,4</w:t>
            </w:r>
          </w:p>
        </w:tc>
      </w:tr>
      <w:tr w:rsidR="00DB48EB" w:rsidRPr="00DB48EB" w14:paraId="0D20B566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CA47453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F5664" w14:textId="747FAA3B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37203B0" w14:textId="4ECEBE68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299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423BF" w14:textId="6FD17A59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255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1DC21B0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4BD5" w14:textId="0C5E9645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-14,7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FDA0" w14:textId="53D5A478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-4,8</w:t>
            </w:r>
          </w:p>
        </w:tc>
      </w:tr>
      <w:tr w:rsidR="00DB48EB" w:rsidRPr="00DB48EB" w14:paraId="4D4A5A42" w14:textId="77777777" w:rsidTr="00A9717C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ADBCE77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D8C7EDA" w14:textId="3FED8641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31EB3FF2" w14:textId="524F808E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747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900FD15" w14:textId="590CC780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750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25F9E420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EB15CC3" w14:textId="715BFD85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0,4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540AD6E" w14:textId="05FB0BD3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0,8</w:t>
            </w:r>
          </w:p>
        </w:tc>
      </w:tr>
      <w:tr w:rsidR="00DB48EB" w:rsidRPr="00DB48EB" w14:paraId="36FC7B04" w14:textId="77777777" w:rsidTr="00A9717C">
        <w:trPr>
          <w:trHeight w:val="416"/>
          <w:jc w:val="center"/>
        </w:trPr>
        <w:tc>
          <w:tcPr>
            <w:tcW w:w="1462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8757536" w14:textId="69C85306" w:rsidR="00BB60B2" w:rsidRPr="00DB48EB" w:rsidRDefault="00BB60B2" w:rsidP="00BB60B2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proofErr w:type="spellStart"/>
            <w:r w:rsidRPr="00DB48EB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Total</w:t>
            </w:r>
            <w:proofErr w:type="spellEnd"/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0D1E6D4A" w14:textId="52EA332B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63536D19" w14:textId="0DBFB5AA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54.153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128D4149" w14:textId="015DEA42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54.829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500E41E5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4E02C6C2" w14:textId="4DC8A2B1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1,2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B8FCEC6" w14:textId="62FA6F24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0,9</w:t>
            </w:r>
          </w:p>
        </w:tc>
      </w:tr>
      <w:tr w:rsidR="00DB48EB" w:rsidRPr="00DB48EB" w14:paraId="6203C4C1" w14:textId="77777777" w:rsidTr="006C5317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1050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87F5" w14:textId="5C4A705B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F7A9300" w14:textId="4B052B45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32.017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4E67" w14:textId="326E2320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32.813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BDA925E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0EE5" w14:textId="15BA8674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2,5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2CA6" w14:textId="2D31F7CF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2,3</w:t>
            </w:r>
          </w:p>
        </w:tc>
      </w:tr>
      <w:tr w:rsidR="00DB48EB" w:rsidRPr="00DB48EB" w14:paraId="26CEEE1E" w14:textId="77777777" w:rsidTr="006C5317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020B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4959" w14:textId="62154EA6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2B99DA4" w14:textId="132B205B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10.053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19345" w14:textId="20DE6CD7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9.431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DB66C1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C5CB" w14:textId="24D3CD23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-6,2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C1C2" w14:textId="570FFE20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-6,9</w:t>
            </w:r>
          </w:p>
        </w:tc>
      </w:tr>
      <w:tr w:rsidR="00DB48EB" w:rsidRPr="00DB48EB" w14:paraId="1757A592" w14:textId="77777777" w:rsidTr="00A9717C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1C90A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A8429" w14:textId="047901AA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40CF8BB" w14:textId="3EBDC4E7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5.332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DDA0" w14:textId="20603C2B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5.835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F7905BC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DE97F" w14:textId="3D646B85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9,4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6BB4" w14:textId="7FEFB649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8,2</w:t>
            </w:r>
          </w:p>
        </w:tc>
      </w:tr>
      <w:tr w:rsidR="00DB48EB" w:rsidRPr="00DB48EB" w14:paraId="20C2EFB3" w14:textId="77777777" w:rsidTr="00A9717C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87788F7" w14:textId="77777777" w:rsidR="00BB60B2" w:rsidRPr="00DB48EB" w:rsidRDefault="00BB60B2" w:rsidP="00BB60B2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CCE24AD" w14:textId="39C5B874" w:rsidR="00BB60B2" w:rsidRPr="00DB48EB" w:rsidRDefault="00BB60B2" w:rsidP="00BB60B2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DB48EB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4B61DC7C" w14:textId="05721158" w:rsidR="00BB60B2" w:rsidRPr="00DB48EB" w:rsidRDefault="00BB60B2" w:rsidP="00BB60B2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6.751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4546082" w14:textId="75768C8D" w:rsidR="00BB60B2" w:rsidRPr="00DB48EB" w:rsidRDefault="00BB60B2" w:rsidP="00BB60B2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6.750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34071E70" w14:textId="77777777" w:rsidR="00BB60B2" w:rsidRPr="00DB48EB" w:rsidRDefault="00BB60B2" w:rsidP="00BB60B2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102785E8" w14:textId="3684A72A" w:rsidR="00BB60B2" w:rsidRPr="00DB48EB" w:rsidRDefault="00BB60B2" w:rsidP="00BB60B2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748D93D" w14:textId="1B156D60" w:rsidR="00BB60B2" w:rsidRPr="00DB48EB" w:rsidRDefault="00BB60B2" w:rsidP="00BB60B2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DB48EB">
              <w:rPr>
                <w:rFonts w:ascii="Verdana" w:hAnsi="Verdana" w:cs="Calibri"/>
                <w:color w:val="366092"/>
                <w:sz w:val="18"/>
                <w:szCs w:val="18"/>
              </w:rPr>
              <w:t>-0,1</w:t>
            </w:r>
          </w:p>
        </w:tc>
      </w:tr>
    </w:tbl>
    <w:p w14:paraId="764FE1A6" w14:textId="4226219F" w:rsidR="000C177A" w:rsidRDefault="000C177A" w:rsidP="00A9717C">
      <w:pPr>
        <w:rPr>
          <w:rFonts w:ascii="Verdana" w:hAnsi="Verdana" w:cs="Arial"/>
          <w:sz w:val="18"/>
          <w:szCs w:val="18"/>
        </w:rPr>
      </w:pPr>
    </w:p>
    <w:p w14:paraId="0C44413D" w14:textId="77777777" w:rsidR="00402357" w:rsidRDefault="00402357" w:rsidP="00A9717C">
      <w:pPr>
        <w:rPr>
          <w:rFonts w:ascii="Verdana" w:hAnsi="Verdana" w:cs="Arial"/>
          <w:sz w:val="18"/>
          <w:szCs w:val="18"/>
        </w:rPr>
      </w:pPr>
    </w:p>
    <w:p w14:paraId="44E939A6" w14:textId="77777777" w:rsidR="00F75016" w:rsidRPr="00A9717C" w:rsidRDefault="00F75016" w:rsidP="00A9717C">
      <w:pPr>
        <w:rPr>
          <w:rFonts w:ascii="Verdana" w:hAnsi="Verdana" w:cs="Arial"/>
          <w:sz w:val="18"/>
          <w:szCs w:val="18"/>
        </w:rPr>
      </w:pPr>
    </w:p>
    <w:p w14:paraId="300D2483" w14:textId="77777777" w:rsidR="00A9717C" w:rsidRPr="00A9717C" w:rsidRDefault="00A9717C" w:rsidP="00A9717C">
      <w:pPr>
        <w:rPr>
          <w:rFonts w:ascii="Verdana" w:hAnsi="Verdana" w:cs="Arial"/>
          <w:sz w:val="18"/>
          <w:szCs w:val="18"/>
        </w:rPr>
      </w:pPr>
    </w:p>
    <w:p w14:paraId="315069B3" w14:textId="0EF28B73" w:rsidR="00766260" w:rsidRPr="00205BA0" w:rsidRDefault="00766260" w:rsidP="00121FD9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4F3D1DD" w14:textId="77777777" w:rsidR="00766260" w:rsidRPr="00D33293" w:rsidRDefault="00766260" w:rsidP="004B46F2">
      <w:pPr>
        <w:rPr>
          <w:rFonts w:ascii="Verdana" w:eastAsia="Malgun Gothic" w:hAnsi="Verdana" w:cs="Arial"/>
          <w:sz w:val="18"/>
          <w:szCs w:val="18"/>
        </w:rPr>
      </w:pPr>
    </w:p>
    <w:p w14:paraId="48C70352" w14:textId="77777777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15D73A55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CE584AD" w14:textId="32F4E8C8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 xml:space="preserve">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8E302A">
        <w:rPr>
          <w:rFonts w:ascii="Verdana" w:eastAsia="Malgun Gothic" w:hAnsi="Verdana" w:cs="Arial"/>
          <w:sz w:val="18"/>
          <w:szCs w:val="18"/>
        </w:rPr>
        <w:t xml:space="preserve">includes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Civil Service, Educational Service</w:t>
      </w:r>
      <w:r w:rsidR="00C76242">
        <w:rPr>
          <w:rFonts w:ascii="Verdana" w:eastAsia="Malgun Gothic" w:hAnsi="Verdana" w:cs="Arial"/>
          <w:sz w:val="18"/>
          <w:szCs w:val="18"/>
        </w:rPr>
        <w:t xml:space="preserve"> and </w:t>
      </w:r>
      <w:r>
        <w:rPr>
          <w:rFonts w:ascii="Verdana" w:eastAsia="Malgun Gothic" w:hAnsi="Verdana" w:cs="Arial"/>
          <w:sz w:val="18"/>
          <w:szCs w:val="18"/>
        </w:rPr>
        <w:t>Security Forces staff</w:t>
      </w:r>
      <w:r w:rsidR="00C76242">
        <w:rPr>
          <w:rFonts w:ascii="Verdana" w:eastAsia="Malgun Gothic" w:hAnsi="Verdana" w:cs="Arial"/>
          <w:sz w:val="18"/>
          <w:szCs w:val="18"/>
        </w:rPr>
        <w:t xml:space="preserve">. </w:t>
      </w:r>
      <w:r>
        <w:rPr>
          <w:rFonts w:ascii="Verdana" w:eastAsia="Malgun Gothic" w:hAnsi="Verdana" w:cs="Arial"/>
          <w:sz w:val="18"/>
          <w:szCs w:val="18"/>
        </w:rPr>
        <w:t xml:space="preserve">Civil Service includes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 w:rsidRPr="008E302A">
        <w:rPr>
          <w:rFonts w:ascii="Verdana" w:eastAsia="Malgun Gothic" w:hAnsi="Verdana" w:cs="Arial"/>
          <w:sz w:val="18"/>
          <w:szCs w:val="18"/>
        </w:rPr>
        <w:t xml:space="preserve">of the Ministries, Departments and Services. Educational Service includes the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>
        <w:rPr>
          <w:rFonts w:ascii="Verdana" w:eastAsia="Malgun Gothic" w:hAnsi="Verdana" w:cs="Arial"/>
          <w:sz w:val="18"/>
          <w:szCs w:val="18"/>
        </w:rPr>
        <w:t xml:space="preserve">of </w:t>
      </w:r>
      <w:r w:rsidRPr="008E302A">
        <w:rPr>
          <w:rFonts w:ascii="Verdana" w:eastAsia="Malgun Gothic" w:hAnsi="Verdana" w:cs="Arial"/>
          <w:sz w:val="18"/>
          <w:szCs w:val="18"/>
        </w:rPr>
        <w:t xml:space="preserve">school units and the staff of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Cyprus Productivity Center and the Higher Hotel Institute of</w:t>
      </w:r>
      <w:r>
        <w:rPr>
          <w:rFonts w:ascii="Verdana" w:eastAsia="Malgun Gothic" w:hAnsi="Verdana" w:cs="Arial"/>
          <w:sz w:val="18"/>
          <w:szCs w:val="18"/>
        </w:rPr>
        <w:t xml:space="preserve"> Cyprus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  <w:r>
        <w:rPr>
          <w:rFonts w:ascii="Verdana" w:eastAsia="Malgun Gothic" w:hAnsi="Verdana" w:cs="Arial"/>
          <w:sz w:val="18"/>
          <w:szCs w:val="18"/>
        </w:rPr>
        <w:t xml:space="preserve"> Security Forces</w:t>
      </w:r>
      <w:r w:rsidRPr="008E302A">
        <w:rPr>
          <w:rFonts w:ascii="Verdana" w:eastAsia="Malgun Gothic" w:hAnsi="Verdana" w:cs="Arial"/>
          <w:sz w:val="18"/>
          <w:szCs w:val="18"/>
        </w:rPr>
        <w:t xml:space="preserve"> include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Police Service, Fire Service and the National Guard</w:t>
      </w:r>
      <w:r>
        <w:rPr>
          <w:rFonts w:ascii="Verdana" w:eastAsia="Malgun Gothic" w:hAnsi="Verdana" w:cs="Arial"/>
          <w:sz w:val="18"/>
          <w:szCs w:val="18"/>
        </w:rPr>
        <w:t xml:space="preserve"> staff</w:t>
      </w:r>
      <w:r w:rsidRPr="008E302A">
        <w:rPr>
          <w:rFonts w:ascii="Verdana" w:eastAsia="Malgun Gothic" w:hAnsi="Verdana" w:cs="Arial"/>
          <w:sz w:val="18"/>
          <w:szCs w:val="18"/>
        </w:rPr>
        <w:t xml:space="preserve">. </w:t>
      </w:r>
      <w:r w:rsidR="001D0228">
        <w:rPr>
          <w:rFonts w:ascii="Verdana" w:eastAsia="Malgun Gothic" w:hAnsi="Verdana" w:cs="Arial"/>
          <w:sz w:val="18"/>
          <w:szCs w:val="18"/>
        </w:rPr>
        <w:t xml:space="preserve">In all three categories the employees are classified in permanent </w:t>
      </w:r>
      <w:r w:rsidR="004B7D56">
        <w:rPr>
          <w:rFonts w:ascii="Verdana" w:eastAsia="Malgun Gothic" w:hAnsi="Verdana" w:cs="Arial"/>
          <w:sz w:val="18"/>
          <w:szCs w:val="18"/>
        </w:rPr>
        <w:t>employees</w:t>
      </w:r>
      <w:r w:rsidR="001D0228">
        <w:rPr>
          <w:rFonts w:ascii="Verdana" w:eastAsia="Malgun Gothic" w:hAnsi="Verdana" w:cs="Arial"/>
          <w:sz w:val="18"/>
          <w:szCs w:val="18"/>
        </w:rPr>
        <w:t>, employees with contracts of indefinite and definite duration and hourly paid workers (regular, casual and seasonal staff).</w:t>
      </w:r>
    </w:p>
    <w:p w14:paraId="0C1FCABA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AB0E802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>The members of the House of Representatives are not included</w:t>
      </w:r>
      <w:r>
        <w:rPr>
          <w:rFonts w:ascii="Verdana" w:eastAsia="Malgun Gothic" w:hAnsi="Verdana" w:cs="Arial"/>
          <w:sz w:val="18"/>
          <w:szCs w:val="18"/>
        </w:rPr>
        <w:t xml:space="preserve"> in the data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</w:p>
    <w:p w14:paraId="2BC6D652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18E18F" w14:textId="5B11A36B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1B4D8E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0391CF4B" w14:textId="77777777" w:rsidR="00766260" w:rsidRPr="0017756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BCA2766" w14:textId="77777777" w:rsidR="00766260" w:rsidRPr="00E53881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1D6A31">
        <w:rPr>
          <w:rFonts w:ascii="Verdana" w:eastAsia="Malgun Gothic" w:hAnsi="Verdana" w:cs="Arial"/>
          <w:sz w:val="18"/>
          <w:szCs w:val="18"/>
        </w:rPr>
        <w:t xml:space="preserve">Data concerning 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1D6A31">
        <w:rPr>
          <w:rFonts w:ascii="Verdana" w:eastAsia="Malgun Gothic" w:hAnsi="Verdana" w:cs="Arial"/>
          <w:sz w:val="18"/>
          <w:szCs w:val="18"/>
        </w:rPr>
        <w:t xml:space="preserve">is provided </w:t>
      </w:r>
      <w:r>
        <w:rPr>
          <w:rFonts w:ascii="Verdana" w:eastAsia="Malgun Gothic" w:hAnsi="Verdana" w:cs="Arial"/>
          <w:sz w:val="18"/>
          <w:szCs w:val="18"/>
        </w:rPr>
        <w:t>by</w:t>
      </w:r>
      <w:r w:rsidRPr="001D6A31">
        <w:rPr>
          <w:rFonts w:ascii="Verdana" w:eastAsia="Malgun Gothic" w:hAnsi="Verdana" w:cs="Arial"/>
          <w:sz w:val="18"/>
          <w:szCs w:val="18"/>
        </w:rPr>
        <w:t xml:space="preserve"> the Treasury </w:t>
      </w:r>
      <w:r>
        <w:rPr>
          <w:rFonts w:ascii="Verdana" w:eastAsia="Malgun Gothic" w:hAnsi="Verdana" w:cs="Arial"/>
          <w:sz w:val="18"/>
          <w:szCs w:val="18"/>
        </w:rPr>
        <w:t xml:space="preserve">of the Republic </w:t>
      </w:r>
      <w:r w:rsidRPr="001D6A31">
        <w:rPr>
          <w:rFonts w:ascii="Verdana" w:eastAsia="Malgun Gothic" w:hAnsi="Verdana" w:cs="Arial"/>
          <w:sz w:val="18"/>
          <w:szCs w:val="18"/>
        </w:rPr>
        <w:t xml:space="preserve">and refers to the number of persons that were </w:t>
      </w:r>
      <w:r>
        <w:rPr>
          <w:rFonts w:ascii="Verdana" w:eastAsia="Malgun Gothic" w:hAnsi="Verdana" w:cs="Arial"/>
          <w:sz w:val="18"/>
          <w:szCs w:val="18"/>
        </w:rPr>
        <w:t>paid in the current month, irrespective of the period and duration of employment</w:t>
      </w:r>
      <w:r w:rsidRPr="00E53881">
        <w:rPr>
          <w:rFonts w:ascii="Verdana" w:eastAsia="Malgun Gothic" w:hAnsi="Verdana" w:cs="Arial"/>
          <w:sz w:val="18"/>
          <w:szCs w:val="18"/>
        </w:rPr>
        <w:t>.</w:t>
      </w:r>
    </w:p>
    <w:p w14:paraId="336B72C5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6A883E" w14:textId="2C6C8F87" w:rsidR="00B97935" w:rsidRPr="00EA05A3" w:rsidRDefault="00BF3BB3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Break in the </w:t>
      </w:r>
      <w:r w:rsidR="00715C96">
        <w:rPr>
          <w:rFonts w:ascii="Verdana" w:eastAsia="Malgun Gothic" w:hAnsi="Verdana" w:cs="Arial"/>
          <w:b/>
          <w:sz w:val="18"/>
          <w:szCs w:val="18"/>
          <w:u w:val="single"/>
        </w:rPr>
        <w:t>S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eries</w:t>
      </w:r>
    </w:p>
    <w:p w14:paraId="3EF971FD" w14:textId="77777777" w:rsidR="00B97935" w:rsidRPr="0017756A" w:rsidRDefault="00B97935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374606C" w14:textId="13EB487E" w:rsidR="00B97935" w:rsidRDefault="00B97935" w:rsidP="004B46F2">
      <w:pPr>
        <w:jc w:val="both"/>
        <w:rPr>
          <w:rFonts w:ascii="Verdana" w:hAnsi="Verdana"/>
          <w:sz w:val="18"/>
          <w:szCs w:val="18"/>
        </w:rPr>
      </w:pPr>
      <w:r w:rsidRPr="00ED5ECE">
        <w:rPr>
          <w:rFonts w:ascii="Verdana" w:hAnsi="Verdana"/>
          <w:sz w:val="18"/>
          <w:szCs w:val="18"/>
        </w:rPr>
        <w:t xml:space="preserve">As from January 2024 the classification for permanent and casual staff </w:t>
      </w:r>
      <w:r w:rsidR="00EA05A3">
        <w:rPr>
          <w:rFonts w:ascii="Verdana" w:hAnsi="Verdana"/>
          <w:sz w:val="18"/>
          <w:szCs w:val="18"/>
        </w:rPr>
        <w:t>was</w:t>
      </w:r>
      <w:r w:rsidRPr="00ED5ECE">
        <w:rPr>
          <w:rFonts w:ascii="Verdana" w:hAnsi="Verdana"/>
          <w:sz w:val="18"/>
          <w:szCs w:val="18"/>
        </w:rPr>
        <w:t xml:space="preserve"> discontinued. CYSTAT has adjusted the structure of government personnel to permanent, employees with contracts of indefinite duration, employees with contracts of definite duration and hourly paid workers. </w:t>
      </w:r>
      <w:r>
        <w:rPr>
          <w:rFonts w:ascii="Verdana" w:hAnsi="Verdana"/>
          <w:sz w:val="18"/>
          <w:szCs w:val="18"/>
        </w:rPr>
        <w:t>Therefore, there is a break in the series</w:t>
      </w:r>
      <w:r w:rsidR="00EA05A3">
        <w:rPr>
          <w:rFonts w:ascii="Verdana" w:hAnsi="Verdana"/>
          <w:sz w:val="18"/>
          <w:szCs w:val="18"/>
        </w:rPr>
        <w:t xml:space="preserve"> and data from previous months are not comparable. </w:t>
      </w:r>
    </w:p>
    <w:p w14:paraId="1D4269A0" w14:textId="77777777" w:rsidR="00B97935" w:rsidRPr="00B97935" w:rsidRDefault="00B97935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1ED026" w14:textId="77777777" w:rsidR="00766260" w:rsidRPr="001728FF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52420D1" w14:textId="77777777" w:rsidR="00766260" w:rsidRDefault="00766260" w:rsidP="004B46F2">
      <w:pPr>
        <w:rPr>
          <w:rFonts w:ascii="Verdana" w:hAnsi="Verdana"/>
          <w:b/>
          <w:bCs/>
          <w:i/>
          <w:iCs/>
          <w:sz w:val="18"/>
          <w:szCs w:val="18"/>
          <w:lang w:val="en-GB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n-GB"/>
        </w:rPr>
        <w:t xml:space="preserve">For more information: </w:t>
      </w:r>
    </w:p>
    <w:p w14:paraId="560BB1B0" w14:textId="77777777" w:rsidR="00766260" w:rsidRDefault="00766260" w:rsidP="004B46F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19AC9CE2" w14:textId="77777777" w:rsidR="00766260" w:rsidRDefault="005E2C55" w:rsidP="004B46F2">
      <w:pPr>
        <w:rPr>
          <w:rFonts w:ascii="Verdana" w:hAnsi="Verdana"/>
          <w:sz w:val="18"/>
          <w:szCs w:val="18"/>
        </w:rPr>
      </w:pPr>
      <w:hyperlink r:id="rId11" w:history="1">
        <w:r w:rsidR="00766260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766260">
        <w:rPr>
          <w:rFonts w:ascii="Verdana" w:hAnsi="Verdana"/>
          <w:sz w:val="18"/>
          <w:szCs w:val="18"/>
        </w:rPr>
        <w:t xml:space="preserve"> (Online Database) </w:t>
      </w:r>
    </w:p>
    <w:p w14:paraId="62684FDD" w14:textId="225C9620" w:rsidR="00766260" w:rsidRDefault="005E2C55" w:rsidP="004B46F2">
      <w:pPr>
        <w:jc w:val="both"/>
        <w:rPr>
          <w:rFonts w:ascii="Verdana" w:hAnsi="Verdana"/>
          <w:sz w:val="18"/>
          <w:szCs w:val="18"/>
        </w:rPr>
      </w:pPr>
      <w:hyperlink r:id="rId12" w:history="1">
        <w:r w:rsidR="00766260" w:rsidRPr="006C4439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743EE90B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C7F3DF0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2877EC3E" w14:textId="77777777" w:rsidR="00766260" w:rsidRPr="001417BA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Verdana" w:eastAsia="Malgun Gothic" w:hAnsi="Verdana" w:cs="Arial"/>
          <w:sz w:val="18"/>
          <w:szCs w:val="18"/>
        </w:rPr>
        <w:t xml:space="preserve">Maria </w:t>
      </w:r>
      <w:proofErr w:type="spellStart"/>
      <w:r w:rsidRPr="001417BA">
        <w:rPr>
          <w:rFonts w:ascii="Verdana" w:eastAsia="Malgun Gothic" w:hAnsi="Verdana" w:cs="Arial"/>
          <w:sz w:val="18"/>
          <w:szCs w:val="18"/>
        </w:rPr>
        <w:t>Kkoushi</w:t>
      </w:r>
      <w:proofErr w:type="spellEnd"/>
      <w:r w:rsidRPr="001417BA">
        <w:rPr>
          <w:rFonts w:ascii="Verdana" w:eastAsia="Malgun Gothic" w:hAnsi="Verdana" w:cs="Arial"/>
          <w:sz w:val="18"/>
          <w:szCs w:val="18"/>
        </w:rPr>
        <w:t xml:space="preserve">: Tel: +357-22602235, Email: </w:t>
      </w:r>
      <w:hyperlink r:id="rId13" w:history="1">
        <w:r w:rsidRPr="001417BA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  <w:r w:rsidRPr="001417BA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1BAEC803" w14:textId="77777777" w:rsidR="00766260" w:rsidRPr="001417BA" w:rsidRDefault="00766260" w:rsidP="00766260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</w:p>
    <w:p w14:paraId="1B3BEB7E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4C5F06D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8A57385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E4D7AB4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D690683" w14:textId="77777777" w:rsidR="00766260" w:rsidRPr="001417BA" w:rsidRDefault="00766260" w:rsidP="00766260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93313CF" w14:textId="77777777" w:rsidR="00766260" w:rsidRPr="001417BA" w:rsidRDefault="00766260" w:rsidP="00C26329">
      <w:pPr>
        <w:jc w:val="both"/>
        <w:rPr>
          <w:rFonts w:ascii="Arial" w:hAnsi="Arial" w:cs="Arial"/>
          <w:sz w:val="20"/>
          <w:szCs w:val="20"/>
        </w:rPr>
      </w:pPr>
    </w:p>
    <w:p w14:paraId="06E1CF64" w14:textId="39B99A9E" w:rsidR="00C26329" w:rsidRPr="001417BA" w:rsidRDefault="00463214" w:rsidP="00766260">
      <w:pPr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Arial" w:hAnsi="Arial" w:cs="Arial"/>
          <w:sz w:val="20"/>
          <w:szCs w:val="20"/>
        </w:rPr>
        <w:tab/>
      </w:r>
      <w:r w:rsidRPr="001417BA">
        <w:rPr>
          <w:rFonts w:ascii="Arial" w:hAnsi="Arial" w:cs="Arial"/>
          <w:sz w:val="18"/>
          <w:szCs w:val="18"/>
        </w:rPr>
        <w:tab/>
      </w:r>
    </w:p>
    <w:p w14:paraId="1DF10EE8" w14:textId="43D5A65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5AF2BA" w14:textId="1A1EC05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8C552F9" w14:textId="350CE8FC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B52CCCF" w14:textId="4288030E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EA1277" w14:textId="0CD34C0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118787E" w14:textId="42D34C5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24AC41" w14:textId="7CF0FCB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1D2200" w14:textId="2CAE222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F612F4D" w14:textId="3E605D7D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EF46F3" w14:textId="2381972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D902921" w14:textId="5E86A3C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465D30" w14:textId="1C71EE5B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1CC88" w14:textId="60A07571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C64972" w14:textId="7FFC424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B87698D" w14:textId="64E8EBE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6AF317E" w14:textId="1A0AA58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57D4ECA" w14:textId="534462F0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1947CF0" w14:textId="3889BE4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569C3E" w14:textId="70B4B6A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D05DD0" w14:textId="57ABEE7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E85FBC" w14:textId="62ADAFF2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1417BA" w:rsidSect="00760693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2402D" w14:textId="77777777" w:rsidR="005E2C55" w:rsidRDefault="005E2C55" w:rsidP="00FB398F">
      <w:r>
        <w:separator/>
      </w:r>
    </w:p>
  </w:endnote>
  <w:endnote w:type="continuationSeparator" w:id="0">
    <w:p w14:paraId="630691D0" w14:textId="77777777" w:rsidR="005E2C55" w:rsidRDefault="005E2C5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176482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071A52BA" w:rsidR="0060256A" w:rsidRPr="00A9717C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9717C">
      <w:rPr>
        <w:rFonts w:ascii="Verdana" w:hAnsi="Verdana" w:cs="Arial"/>
        <w:sz w:val="16"/>
        <w:szCs w:val="16"/>
      </w:rPr>
      <w:t>Address: Micha</w:t>
    </w:r>
    <w:r w:rsidR="00EF6A66" w:rsidRPr="00A9717C">
      <w:rPr>
        <w:rFonts w:ascii="Verdana" w:hAnsi="Verdana" w:cs="Arial"/>
        <w:sz w:val="16"/>
        <w:szCs w:val="16"/>
      </w:rPr>
      <w:t>el</w:t>
    </w:r>
    <w:r w:rsidRPr="00A9717C">
      <w:rPr>
        <w:rFonts w:ascii="Verdana" w:hAnsi="Verdana" w:cs="Arial"/>
        <w:sz w:val="16"/>
        <w:szCs w:val="16"/>
      </w:rPr>
      <w:t xml:space="preserve"> </w:t>
    </w:r>
    <w:proofErr w:type="spellStart"/>
    <w:r w:rsidRPr="00A9717C">
      <w:rPr>
        <w:rFonts w:ascii="Verdana" w:hAnsi="Verdana" w:cs="Arial"/>
        <w:sz w:val="16"/>
        <w:szCs w:val="16"/>
      </w:rPr>
      <w:t>Karaoli</w:t>
    </w:r>
    <w:proofErr w:type="spellEnd"/>
    <w:r w:rsidRPr="00A9717C">
      <w:rPr>
        <w:rFonts w:ascii="Verdana" w:hAnsi="Verdana" w:cs="Arial"/>
        <w:sz w:val="16"/>
        <w:szCs w:val="16"/>
      </w:rPr>
      <w:t xml:space="preserve"> Str., 1444 Nicosia, Cyprus</w:t>
    </w:r>
  </w:p>
  <w:p w14:paraId="54F9AF2B" w14:textId="4898E147" w:rsidR="00A9717C" w:rsidRPr="00A9717C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9717C">
      <w:rPr>
        <w:rFonts w:ascii="Verdana" w:hAnsi="Verdana" w:cs="Arial"/>
        <w:sz w:val="16"/>
        <w:szCs w:val="16"/>
        <w:lang w:val="pt-PT"/>
      </w:rPr>
      <w:t>Tel.: 22 602129</w:t>
    </w:r>
    <w:r w:rsidR="0060256A" w:rsidRPr="00A9717C">
      <w:rPr>
        <w:rFonts w:ascii="Verdana" w:hAnsi="Verdana" w:cs="Arial"/>
        <w:sz w:val="16"/>
        <w:szCs w:val="16"/>
        <w:lang w:val="pt-PT"/>
      </w:rPr>
      <w:t xml:space="preserve">, E-mail: </w:t>
    </w:r>
    <w:hyperlink r:id="rId1" w:history="1">
      <w:r w:rsidR="00A9717C" w:rsidRPr="00A9717C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0ABCA5F" w:rsidR="004E4F42" w:rsidRPr="00225DE6" w:rsidRDefault="0060256A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225DE6">
      <w:rPr>
        <w:rFonts w:ascii="Verdana" w:hAnsi="Verdana" w:cs="Arial"/>
        <w:sz w:val="16"/>
        <w:szCs w:val="16"/>
        <w:lang w:val="pt-PT"/>
      </w:rPr>
      <w:t xml:space="preserve">Web </w:t>
    </w:r>
    <w:r w:rsidR="00A9717C" w:rsidRPr="00225DE6">
      <w:rPr>
        <w:rFonts w:ascii="Verdana" w:hAnsi="Verdana" w:cs="Arial"/>
        <w:sz w:val="16"/>
        <w:szCs w:val="16"/>
        <w:lang w:val="pt-PT"/>
      </w:rPr>
      <w:t>Portal</w:t>
    </w:r>
    <w:r w:rsidRPr="00225DE6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225DE6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8479C" w14:textId="77777777" w:rsidR="005E2C55" w:rsidRDefault="005E2C55" w:rsidP="00FB398F">
      <w:r>
        <w:separator/>
      </w:r>
    </w:p>
  </w:footnote>
  <w:footnote w:type="continuationSeparator" w:id="0">
    <w:p w14:paraId="4C7EA39D" w14:textId="77777777" w:rsidR="005E2C55" w:rsidRDefault="005E2C5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8761DE4" w:rsidR="00364377" w:rsidRPr="00A9717C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A9717C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A9717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364377" w:rsidRPr="00A9717C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ab/>
    </w:r>
  </w:p>
  <w:p w14:paraId="4E7C918A" w14:textId="7C1F01EB" w:rsidR="004E4F42" w:rsidRPr="00064266" w:rsidRDefault="0060256A" w:rsidP="00064266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4F86"/>
    <w:rsid w:val="0000542E"/>
    <w:rsid w:val="0001297F"/>
    <w:rsid w:val="00013E40"/>
    <w:rsid w:val="0001476A"/>
    <w:rsid w:val="00014E1A"/>
    <w:rsid w:val="000161B1"/>
    <w:rsid w:val="00025A39"/>
    <w:rsid w:val="00027746"/>
    <w:rsid w:val="00027853"/>
    <w:rsid w:val="00030E18"/>
    <w:rsid w:val="00031D32"/>
    <w:rsid w:val="0003603D"/>
    <w:rsid w:val="00036FA9"/>
    <w:rsid w:val="00045088"/>
    <w:rsid w:val="00045A06"/>
    <w:rsid w:val="000476C5"/>
    <w:rsid w:val="00050391"/>
    <w:rsid w:val="000509D6"/>
    <w:rsid w:val="000543E2"/>
    <w:rsid w:val="00054F4F"/>
    <w:rsid w:val="00055291"/>
    <w:rsid w:val="000563D3"/>
    <w:rsid w:val="00057E44"/>
    <w:rsid w:val="000600C5"/>
    <w:rsid w:val="0006085A"/>
    <w:rsid w:val="00061299"/>
    <w:rsid w:val="000641D1"/>
    <w:rsid w:val="00064266"/>
    <w:rsid w:val="00064CF2"/>
    <w:rsid w:val="00070576"/>
    <w:rsid w:val="00072754"/>
    <w:rsid w:val="000752BB"/>
    <w:rsid w:val="00076A30"/>
    <w:rsid w:val="00081ADF"/>
    <w:rsid w:val="00084A02"/>
    <w:rsid w:val="00084BF7"/>
    <w:rsid w:val="000850BA"/>
    <w:rsid w:val="000852A5"/>
    <w:rsid w:val="000870E9"/>
    <w:rsid w:val="0008715F"/>
    <w:rsid w:val="000876BA"/>
    <w:rsid w:val="000932CF"/>
    <w:rsid w:val="00093369"/>
    <w:rsid w:val="00096ED8"/>
    <w:rsid w:val="000A01D7"/>
    <w:rsid w:val="000A0A18"/>
    <w:rsid w:val="000A1A88"/>
    <w:rsid w:val="000A2B5C"/>
    <w:rsid w:val="000A3601"/>
    <w:rsid w:val="000A580D"/>
    <w:rsid w:val="000A6FA8"/>
    <w:rsid w:val="000B0C0D"/>
    <w:rsid w:val="000B6F3B"/>
    <w:rsid w:val="000C177A"/>
    <w:rsid w:val="000C360D"/>
    <w:rsid w:val="000C4E72"/>
    <w:rsid w:val="000C7190"/>
    <w:rsid w:val="000D0FC2"/>
    <w:rsid w:val="000D17A9"/>
    <w:rsid w:val="000D1D06"/>
    <w:rsid w:val="000D1E7A"/>
    <w:rsid w:val="000D290C"/>
    <w:rsid w:val="000E24B1"/>
    <w:rsid w:val="000E2735"/>
    <w:rsid w:val="000E32D6"/>
    <w:rsid w:val="000E493D"/>
    <w:rsid w:val="000E57F2"/>
    <w:rsid w:val="000E5D0A"/>
    <w:rsid w:val="000E72A7"/>
    <w:rsid w:val="000F1162"/>
    <w:rsid w:val="000F2DED"/>
    <w:rsid w:val="000F3467"/>
    <w:rsid w:val="000F38DE"/>
    <w:rsid w:val="000F5D6C"/>
    <w:rsid w:val="000F6490"/>
    <w:rsid w:val="001002ED"/>
    <w:rsid w:val="00105F9B"/>
    <w:rsid w:val="00106852"/>
    <w:rsid w:val="00110F9D"/>
    <w:rsid w:val="00114A67"/>
    <w:rsid w:val="001162EF"/>
    <w:rsid w:val="00117D57"/>
    <w:rsid w:val="0012172E"/>
    <w:rsid w:val="00121FD9"/>
    <w:rsid w:val="00122143"/>
    <w:rsid w:val="001241D3"/>
    <w:rsid w:val="0012464E"/>
    <w:rsid w:val="001253B6"/>
    <w:rsid w:val="00127320"/>
    <w:rsid w:val="00127456"/>
    <w:rsid w:val="001312D8"/>
    <w:rsid w:val="0013137B"/>
    <w:rsid w:val="001324C9"/>
    <w:rsid w:val="001333A8"/>
    <w:rsid w:val="001417BA"/>
    <w:rsid w:val="001446F4"/>
    <w:rsid w:val="001510C7"/>
    <w:rsid w:val="00151175"/>
    <w:rsid w:val="0015118B"/>
    <w:rsid w:val="001519CE"/>
    <w:rsid w:val="00154195"/>
    <w:rsid w:val="00160218"/>
    <w:rsid w:val="00161CF3"/>
    <w:rsid w:val="00162C00"/>
    <w:rsid w:val="001639EF"/>
    <w:rsid w:val="0016558D"/>
    <w:rsid w:val="0016589F"/>
    <w:rsid w:val="00166FC4"/>
    <w:rsid w:val="001728FF"/>
    <w:rsid w:val="00176482"/>
    <w:rsid w:val="00176558"/>
    <w:rsid w:val="00176DA4"/>
    <w:rsid w:val="0017756A"/>
    <w:rsid w:val="0017769A"/>
    <w:rsid w:val="00183DFC"/>
    <w:rsid w:val="00184384"/>
    <w:rsid w:val="00186717"/>
    <w:rsid w:val="00187FFC"/>
    <w:rsid w:val="00190B6E"/>
    <w:rsid w:val="00194427"/>
    <w:rsid w:val="00195F26"/>
    <w:rsid w:val="00196BD2"/>
    <w:rsid w:val="001A2018"/>
    <w:rsid w:val="001A28D5"/>
    <w:rsid w:val="001A2DF7"/>
    <w:rsid w:val="001A3DD4"/>
    <w:rsid w:val="001B2C39"/>
    <w:rsid w:val="001B3675"/>
    <w:rsid w:val="001B4D8E"/>
    <w:rsid w:val="001B54AB"/>
    <w:rsid w:val="001B5E10"/>
    <w:rsid w:val="001B6AB3"/>
    <w:rsid w:val="001B6BA9"/>
    <w:rsid w:val="001B73D5"/>
    <w:rsid w:val="001C0681"/>
    <w:rsid w:val="001C14B9"/>
    <w:rsid w:val="001C4AD4"/>
    <w:rsid w:val="001C552B"/>
    <w:rsid w:val="001C62B3"/>
    <w:rsid w:val="001C7C8C"/>
    <w:rsid w:val="001D0228"/>
    <w:rsid w:val="001D0D6A"/>
    <w:rsid w:val="001D20A4"/>
    <w:rsid w:val="001D51D1"/>
    <w:rsid w:val="001E00D1"/>
    <w:rsid w:val="001E0E58"/>
    <w:rsid w:val="001E14F3"/>
    <w:rsid w:val="001E15ED"/>
    <w:rsid w:val="001E4F87"/>
    <w:rsid w:val="001E61AA"/>
    <w:rsid w:val="001E7D09"/>
    <w:rsid w:val="001F6507"/>
    <w:rsid w:val="0020309E"/>
    <w:rsid w:val="00204D07"/>
    <w:rsid w:val="00205BA0"/>
    <w:rsid w:val="00210B58"/>
    <w:rsid w:val="002210A7"/>
    <w:rsid w:val="00222423"/>
    <w:rsid w:val="00225B28"/>
    <w:rsid w:val="00225DE6"/>
    <w:rsid w:val="00230440"/>
    <w:rsid w:val="002313AC"/>
    <w:rsid w:val="00231DF0"/>
    <w:rsid w:val="00235FB2"/>
    <w:rsid w:val="002371CC"/>
    <w:rsid w:val="00237BC1"/>
    <w:rsid w:val="00237DF2"/>
    <w:rsid w:val="002430B4"/>
    <w:rsid w:val="002447D0"/>
    <w:rsid w:val="002454C5"/>
    <w:rsid w:val="00245E19"/>
    <w:rsid w:val="0024631A"/>
    <w:rsid w:val="0024685F"/>
    <w:rsid w:val="00246AEB"/>
    <w:rsid w:val="00247A93"/>
    <w:rsid w:val="00250005"/>
    <w:rsid w:val="0025254F"/>
    <w:rsid w:val="00252971"/>
    <w:rsid w:val="0025308B"/>
    <w:rsid w:val="002554D5"/>
    <w:rsid w:val="0025566D"/>
    <w:rsid w:val="0025595C"/>
    <w:rsid w:val="00257149"/>
    <w:rsid w:val="002576E7"/>
    <w:rsid w:val="00260357"/>
    <w:rsid w:val="00264F04"/>
    <w:rsid w:val="00267554"/>
    <w:rsid w:val="0027122D"/>
    <w:rsid w:val="00273E85"/>
    <w:rsid w:val="00275D72"/>
    <w:rsid w:val="00276C7C"/>
    <w:rsid w:val="00277BDD"/>
    <w:rsid w:val="002827CF"/>
    <w:rsid w:val="0028338F"/>
    <w:rsid w:val="00283C54"/>
    <w:rsid w:val="00285C24"/>
    <w:rsid w:val="002915C4"/>
    <w:rsid w:val="00294A73"/>
    <w:rsid w:val="00297BAA"/>
    <w:rsid w:val="002A1D1C"/>
    <w:rsid w:val="002A4D64"/>
    <w:rsid w:val="002B521C"/>
    <w:rsid w:val="002B6554"/>
    <w:rsid w:val="002D05F0"/>
    <w:rsid w:val="002D7D4A"/>
    <w:rsid w:val="002E0A9F"/>
    <w:rsid w:val="002E16BF"/>
    <w:rsid w:val="002E1906"/>
    <w:rsid w:val="002E3846"/>
    <w:rsid w:val="002E3F78"/>
    <w:rsid w:val="002E4270"/>
    <w:rsid w:val="002E5810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02E5"/>
    <w:rsid w:val="00321717"/>
    <w:rsid w:val="00322FBE"/>
    <w:rsid w:val="00325632"/>
    <w:rsid w:val="00327549"/>
    <w:rsid w:val="00331900"/>
    <w:rsid w:val="003333E3"/>
    <w:rsid w:val="003342A5"/>
    <w:rsid w:val="00336C36"/>
    <w:rsid w:val="00343815"/>
    <w:rsid w:val="003522BB"/>
    <w:rsid w:val="00352F6C"/>
    <w:rsid w:val="003550DF"/>
    <w:rsid w:val="003556EA"/>
    <w:rsid w:val="003576C5"/>
    <w:rsid w:val="00363A2E"/>
    <w:rsid w:val="00364377"/>
    <w:rsid w:val="003649EE"/>
    <w:rsid w:val="0037320E"/>
    <w:rsid w:val="0037357B"/>
    <w:rsid w:val="00377ABB"/>
    <w:rsid w:val="0038046F"/>
    <w:rsid w:val="00384C61"/>
    <w:rsid w:val="003854F5"/>
    <w:rsid w:val="00385E90"/>
    <w:rsid w:val="00386FC7"/>
    <w:rsid w:val="00390A32"/>
    <w:rsid w:val="00393759"/>
    <w:rsid w:val="00395942"/>
    <w:rsid w:val="00396C89"/>
    <w:rsid w:val="003A2141"/>
    <w:rsid w:val="003A40F2"/>
    <w:rsid w:val="003A50D1"/>
    <w:rsid w:val="003A6547"/>
    <w:rsid w:val="003A75DF"/>
    <w:rsid w:val="003B196D"/>
    <w:rsid w:val="003B2710"/>
    <w:rsid w:val="003B2E64"/>
    <w:rsid w:val="003B33C5"/>
    <w:rsid w:val="003B4608"/>
    <w:rsid w:val="003C1B8E"/>
    <w:rsid w:val="003C2392"/>
    <w:rsid w:val="003C5174"/>
    <w:rsid w:val="003C5240"/>
    <w:rsid w:val="003D14E0"/>
    <w:rsid w:val="003D1EA5"/>
    <w:rsid w:val="003D3348"/>
    <w:rsid w:val="003D546A"/>
    <w:rsid w:val="003D6822"/>
    <w:rsid w:val="003D724C"/>
    <w:rsid w:val="003E0CE2"/>
    <w:rsid w:val="003E48A2"/>
    <w:rsid w:val="003E5C84"/>
    <w:rsid w:val="003F49E4"/>
    <w:rsid w:val="003F4D2F"/>
    <w:rsid w:val="003F5E32"/>
    <w:rsid w:val="003F75F6"/>
    <w:rsid w:val="00402357"/>
    <w:rsid w:val="00404670"/>
    <w:rsid w:val="00405B26"/>
    <w:rsid w:val="00405E22"/>
    <w:rsid w:val="00407A77"/>
    <w:rsid w:val="00412EC6"/>
    <w:rsid w:val="00414CA0"/>
    <w:rsid w:val="00422F54"/>
    <w:rsid w:val="004255D3"/>
    <w:rsid w:val="00431516"/>
    <w:rsid w:val="004361B3"/>
    <w:rsid w:val="0044249D"/>
    <w:rsid w:val="0044379F"/>
    <w:rsid w:val="00444687"/>
    <w:rsid w:val="00445F42"/>
    <w:rsid w:val="00446FB1"/>
    <w:rsid w:val="00451661"/>
    <w:rsid w:val="00454F34"/>
    <w:rsid w:val="004574F8"/>
    <w:rsid w:val="0046078F"/>
    <w:rsid w:val="004615D1"/>
    <w:rsid w:val="00463214"/>
    <w:rsid w:val="0046393E"/>
    <w:rsid w:val="0046434D"/>
    <w:rsid w:val="004656FA"/>
    <w:rsid w:val="00470CCB"/>
    <w:rsid w:val="00471D77"/>
    <w:rsid w:val="0047322B"/>
    <w:rsid w:val="00475587"/>
    <w:rsid w:val="0048055B"/>
    <w:rsid w:val="00480BC2"/>
    <w:rsid w:val="004929C2"/>
    <w:rsid w:val="00493FDD"/>
    <w:rsid w:val="0049586B"/>
    <w:rsid w:val="00495D6F"/>
    <w:rsid w:val="004A0EE7"/>
    <w:rsid w:val="004A18C1"/>
    <w:rsid w:val="004A3E44"/>
    <w:rsid w:val="004A7983"/>
    <w:rsid w:val="004B2631"/>
    <w:rsid w:val="004B2896"/>
    <w:rsid w:val="004B38E9"/>
    <w:rsid w:val="004B3FBA"/>
    <w:rsid w:val="004B46F2"/>
    <w:rsid w:val="004B556F"/>
    <w:rsid w:val="004B6599"/>
    <w:rsid w:val="004B7A7E"/>
    <w:rsid w:val="004B7D56"/>
    <w:rsid w:val="004C0654"/>
    <w:rsid w:val="004C35CE"/>
    <w:rsid w:val="004C42F9"/>
    <w:rsid w:val="004C6CA7"/>
    <w:rsid w:val="004D0965"/>
    <w:rsid w:val="004D296A"/>
    <w:rsid w:val="004D4357"/>
    <w:rsid w:val="004D4950"/>
    <w:rsid w:val="004D7F75"/>
    <w:rsid w:val="004E17B7"/>
    <w:rsid w:val="004E2393"/>
    <w:rsid w:val="004E27EC"/>
    <w:rsid w:val="004E3745"/>
    <w:rsid w:val="004E42BE"/>
    <w:rsid w:val="004E4CD9"/>
    <w:rsid w:val="004E4F42"/>
    <w:rsid w:val="004E63D5"/>
    <w:rsid w:val="004F03FD"/>
    <w:rsid w:val="004F1FEC"/>
    <w:rsid w:val="004F4DC9"/>
    <w:rsid w:val="004F52F0"/>
    <w:rsid w:val="004F555F"/>
    <w:rsid w:val="004F6250"/>
    <w:rsid w:val="004F677C"/>
    <w:rsid w:val="004F6D8F"/>
    <w:rsid w:val="00505503"/>
    <w:rsid w:val="00510560"/>
    <w:rsid w:val="0051107B"/>
    <w:rsid w:val="00512F9C"/>
    <w:rsid w:val="005143F1"/>
    <w:rsid w:val="00527CDB"/>
    <w:rsid w:val="005317FB"/>
    <w:rsid w:val="005341C9"/>
    <w:rsid w:val="005369CA"/>
    <w:rsid w:val="00536DE9"/>
    <w:rsid w:val="00540668"/>
    <w:rsid w:val="00541E08"/>
    <w:rsid w:val="00544909"/>
    <w:rsid w:val="005534C7"/>
    <w:rsid w:val="0055789A"/>
    <w:rsid w:val="0056105A"/>
    <w:rsid w:val="00564296"/>
    <w:rsid w:val="005651DF"/>
    <w:rsid w:val="005652D1"/>
    <w:rsid w:val="00565ED8"/>
    <w:rsid w:val="005660A0"/>
    <w:rsid w:val="00566A4F"/>
    <w:rsid w:val="00567D64"/>
    <w:rsid w:val="005709F2"/>
    <w:rsid w:val="0057199D"/>
    <w:rsid w:val="00571F01"/>
    <w:rsid w:val="00572BC2"/>
    <w:rsid w:val="00581FD6"/>
    <w:rsid w:val="005860BA"/>
    <w:rsid w:val="005938ED"/>
    <w:rsid w:val="0059478C"/>
    <w:rsid w:val="005978D4"/>
    <w:rsid w:val="005A08A1"/>
    <w:rsid w:val="005A14F9"/>
    <w:rsid w:val="005A24C9"/>
    <w:rsid w:val="005A32D0"/>
    <w:rsid w:val="005A3AE8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5ABD"/>
    <w:rsid w:val="005D7638"/>
    <w:rsid w:val="005E2C55"/>
    <w:rsid w:val="005E2DFF"/>
    <w:rsid w:val="005E5A20"/>
    <w:rsid w:val="005E6AA1"/>
    <w:rsid w:val="005F12F5"/>
    <w:rsid w:val="005F4B4F"/>
    <w:rsid w:val="005F7C7D"/>
    <w:rsid w:val="00601353"/>
    <w:rsid w:val="0060256A"/>
    <w:rsid w:val="006044B7"/>
    <w:rsid w:val="006071CE"/>
    <w:rsid w:val="006075B5"/>
    <w:rsid w:val="0061018C"/>
    <w:rsid w:val="0061094E"/>
    <w:rsid w:val="00613440"/>
    <w:rsid w:val="00613BE3"/>
    <w:rsid w:val="00613E52"/>
    <w:rsid w:val="00621638"/>
    <w:rsid w:val="0062327B"/>
    <w:rsid w:val="0062595D"/>
    <w:rsid w:val="006309A6"/>
    <w:rsid w:val="00632777"/>
    <w:rsid w:val="00632F88"/>
    <w:rsid w:val="00633750"/>
    <w:rsid w:val="00634491"/>
    <w:rsid w:val="00634A35"/>
    <w:rsid w:val="0063679C"/>
    <w:rsid w:val="00637055"/>
    <w:rsid w:val="00641D59"/>
    <w:rsid w:val="00641F65"/>
    <w:rsid w:val="00642864"/>
    <w:rsid w:val="00644507"/>
    <w:rsid w:val="00646880"/>
    <w:rsid w:val="00647D2A"/>
    <w:rsid w:val="006537BB"/>
    <w:rsid w:val="0065711B"/>
    <w:rsid w:val="00671785"/>
    <w:rsid w:val="00672BA9"/>
    <w:rsid w:val="00673005"/>
    <w:rsid w:val="006746C7"/>
    <w:rsid w:val="006804BE"/>
    <w:rsid w:val="0069008E"/>
    <w:rsid w:val="0069087E"/>
    <w:rsid w:val="00691191"/>
    <w:rsid w:val="006925C4"/>
    <w:rsid w:val="0069309C"/>
    <w:rsid w:val="006A02B7"/>
    <w:rsid w:val="006A3EAB"/>
    <w:rsid w:val="006A4491"/>
    <w:rsid w:val="006B26C8"/>
    <w:rsid w:val="006B28BE"/>
    <w:rsid w:val="006B429B"/>
    <w:rsid w:val="006B46D5"/>
    <w:rsid w:val="006B46F4"/>
    <w:rsid w:val="006C0A97"/>
    <w:rsid w:val="006C282C"/>
    <w:rsid w:val="006C4439"/>
    <w:rsid w:val="006C5317"/>
    <w:rsid w:val="006C77C9"/>
    <w:rsid w:val="006C7AF3"/>
    <w:rsid w:val="006D0281"/>
    <w:rsid w:val="006D0492"/>
    <w:rsid w:val="006D45B8"/>
    <w:rsid w:val="006D6548"/>
    <w:rsid w:val="006E0AC5"/>
    <w:rsid w:val="006E0E20"/>
    <w:rsid w:val="006E4256"/>
    <w:rsid w:val="006E4BBA"/>
    <w:rsid w:val="006E5F43"/>
    <w:rsid w:val="006E60A6"/>
    <w:rsid w:val="006E66C2"/>
    <w:rsid w:val="006F0F69"/>
    <w:rsid w:val="006F116B"/>
    <w:rsid w:val="006F117F"/>
    <w:rsid w:val="006F13DF"/>
    <w:rsid w:val="006F1E66"/>
    <w:rsid w:val="006F3AD6"/>
    <w:rsid w:val="00702F26"/>
    <w:rsid w:val="0070313E"/>
    <w:rsid w:val="00703799"/>
    <w:rsid w:val="00704521"/>
    <w:rsid w:val="00705C5C"/>
    <w:rsid w:val="00711475"/>
    <w:rsid w:val="00714EE5"/>
    <w:rsid w:val="00715C96"/>
    <w:rsid w:val="0072548A"/>
    <w:rsid w:val="007255DA"/>
    <w:rsid w:val="007259BF"/>
    <w:rsid w:val="007277A6"/>
    <w:rsid w:val="00730B1E"/>
    <w:rsid w:val="00733FF3"/>
    <w:rsid w:val="0073578C"/>
    <w:rsid w:val="007437AB"/>
    <w:rsid w:val="00745AEA"/>
    <w:rsid w:val="0075181E"/>
    <w:rsid w:val="0075275F"/>
    <w:rsid w:val="007534F8"/>
    <w:rsid w:val="00753510"/>
    <w:rsid w:val="007545AD"/>
    <w:rsid w:val="0076060D"/>
    <w:rsid w:val="00760693"/>
    <w:rsid w:val="007631C9"/>
    <w:rsid w:val="00763722"/>
    <w:rsid w:val="00764BC1"/>
    <w:rsid w:val="00764C58"/>
    <w:rsid w:val="00766260"/>
    <w:rsid w:val="00770869"/>
    <w:rsid w:val="00772F9A"/>
    <w:rsid w:val="007738AA"/>
    <w:rsid w:val="007751C3"/>
    <w:rsid w:val="00780A62"/>
    <w:rsid w:val="00783241"/>
    <w:rsid w:val="007838EC"/>
    <w:rsid w:val="00784703"/>
    <w:rsid w:val="00784BDC"/>
    <w:rsid w:val="00791B7E"/>
    <w:rsid w:val="00792F28"/>
    <w:rsid w:val="00792F44"/>
    <w:rsid w:val="0079543F"/>
    <w:rsid w:val="00795880"/>
    <w:rsid w:val="00795D8F"/>
    <w:rsid w:val="00797870"/>
    <w:rsid w:val="007A4367"/>
    <w:rsid w:val="007A6B7D"/>
    <w:rsid w:val="007B0867"/>
    <w:rsid w:val="007B1AC1"/>
    <w:rsid w:val="007B25A2"/>
    <w:rsid w:val="007B3EF8"/>
    <w:rsid w:val="007B5A08"/>
    <w:rsid w:val="007B693D"/>
    <w:rsid w:val="007C60B3"/>
    <w:rsid w:val="007C676E"/>
    <w:rsid w:val="007C732D"/>
    <w:rsid w:val="007C7494"/>
    <w:rsid w:val="007D5E20"/>
    <w:rsid w:val="007D7F59"/>
    <w:rsid w:val="007E041B"/>
    <w:rsid w:val="007E199A"/>
    <w:rsid w:val="007E2415"/>
    <w:rsid w:val="007E39F3"/>
    <w:rsid w:val="007E68F4"/>
    <w:rsid w:val="007E6C63"/>
    <w:rsid w:val="007E6E0B"/>
    <w:rsid w:val="007E7D74"/>
    <w:rsid w:val="007F31BA"/>
    <w:rsid w:val="007F4078"/>
    <w:rsid w:val="0080014B"/>
    <w:rsid w:val="00800C0B"/>
    <w:rsid w:val="00801172"/>
    <w:rsid w:val="00801793"/>
    <w:rsid w:val="00803164"/>
    <w:rsid w:val="008035C8"/>
    <w:rsid w:val="00803642"/>
    <w:rsid w:val="0080379F"/>
    <w:rsid w:val="00806EA2"/>
    <w:rsid w:val="00812A2B"/>
    <w:rsid w:val="00814A4C"/>
    <w:rsid w:val="00814EFB"/>
    <w:rsid w:val="008223FC"/>
    <w:rsid w:val="00823B28"/>
    <w:rsid w:val="00831AAB"/>
    <w:rsid w:val="0083574E"/>
    <w:rsid w:val="0083640C"/>
    <w:rsid w:val="00837AA8"/>
    <w:rsid w:val="00840878"/>
    <w:rsid w:val="0084157B"/>
    <w:rsid w:val="00842BFB"/>
    <w:rsid w:val="008436E9"/>
    <w:rsid w:val="00846B85"/>
    <w:rsid w:val="00847DC3"/>
    <w:rsid w:val="00847F49"/>
    <w:rsid w:val="008518EC"/>
    <w:rsid w:val="008519FD"/>
    <w:rsid w:val="008535C5"/>
    <w:rsid w:val="00853765"/>
    <w:rsid w:val="0085450B"/>
    <w:rsid w:val="0085516F"/>
    <w:rsid w:val="008571EB"/>
    <w:rsid w:val="0085734B"/>
    <w:rsid w:val="00861278"/>
    <w:rsid w:val="00862FDD"/>
    <w:rsid w:val="00867186"/>
    <w:rsid w:val="00870AF6"/>
    <w:rsid w:val="00880FEC"/>
    <w:rsid w:val="00881268"/>
    <w:rsid w:val="0088394A"/>
    <w:rsid w:val="008860BD"/>
    <w:rsid w:val="00887399"/>
    <w:rsid w:val="0088779E"/>
    <w:rsid w:val="00890EC2"/>
    <w:rsid w:val="008912AF"/>
    <w:rsid w:val="00891C83"/>
    <w:rsid w:val="00891F27"/>
    <w:rsid w:val="00892114"/>
    <w:rsid w:val="00892CB9"/>
    <w:rsid w:val="008932EE"/>
    <w:rsid w:val="008935CB"/>
    <w:rsid w:val="00895E02"/>
    <w:rsid w:val="00897924"/>
    <w:rsid w:val="008A6034"/>
    <w:rsid w:val="008B0E7E"/>
    <w:rsid w:val="008B1363"/>
    <w:rsid w:val="008B5844"/>
    <w:rsid w:val="008B5FF0"/>
    <w:rsid w:val="008B65BD"/>
    <w:rsid w:val="008B7900"/>
    <w:rsid w:val="008C306B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09ED"/>
    <w:rsid w:val="0090338C"/>
    <w:rsid w:val="00914A23"/>
    <w:rsid w:val="00916340"/>
    <w:rsid w:val="0092705D"/>
    <w:rsid w:val="00930754"/>
    <w:rsid w:val="00931164"/>
    <w:rsid w:val="00934F68"/>
    <w:rsid w:val="009355AC"/>
    <w:rsid w:val="00935F38"/>
    <w:rsid w:val="00937586"/>
    <w:rsid w:val="009465D2"/>
    <w:rsid w:val="00947889"/>
    <w:rsid w:val="00947AF9"/>
    <w:rsid w:val="009518FB"/>
    <w:rsid w:val="00960E98"/>
    <w:rsid w:val="00963A82"/>
    <w:rsid w:val="00964B77"/>
    <w:rsid w:val="00972912"/>
    <w:rsid w:val="00972CA0"/>
    <w:rsid w:val="00976252"/>
    <w:rsid w:val="00976D1F"/>
    <w:rsid w:val="00981C81"/>
    <w:rsid w:val="00992209"/>
    <w:rsid w:val="00992360"/>
    <w:rsid w:val="0099530C"/>
    <w:rsid w:val="009953BB"/>
    <w:rsid w:val="009A23F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C6A11"/>
    <w:rsid w:val="009D2611"/>
    <w:rsid w:val="009D7961"/>
    <w:rsid w:val="009D79D2"/>
    <w:rsid w:val="009E247C"/>
    <w:rsid w:val="009E2BD8"/>
    <w:rsid w:val="009E31BA"/>
    <w:rsid w:val="009F0528"/>
    <w:rsid w:val="009F0806"/>
    <w:rsid w:val="009F0B47"/>
    <w:rsid w:val="009F233B"/>
    <w:rsid w:val="00A01D19"/>
    <w:rsid w:val="00A03129"/>
    <w:rsid w:val="00A05D16"/>
    <w:rsid w:val="00A0659F"/>
    <w:rsid w:val="00A079BA"/>
    <w:rsid w:val="00A136AB"/>
    <w:rsid w:val="00A16134"/>
    <w:rsid w:val="00A239F2"/>
    <w:rsid w:val="00A33553"/>
    <w:rsid w:val="00A337CF"/>
    <w:rsid w:val="00A33875"/>
    <w:rsid w:val="00A339FF"/>
    <w:rsid w:val="00A360A1"/>
    <w:rsid w:val="00A378FC"/>
    <w:rsid w:val="00A37C54"/>
    <w:rsid w:val="00A402B3"/>
    <w:rsid w:val="00A52EC6"/>
    <w:rsid w:val="00A544B7"/>
    <w:rsid w:val="00A5455C"/>
    <w:rsid w:val="00A575EE"/>
    <w:rsid w:val="00A618CF"/>
    <w:rsid w:val="00A62770"/>
    <w:rsid w:val="00A62EEB"/>
    <w:rsid w:val="00A660FF"/>
    <w:rsid w:val="00A6625A"/>
    <w:rsid w:val="00A664A0"/>
    <w:rsid w:val="00A73395"/>
    <w:rsid w:val="00A73B66"/>
    <w:rsid w:val="00A82B4C"/>
    <w:rsid w:val="00A915B4"/>
    <w:rsid w:val="00A93A4C"/>
    <w:rsid w:val="00A94D5D"/>
    <w:rsid w:val="00A9717C"/>
    <w:rsid w:val="00A973F1"/>
    <w:rsid w:val="00AA0627"/>
    <w:rsid w:val="00AA1D9B"/>
    <w:rsid w:val="00AA240E"/>
    <w:rsid w:val="00AA2543"/>
    <w:rsid w:val="00AA3492"/>
    <w:rsid w:val="00AA3804"/>
    <w:rsid w:val="00AA55C2"/>
    <w:rsid w:val="00AA7E9B"/>
    <w:rsid w:val="00AB0ACA"/>
    <w:rsid w:val="00AB1176"/>
    <w:rsid w:val="00AB1D41"/>
    <w:rsid w:val="00AC37A8"/>
    <w:rsid w:val="00AC5E9A"/>
    <w:rsid w:val="00AC704B"/>
    <w:rsid w:val="00AD553E"/>
    <w:rsid w:val="00AD5848"/>
    <w:rsid w:val="00AD6548"/>
    <w:rsid w:val="00AD6A11"/>
    <w:rsid w:val="00AE5ADA"/>
    <w:rsid w:val="00AF3C0A"/>
    <w:rsid w:val="00AF6145"/>
    <w:rsid w:val="00B01386"/>
    <w:rsid w:val="00B01BB5"/>
    <w:rsid w:val="00B04AF4"/>
    <w:rsid w:val="00B05214"/>
    <w:rsid w:val="00B0736F"/>
    <w:rsid w:val="00B15DA1"/>
    <w:rsid w:val="00B24C3F"/>
    <w:rsid w:val="00B26CE1"/>
    <w:rsid w:val="00B27F4F"/>
    <w:rsid w:val="00B30D97"/>
    <w:rsid w:val="00B31738"/>
    <w:rsid w:val="00B3181A"/>
    <w:rsid w:val="00B35A7C"/>
    <w:rsid w:val="00B43802"/>
    <w:rsid w:val="00B450D1"/>
    <w:rsid w:val="00B514BC"/>
    <w:rsid w:val="00B52A53"/>
    <w:rsid w:val="00B53D47"/>
    <w:rsid w:val="00B54A25"/>
    <w:rsid w:val="00B54E8E"/>
    <w:rsid w:val="00B618C3"/>
    <w:rsid w:val="00B63652"/>
    <w:rsid w:val="00B6579F"/>
    <w:rsid w:val="00B65B12"/>
    <w:rsid w:val="00B668B0"/>
    <w:rsid w:val="00B70CD0"/>
    <w:rsid w:val="00B70F5C"/>
    <w:rsid w:val="00B712A5"/>
    <w:rsid w:val="00B71873"/>
    <w:rsid w:val="00B75AE5"/>
    <w:rsid w:val="00B800C0"/>
    <w:rsid w:val="00B8132B"/>
    <w:rsid w:val="00B84C5A"/>
    <w:rsid w:val="00B858F5"/>
    <w:rsid w:val="00B85ADA"/>
    <w:rsid w:val="00B92A9F"/>
    <w:rsid w:val="00B93668"/>
    <w:rsid w:val="00B96810"/>
    <w:rsid w:val="00B97935"/>
    <w:rsid w:val="00BA1BC3"/>
    <w:rsid w:val="00BA46D7"/>
    <w:rsid w:val="00BA555A"/>
    <w:rsid w:val="00BA688A"/>
    <w:rsid w:val="00BA68C6"/>
    <w:rsid w:val="00BB12F1"/>
    <w:rsid w:val="00BB2200"/>
    <w:rsid w:val="00BB276E"/>
    <w:rsid w:val="00BB3473"/>
    <w:rsid w:val="00BB3FEE"/>
    <w:rsid w:val="00BB5EB0"/>
    <w:rsid w:val="00BB60B2"/>
    <w:rsid w:val="00BB7A27"/>
    <w:rsid w:val="00BC245A"/>
    <w:rsid w:val="00BC340C"/>
    <w:rsid w:val="00BC35D4"/>
    <w:rsid w:val="00BC3A27"/>
    <w:rsid w:val="00BC7B6A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3BB3"/>
    <w:rsid w:val="00BF47D9"/>
    <w:rsid w:val="00BF5755"/>
    <w:rsid w:val="00BF684B"/>
    <w:rsid w:val="00C016F3"/>
    <w:rsid w:val="00C126E5"/>
    <w:rsid w:val="00C13E31"/>
    <w:rsid w:val="00C14B1A"/>
    <w:rsid w:val="00C15193"/>
    <w:rsid w:val="00C15339"/>
    <w:rsid w:val="00C15609"/>
    <w:rsid w:val="00C15F6A"/>
    <w:rsid w:val="00C23696"/>
    <w:rsid w:val="00C23EA7"/>
    <w:rsid w:val="00C256F3"/>
    <w:rsid w:val="00C26329"/>
    <w:rsid w:val="00C270A2"/>
    <w:rsid w:val="00C315B5"/>
    <w:rsid w:val="00C32D3A"/>
    <w:rsid w:val="00C35E28"/>
    <w:rsid w:val="00C426AF"/>
    <w:rsid w:val="00C44F0C"/>
    <w:rsid w:val="00C469C1"/>
    <w:rsid w:val="00C50274"/>
    <w:rsid w:val="00C50659"/>
    <w:rsid w:val="00C50AA0"/>
    <w:rsid w:val="00C51B39"/>
    <w:rsid w:val="00C5338A"/>
    <w:rsid w:val="00C54EF9"/>
    <w:rsid w:val="00C56BBF"/>
    <w:rsid w:val="00C572AA"/>
    <w:rsid w:val="00C57695"/>
    <w:rsid w:val="00C57A9A"/>
    <w:rsid w:val="00C6016A"/>
    <w:rsid w:val="00C6039A"/>
    <w:rsid w:val="00C60B3F"/>
    <w:rsid w:val="00C623EB"/>
    <w:rsid w:val="00C6258A"/>
    <w:rsid w:val="00C63961"/>
    <w:rsid w:val="00C64C6B"/>
    <w:rsid w:val="00C65138"/>
    <w:rsid w:val="00C66F2E"/>
    <w:rsid w:val="00C6785C"/>
    <w:rsid w:val="00C70FD1"/>
    <w:rsid w:val="00C733AA"/>
    <w:rsid w:val="00C76242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A6F73"/>
    <w:rsid w:val="00CA7D85"/>
    <w:rsid w:val="00CB19FD"/>
    <w:rsid w:val="00CB6BC1"/>
    <w:rsid w:val="00CB7021"/>
    <w:rsid w:val="00CC032E"/>
    <w:rsid w:val="00CC3D3A"/>
    <w:rsid w:val="00CD3294"/>
    <w:rsid w:val="00CD4524"/>
    <w:rsid w:val="00CD62F9"/>
    <w:rsid w:val="00CD6F63"/>
    <w:rsid w:val="00CD784D"/>
    <w:rsid w:val="00CF40F8"/>
    <w:rsid w:val="00D008DA"/>
    <w:rsid w:val="00D0113F"/>
    <w:rsid w:val="00D015C7"/>
    <w:rsid w:val="00D0416F"/>
    <w:rsid w:val="00D05851"/>
    <w:rsid w:val="00D102B0"/>
    <w:rsid w:val="00D10FED"/>
    <w:rsid w:val="00D11736"/>
    <w:rsid w:val="00D12EE8"/>
    <w:rsid w:val="00D13F33"/>
    <w:rsid w:val="00D1452D"/>
    <w:rsid w:val="00D14BD6"/>
    <w:rsid w:val="00D15FF1"/>
    <w:rsid w:val="00D167F4"/>
    <w:rsid w:val="00D2092A"/>
    <w:rsid w:val="00D2216D"/>
    <w:rsid w:val="00D23FF1"/>
    <w:rsid w:val="00D2544B"/>
    <w:rsid w:val="00D275EF"/>
    <w:rsid w:val="00D31A6F"/>
    <w:rsid w:val="00D329DA"/>
    <w:rsid w:val="00D33293"/>
    <w:rsid w:val="00D353D1"/>
    <w:rsid w:val="00D35CA6"/>
    <w:rsid w:val="00D367DB"/>
    <w:rsid w:val="00D36E05"/>
    <w:rsid w:val="00D44D33"/>
    <w:rsid w:val="00D44F27"/>
    <w:rsid w:val="00D45304"/>
    <w:rsid w:val="00D45689"/>
    <w:rsid w:val="00D461C7"/>
    <w:rsid w:val="00D47FEC"/>
    <w:rsid w:val="00D50117"/>
    <w:rsid w:val="00D50424"/>
    <w:rsid w:val="00D520C3"/>
    <w:rsid w:val="00D57D3E"/>
    <w:rsid w:val="00D62744"/>
    <w:rsid w:val="00D67030"/>
    <w:rsid w:val="00D71974"/>
    <w:rsid w:val="00D7729C"/>
    <w:rsid w:val="00D83206"/>
    <w:rsid w:val="00D843F4"/>
    <w:rsid w:val="00D8554E"/>
    <w:rsid w:val="00D87CF8"/>
    <w:rsid w:val="00D91A84"/>
    <w:rsid w:val="00D9287F"/>
    <w:rsid w:val="00D94EBB"/>
    <w:rsid w:val="00D96EE0"/>
    <w:rsid w:val="00D97B23"/>
    <w:rsid w:val="00DA277C"/>
    <w:rsid w:val="00DB34FC"/>
    <w:rsid w:val="00DB48EB"/>
    <w:rsid w:val="00DB59A5"/>
    <w:rsid w:val="00DB60A6"/>
    <w:rsid w:val="00DC176D"/>
    <w:rsid w:val="00DC23CF"/>
    <w:rsid w:val="00DC6562"/>
    <w:rsid w:val="00DC718F"/>
    <w:rsid w:val="00DC7557"/>
    <w:rsid w:val="00DD5EC1"/>
    <w:rsid w:val="00DD6F4A"/>
    <w:rsid w:val="00DE130D"/>
    <w:rsid w:val="00DE24CF"/>
    <w:rsid w:val="00DE407C"/>
    <w:rsid w:val="00DE4A96"/>
    <w:rsid w:val="00DE7C7D"/>
    <w:rsid w:val="00DF2992"/>
    <w:rsid w:val="00DF2D0C"/>
    <w:rsid w:val="00DF3281"/>
    <w:rsid w:val="00DF36E3"/>
    <w:rsid w:val="00DF6AE3"/>
    <w:rsid w:val="00E01B9D"/>
    <w:rsid w:val="00E04F5E"/>
    <w:rsid w:val="00E0522E"/>
    <w:rsid w:val="00E06251"/>
    <w:rsid w:val="00E120F4"/>
    <w:rsid w:val="00E155F9"/>
    <w:rsid w:val="00E17172"/>
    <w:rsid w:val="00E177BC"/>
    <w:rsid w:val="00E206E8"/>
    <w:rsid w:val="00E21018"/>
    <w:rsid w:val="00E214FD"/>
    <w:rsid w:val="00E23276"/>
    <w:rsid w:val="00E3181C"/>
    <w:rsid w:val="00E3280A"/>
    <w:rsid w:val="00E372AF"/>
    <w:rsid w:val="00E37D68"/>
    <w:rsid w:val="00E40EAE"/>
    <w:rsid w:val="00E436AC"/>
    <w:rsid w:val="00E44403"/>
    <w:rsid w:val="00E44FF8"/>
    <w:rsid w:val="00E5066A"/>
    <w:rsid w:val="00E52CF9"/>
    <w:rsid w:val="00E60C8B"/>
    <w:rsid w:val="00E63F34"/>
    <w:rsid w:val="00E6715A"/>
    <w:rsid w:val="00E75DC9"/>
    <w:rsid w:val="00E76BCE"/>
    <w:rsid w:val="00E81610"/>
    <w:rsid w:val="00E84910"/>
    <w:rsid w:val="00E85B28"/>
    <w:rsid w:val="00E878C0"/>
    <w:rsid w:val="00E91976"/>
    <w:rsid w:val="00E947A6"/>
    <w:rsid w:val="00E95767"/>
    <w:rsid w:val="00E97FC7"/>
    <w:rsid w:val="00EA05A3"/>
    <w:rsid w:val="00EA0690"/>
    <w:rsid w:val="00EA3956"/>
    <w:rsid w:val="00EA5571"/>
    <w:rsid w:val="00EB4606"/>
    <w:rsid w:val="00EB7206"/>
    <w:rsid w:val="00EC02A5"/>
    <w:rsid w:val="00EC176B"/>
    <w:rsid w:val="00EC33CD"/>
    <w:rsid w:val="00EC5BE5"/>
    <w:rsid w:val="00EC7131"/>
    <w:rsid w:val="00ED1456"/>
    <w:rsid w:val="00ED1CCF"/>
    <w:rsid w:val="00ED2650"/>
    <w:rsid w:val="00ED27E1"/>
    <w:rsid w:val="00ED33AC"/>
    <w:rsid w:val="00ED4B82"/>
    <w:rsid w:val="00ED5ECE"/>
    <w:rsid w:val="00ED721A"/>
    <w:rsid w:val="00EE393D"/>
    <w:rsid w:val="00EE48D0"/>
    <w:rsid w:val="00EF01CF"/>
    <w:rsid w:val="00EF6A66"/>
    <w:rsid w:val="00EF7AF9"/>
    <w:rsid w:val="00F01495"/>
    <w:rsid w:val="00F01EE6"/>
    <w:rsid w:val="00F03790"/>
    <w:rsid w:val="00F10138"/>
    <w:rsid w:val="00F13642"/>
    <w:rsid w:val="00F13F92"/>
    <w:rsid w:val="00F14109"/>
    <w:rsid w:val="00F157A4"/>
    <w:rsid w:val="00F21C8C"/>
    <w:rsid w:val="00F22ECA"/>
    <w:rsid w:val="00F240E8"/>
    <w:rsid w:val="00F244FA"/>
    <w:rsid w:val="00F27AA9"/>
    <w:rsid w:val="00F306A0"/>
    <w:rsid w:val="00F3363A"/>
    <w:rsid w:val="00F34E26"/>
    <w:rsid w:val="00F35F64"/>
    <w:rsid w:val="00F366A2"/>
    <w:rsid w:val="00F40169"/>
    <w:rsid w:val="00F44F43"/>
    <w:rsid w:val="00F450E1"/>
    <w:rsid w:val="00F46BFB"/>
    <w:rsid w:val="00F50572"/>
    <w:rsid w:val="00F50DF4"/>
    <w:rsid w:val="00F57AFE"/>
    <w:rsid w:val="00F6278E"/>
    <w:rsid w:val="00F63C41"/>
    <w:rsid w:val="00F63E96"/>
    <w:rsid w:val="00F64DC9"/>
    <w:rsid w:val="00F701E3"/>
    <w:rsid w:val="00F713DC"/>
    <w:rsid w:val="00F71F8C"/>
    <w:rsid w:val="00F75016"/>
    <w:rsid w:val="00F80362"/>
    <w:rsid w:val="00F8143B"/>
    <w:rsid w:val="00F84107"/>
    <w:rsid w:val="00F86AD4"/>
    <w:rsid w:val="00F92EE4"/>
    <w:rsid w:val="00F943B5"/>
    <w:rsid w:val="00FA0113"/>
    <w:rsid w:val="00FA057F"/>
    <w:rsid w:val="00FA12B2"/>
    <w:rsid w:val="00FA1504"/>
    <w:rsid w:val="00FA5A11"/>
    <w:rsid w:val="00FA7293"/>
    <w:rsid w:val="00FA72FD"/>
    <w:rsid w:val="00FA7610"/>
    <w:rsid w:val="00FB02BD"/>
    <w:rsid w:val="00FB398F"/>
    <w:rsid w:val="00FB4EF8"/>
    <w:rsid w:val="00FB6692"/>
    <w:rsid w:val="00FB78DD"/>
    <w:rsid w:val="00FC0608"/>
    <w:rsid w:val="00FC125E"/>
    <w:rsid w:val="00FC3EF3"/>
    <w:rsid w:val="00FC411B"/>
    <w:rsid w:val="00FC54A2"/>
    <w:rsid w:val="00FC6FB5"/>
    <w:rsid w:val="00FD1EBC"/>
    <w:rsid w:val="00FD2049"/>
    <w:rsid w:val="00FD2140"/>
    <w:rsid w:val="00FD5BDE"/>
    <w:rsid w:val="00FD68EC"/>
    <w:rsid w:val="00FE0476"/>
    <w:rsid w:val="00FE2485"/>
    <w:rsid w:val="00FE24A5"/>
    <w:rsid w:val="00FE31E5"/>
    <w:rsid w:val="00FE5595"/>
    <w:rsid w:val="00FF0E26"/>
    <w:rsid w:val="00FF18EC"/>
    <w:rsid w:val="00FF19AD"/>
    <w:rsid w:val="00FF1EB5"/>
    <w:rsid w:val="00FF292D"/>
    <w:rsid w:val="00FF298D"/>
    <w:rsid w:val="00FF479E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360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3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MethodologicalDetails?m=225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Labour%20Market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s=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BCDF-ECB9-4756-9674-4CC12EC3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95</cp:revision>
  <cp:lastPrinted>2025-07-11T07:02:00Z</cp:lastPrinted>
  <dcterms:created xsi:type="dcterms:W3CDTF">2024-04-11T05:42:00Z</dcterms:created>
  <dcterms:modified xsi:type="dcterms:W3CDTF">2025-07-11T07:03:00Z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6a0089276822afbe2469eb51a4ed68f66802773fbadc9d2d25b246eaf6a6b241</vt:lpwstr>
  </property>
</Properties>
</file>