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36B67E4E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9B11FA" w:rsidRPr="003B471D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9B11FA">
        <w:rPr>
          <w:rFonts w:ascii="Verdana" w:hAnsi="Verdana" w:cs="Arial"/>
          <w:sz w:val="18"/>
          <w:szCs w:val="18"/>
          <w:lang w:val="el-GR"/>
        </w:rPr>
        <w:t>Νοεμβρίου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4D273D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0A140BAB" w:rsidR="00833DCE" w:rsidRPr="00BA13AB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>ΑΠΑΣΧΟΛΗΣΗ ΚΥΒΕΡΝΗΣΗΣ ΑΝΑ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9B11FA">
        <w:rPr>
          <w:rFonts w:ascii="Verdana" w:eastAsia="Malgun Gothic" w:hAnsi="Verdana" w:cs="Arial"/>
          <w:szCs w:val="22"/>
        </w:rPr>
        <w:t>ΟΚΤΩ</w:t>
      </w:r>
      <w:r w:rsidR="009D5A8F">
        <w:rPr>
          <w:rFonts w:ascii="Verdana" w:eastAsia="Malgun Gothic" w:hAnsi="Verdana" w:cs="Arial"/>
          <w:szCs w:val="22"/>
        </w:rPr>
        <w:t>ΒΡΙΟΣ</w:t>
      </w:r>
      <w:r w:rsidR="000F26EB">
        <w:rPr>
          <w:rFonts w:ascii="Verdana" w:eastAsia="Malgun Gothic" w:hAnsi="Verdana" w:cs="Arial"/>
          <w:szCs w:val="22"/>
        </w:rPr>
        <w:t xml:space="preserve"> </w:t>
      </w:r>
      <w:r>
        <w:rPr>
          <w:rFonts w:ascii="Verdana" w:eastAsia="Malgun Gothic" w:hAnsi="Verdana" w:cs="Arial"/>
          <w:szCs w:val="22"/>
        </w:rPr>
        <w:t>202</w:t>
      </w:r>
      <w:r w:rsidR="00A16142">
        <w:rPr>
          <w:rFonts w:ascii="Verdana" w:eastAsia="Malgun Gothic" w:hAnsi="Verdana" w:cs="Arial"/>
          <w:szCs w:val="22"/>
        </w:rPr>
        <w:t>5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79444F5B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E83799" w:rsidRPr="00E83799">
        <w:rPr>
          <w:rFonts w:ascii="Verdana" w:eastAsia="Malgun Gothic" w:hAnsi="Verdana" w:cs="Arial"/>
          <w:b/>
          <w:color w:val="000000" w:themeColor="text1"/>
          <w:lang w:val="el-GR"/>
        </w:rPr>
        <w:t>5</w:t>
      </w:r>
      <w:r w:rsidR="009B11FA">
        <w:rPr>
          <w:rFonts w:ascii="Verdana" w:eastAsia="Malgun Gothic" w:hAnsi="Verdana" w:cs="Arial"/>
          <w:b/>
          <w:color w:val="000000" w:themeColor="text1"/>
          <w:lang w:val="el-GR"/>
        </w:rPr>
        <w:t>4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9B11FA">
        <w:rPr>
          <w:rFonts w:ascii="Verdana" w:eastAsia="Malgun Gothic" w:hAnsi="Verdana" w:cs="Arial"/>
          <w:b/>
          <w:color w:val="000000" w:themeColor="text1"/>
          <w:lang w:val="el-GR"/>
        </w:rPr>
        <w:t>976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68AE6E59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03725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Οκτώβριο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976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μικρή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92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2024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3527CEDC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στους Εργοδοτούμενους Ορισμένου Χρόνου (ΕΟΧ) σε σύγκριση με τον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Οκτώ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βριο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2024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Ωρομίσθιο Προσωπικό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ργαζόμενους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ορίστου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ρόνου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(-7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0B1F8850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(-7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D5A8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1E920053" w14:textId="03A7D5C5" w:rsidR="00833DCE" w:rsidRPr="0054335B" w:rsidRDefault="0054335B" w:rsidP="002040AD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Για την περίοδο Ιανουαρίου –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Οκτωβρίου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E83495"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 μέσος όρος της συνολικής α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πασχόλησης στην Κυβέρνηση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αυξήθηκε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κατά 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DA6BB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bookmarkEnd w:id="0"/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7777777" w:rsidR="007F2051" w:rsidRDefault="007F2051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11AADA0D" w:rsidR="00080FFE" w:rsidRDefault="009B11FA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noProof/>
        </w:rPr>
        <w:drawing>
          <wp:inline distT="0" distB="0" distL="0" distR="0" wp14:anchorId="627BCFA8" wp14:editId="42DA3CF1">
            <wp:extent cx="6066000" cy="3708000"/>
            <wp:effectExtent l="0" t="0" r="11430" b="6985"/>
            <wp:docPr id="7035389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8D11DA1-7E1F-4BB2-89F7-47312A4C56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0484BF" w14:textId="77777777" w:rsidR="00080FFE" w:rsidRP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3B471D" w:rsidRPr="003B471D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3B471D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3B471D" w:rsidRPr="003B471D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3B471D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3B471D" w:rsidRPr="003B471D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3B471D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25A3F30E" w:rsidR="00580DD4" w:rsidRPr="003B471D" w:rsidRDefault="009B11FA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</w:t>
            </w:r>
          </w:p>
          <w:p w14:paraId="68E8EAC9" w14:textId="4E36B371" w:rsidR="00580DD4" w:rsidRPr="003B471D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2720C261" w:rsidR="00580DD4" w:rsidRPr="003B471D" w:rsidRDefault="009B11FA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</w:t>
            </w:r>
          </w:p>
          <w:p w14:paraId="52A9A089" w14:textId="5CA4A856" w:rsidR="00580DD4" w:rsidRPr="003B471D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613DEB6F" w:rsidR="00580DD4" w:rsidRPr="003B471D" w:rsidRDefault="009B11FA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</w:t>
            </w:r>
            <w:r w:rsidR="00580DD4"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7F012ACC" w14:textId="60FFA63A" w:rsidR="00580DD4" w:rsidRPr="003B471D" w:rsidRDefault="009B11FA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</w:t>
            </w:r>
            <w:r w:rsidR="00580DD4"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  <w:p w14:paraId="4AECE9B0" w14:textId="08CCD4D9" w:rsidR="00580DD4" w:rsidRPr="003B471D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302CF744" w:rsidR="00580DD4" w:rsidRPr="003B471D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9B11FA"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</w:t>
            </w: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2FE546C7" w14:textId="129C8BCD" w:rsidR="00580DD4" w:rsidRPr="003B471D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Οκτ</w:t>
            </w: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3B471D" w:rsidRPr="003B471D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4847D2FF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23.346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07D290F8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23.119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16BA8D1E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461573FE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</w:tr>
      <w:tr w:rsidR="003B471D" w:rsidRPr="003B471D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6907CA5C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12.045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57C7EF65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11.893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3C2C5F4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37C5A20D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</w:tr>
      <w:tr w:rsidR="003B471D" w:rsidRPr="003B471D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76604C36" w:rsidR="009B11FA" w:rsidRPr="003B471D" w:rsidRDefault="009B11FA" w:rsidP="009B11FA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4.199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4E1D31E2" w:rsidR="009B11FA" w:rsidRPr="003B471D" w:rsidRDefault="009B11FA" w:rsidP="009B11F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4.066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33206D85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-3,2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3966A68D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3B471D" w:rsidRPr="003B471D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5E09A517" w:rsidR="009B11FA" w:rsidRPr="003B471D" w:rsidRDefault="009B11FA" w:rsidP="009B11FA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1.219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6A6F1B8D" w:rsidR="009B11FA" w:rsidRPr="003B471D" w:rsidRDefault="009B11FA" w:rsidP="009B11F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1.357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3614B962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11,3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50EAADC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</w:tr>
      <w:tr w:rsidR="003B471D" w:rsidRPr="003B471D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403BE952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5.883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D00D743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5.803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2E8D9E93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-1,4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1D4A51E0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3B471D" w:rsidRPr="003B471D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30C97120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17.686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6083201B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18.172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27BEACE6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4E96324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3,8</w:t>
            </w:r>
          </w:p>
        </w:tc>
      </w:tr>
      <w:tr w:rsidR="003B471D" w:rsidRPr="003B471D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68FD55EA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12.396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7AC62C52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12.466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547A3EDE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29CD18CF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</w:tr>
      <w:tr w:rsidR="003B471D" w:rsidRPr="003B471D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38A0FD3C" w:rsidR="009B11FA" w:rsidRPr="003B471D" w:rsidRDefault="009B11FA" w:rsidP="009B11FA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996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44D79742" w:rsidR="009B11FA" w:rsidRPr="003B471D" w:rsidRDefault="009B11FA" w:rsidP="009B11F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1.192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1CC4E6C3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19,7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43E16325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-13,7</w:t>
            </w:r>
          </w:p>
        </w:tc>
      </w:tr>
      <w:tr w:rsidR="003B471D" w:rsidRPr="003B471D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313AD2C0" w:rsidR="009B11FA" w:rsidRPr="003B471D" w:rsidRDefault="009B11FA" w:rsidP="009B11FA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4.150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64946B63" w:rsidR="009B11FA" w:rsidRPr="003B471D" w:rsidRDefault="009B11FA" w:rsidP="009B11F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4.367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B89FF8D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63EC55FB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</w:tr>
      <w:tr w:rsidR="003B471D" w:rsidRPr="003B471D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711A223D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144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2EE94C77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58B7FDAC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76EBF221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-4,4</w:t>
            </w:r>
          </w:p>
        </w:tc>
      </w:tr>
      <w:tr w:rsidR="003B471D" w:rsidRPr="003B471D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4946E569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13.852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6C5C6F81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13.685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384AE2BD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2FFD45C4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3B471D" w:rsidRPr="003B471D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614F3B68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8.328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1BD63BF9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8.466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62AFF947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210F366D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</w:tr>
      <w:tr w:rsidR="003B471D" w:rsidRPr="003B471D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75CFC71E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4.479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6800BD04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4.391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3FCF5DE8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2330AC14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-6,3</w:t>
            </w:r>
          </w:p>
        </w:tc>
      </w:tr>
      <w:tr w:rsidR="003B471D" w:rsidRPr="003B471D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27D93C03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294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533B2165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83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2D476979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-71,8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2BF45BE5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-26,4</w:t>
            </w:r>
          </w:p>
        </w:tc>
      </w:tr>
      <w:tr w:rsidR="003B471D" w:rsidRPr="003B471D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3EDC0148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751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7A165815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745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475E5BF4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69441328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3B471D" w:rsidRPr="003B471D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58953FEB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54.884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5BD6AC62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54.976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536C0673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26DC1128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0,7</w:t>
            </w:r>
          </w:p>
        </w:tc>
      </w:tr>
      <w:tr w:rsidR="003B471D" w:rsidRPr="003B471D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785C41F1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32.769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610ED79E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32.825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66CFE564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271484BA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</w:tr>
      <w:tr w:rsidR="003B471D" w:rsidRPr="003B471D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79504717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9.674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5F57BEA9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9.649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4F672672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3E8F82E4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-5,7</w:t>
            </w:r>
          </w:p>
        </w:tc>
      </w:tr>
      <w:tr w:rsidR="003B471D" w:rsidRPr="003B471D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0BEB4702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5.663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6832162F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5.807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044F053F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302577DB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</w:tr>
      <w:tr w:rsidR="003B471D" w:rsidRPr="003B471D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9B11FA" w:rsidRPr="003B471D" w:rsidRDefault="009B11FA" w:rsidP="009B11F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9B11FA" w:rsidRPr="003B471D" w:rsidRDefault="009B11FA" w:rsidP="009B11F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B47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1E3F5E38" w:rsidR="009B11FA" w:rsidRPr="003B471D" w:rsidRDefault="009B11FA" w:rsidP="009B11FA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6.778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3DFECC1B" w:rsidR="009B11FA" w:rsidRPr="003B471D" w:rsidRDefault="009B11FA" w:rsidP="009B11F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6.695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7CA35F0A" w:rsidR="009B11FA" w:rsidRPr="003B471D" w:rsidRDefault="009B11FA" w:rsidP="009B11FA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714ED681" w:rsidR="009B11FA" w:rsidRPr="003B471D" w:rsidRDefault="009B11FA" w:rsidP="009B11FA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B471D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18263F45" w14:textId="77777777" w:rsidR="003B471D" w:rsidRPr="003B471D" w:rsidRDefault="003B471D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45DEA810" w14:textId="77777777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4953AD8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77777777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Ηλ.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5450" w14:textId="77777777" w:rsidR="006C1F9E" w:rsidRDefault="006C1F9E" w:rsidP="00FB398F">
      <w:r>
        <w:separator/>
      </w:r>
    </w:p>
  </w:endnote>
  <w:endnote w:type="continuationSeparator" w:id="0">
    <w:p w14:paraId="00DE0F2D" w14:textId="77777777" w:rsidR="006C1F9E" w:rsidRDefault="006C1F9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7B64" w14:textId="77777777" w:rsidR="006C1F9E" w:rsidRDefault="006C1F9E" w:rsidP="00FB398F">
      <w:r>
        <w:separator/>
      </w:r>
    </w:p>
  </w:footnote>
  <w:footnote w:type="continuationSeparator" w:id="0">
    <w:p w14:paraId="158B3A1E" w14:textId="77777777" w:rsidR="006C1F9E" w:rsidRDefault="006C1F9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471D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849EB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1F9E"/>
    <w:rsid w:val="006C282C"/>
    <w:rsid w:val="006C452D"/>
    <w:rsid w:val="006C7AF3"/>
    <w:rsid w:val="006D0B9D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2C1F"/>
    <w:rsid w:val="009303EA"/>
    <w:rsid w:val="00930754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4EE6"/>
    <w:rsid w:val="009575A3"/>
    <w:rsid w:val="00960C19"/>
    <w:rsid w:val="00960E98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ofstatfsrv1\Labour%20Market\GLF\GOVERNMENT%20LABOUR%20FORCE\2025\10.2025\Monthly_GLF_Graphs_M1025-1111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r>
              <a:rPr lang="el-GR" sz="1100" b="1" i="0" u="none" strike="noStrike" kern="1200" spc="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Απασχόληση Κυβέρνησης ανά Κατηγορία - Οκτώβριος</a:t>
            </a:r>
            <a:r>
              <a:rPr lang="en-US" sz="1100" b="1" i="0" u="none" strike="noStrike" kern="1200" spc="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  <a:r>
              <a:rPr lang="el-GR" sz="1100" b="1" i="0" u="none" strike="noStrike" kern="1200" spc="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2025</a:t>
            </a:r>
            <a:endParaRPr lang="en-US" sz="1100" b="1" i="0" u="none" strike="noStrike" kern="1200" spc="0" baseline="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layout>
        <c:manualLayout>
          <c:xMode val="edge"/>
          <c:yMode val="edge"/>
          <c:x val="0.13586712825585229"/>
          <c:y val="1.3620550161812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857018408941487"/>
          <c:y val="0.10740147161147355"/>
          <c:w val="0.86681771860618018"/>
          <c:h val="0.69445738942826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'EL-EN (2)'!$D$8</c:f>
              <c:strCache>
                <c:ptCount val="1"/>
                <c:pt idx="0">
                  <c:v>Μόνιμοι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('EL-EN (2)'!$C$4,'EL-EN (2)'!$C$8,'EL-EN (2)'!$C$12,'EL-EN (2)'!$C$16)</c:f>
              <c:strCache>
                <c:ptCount val="4"/>
                <c:pt idx="0">
                  <c:v>ΣΥΝΟΛΟ</c:v>
                </c:pt>
                <c:pt idx="1">
                  <c:v>Δημόσια Υπηρεσία</c:v>
                </c:pt>
                <c:pt idx="2">
                  <c:v>Εκπαιδευτική Υπηρεσία</c:v>
                </c:pt>
                <c:pt idx="3">
                  <c:v>Δυνάμεις Ασφαλείας</c:v>
                </c:pt>
              </c:strCache>
            </c:strRef>
          </c:cat>
          <c:val>
            <c:numRef>
              <c:f>('EL-EN (2)'!$Z$4,'EL-EN (2)'!$Z$8,'EL-EN (2)'!$Z$12,'EL-EN (2)'!$Z$16)</c:f>
              <c:numCache>
                <c:formatCode>#,##0</c:formatCode>
                <c:ptCount val="4"/>
                <c:pt idx="0">
                  <c:v>32825</c:v>
                </c:pt>
                <c:pt idx="1">
                  <c:v>11893</c:v>
                </c:pt>
                <c:pt idx="2">
                  <c:v>12466</c:v>
                </c:pt>
                <c:pt idx="3">
                  <c:v>8466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B-4C8D-A64A-FB7EB2DBEA94}"/>
            </c:ext>
          </c:extLst>
        </c:ser>
        <c:ser>
          <c:idx val="1"/>
          <c:order val="1"/>
          <c:tx>
            <c:strRef>
              <c:f>'EL-EN (2)'!$D$5</c:f>
              <c:strCache>
                <c:ptCount val="1"/>
                <c:pt idx="0">
                  <c:v>Εργοδοτούμενοι
Αορίστου Χρόνου (ΕΑΧ)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('EL-EN (2)'!$C$4,'EL-EN (2)'!$C$8,'EL-EN (2)'!$C$12,'EL-EN (2)'!$C$16)</c:f>
              <c:strCache>
                <c:ptCount val="4"/>
                <c:pt idx="0">
                  <c:v>ΣΥΝΟΛΟ</c:v>
                </c:pt>
                <c:pt idx="1">
                  <c:v>Δημόσια Υπηρεσία</c:v>
                </c:pt>
                <c:pt idx="2">
                  <c:v>Εκπαιδευτική Υπηρεσία</c:v>
                </c:pt>
                <c:pt idx="3">
                  <c:v>Δυνάμεις Ασφαλείας</c:v>
                </c:pt>
              </c:strCache>
            </c:strRef>
          </c:cat>
          <c:val>
            <c:numRef>
              <c:f>('EL-EN (2)'!$Z$5,'EL-EN (2)'!$Z$9,'EL-EN (2)'!$Z$13,'EL-EN (2)'!$Z$17)</c:f>
              <c:numCache>
                <c:formatCode>#,##0</c:formatCode>
                <c:ptCount val="4"/>
                <c:pt idx="0">
                  <c:v>9649</c:v>
                </c:pt>
                <c:pt idx="1">
                  <c:v>4066</c:v>
                </c:pt>
                <c:pt idx="2">
                  <c:v>1192</c:v>
                </c:pt>
                <c:pt idx="3">
                  <c:v>4391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FB-4C8D-A64A-FB7EB2DBEA94}"/>
            </c:ext>
          </c:extLst>
        </c:ser>
        <c:ser>
          <c:idx val="2"/>
          <c:order val="2"/>
          <c:tx>
            <c:strRef>
              <c:f>'EL-EN (2)'!$D$6</c:f>
              <c:strCache>
                <c:ptCount val="1"/>
                <c:pt idx="0">
                  <c:v>Εργοδοτούμενοι
Ορισμένου Χρόνου (ΕΟΧ)
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('EL-EN (2)'!$C$4,'EL-EN (2)'!$C$8,'EL-EN (2)'!$C$12,'EL-EN (2)'!$C$16)</c:f>
              <c:strCache>
                <c:ptCount val="4"/>
                <c:pt idx="0">
                  <c:v>ΣΥΝΟΛΟ</c:v>
                </c:pt>
                <c:pt idx="1">
                  <c:v>Δημόσια Υπηρεσία</c:v>
                </c:pt>
                <c:pt idx="2">
                  <c:v>Εκπαιδευτική Υπηρεσία</c:v>
                </c:pt>
                <c:pt idx="3">
                  <c:v>Δυνάμεις Ασφαλείας</c:v>
                </c:pt>
              </c:strCache>
            </c:strRef>
          </c:cat>
          <c:val>
            <c:numRef>
              <c:f>('EL-EN (2)'!$Z$6,'EL-EN (2)'!$Z$10,'EL-EN (2)'!$Z$14,'EL-EN (2)'!$Z$18)</c:f>
              <c:numCache>
                <c:formatCode>#,##0</c:formatCode>
                <c:ptCount val="4"/>
                <c:pt idx="0">
                  <c:v>5807</c:v>
                </c:pt>
                <c:pt idx="1">
                  <c:v>1357</c:v>
                </c:pt>
                <c:pt idx="2">
                  <c:v>4367</c:v>
                </c:pt>
                <c:pt idx="3" formatCode="General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FB-4C8D-A64A-FB7EB2DBEA94}"/>
            </c:ext>
          </c:extLst>
        </c:ser>
        <c:ser>
          <c:idx val="3"/>
          <c:order val="3"/>
          <c:tx>
            <c:strRef>
              <c:f>'EL-EN (2)'!$D$7</c:f>
              <c:strCache>
                <c:ptCount val="1"/>
                <c:pt idx="0">
                  <c:v>Ωρομίσθιοι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('EL-EN (2)'!$C$4,'EL-EN (2)'!$C$8,'EL-EN (2)'!$C$12,'EL-EN (2)'!$C$16)</c:f>
              <c:strCache>
                <c:ptCount val="4"/>
                <c:pt idx="0">
                  <c:v>ΣΥΝΟΛΟ</c:v>
                </c:pt>
                <c:pt idx="1">
                  <c:v>Δημόσια Υπηρεσία</c:v>
                </c:pt>
                <c:pt idx="2">
                  <c:v>Εκπαιδευτική Υπηρεσία</c:v>
                </c:pt>
                <c:pt idx="3">
                  <c:v>Δυνάμεις Ασφαλείας</c:v>
                </c:pt>
              </c:strCache>
            </c:strRef>
          </c:cat>
          <c:val>
            <c:numRef>
              <c:f>('EL-EN (2)'!$Z$7,'EL-EN (2)'!$Z$11,'EL-EN (2)'!$Z$15,'EL-EN (2)'!$Z$19)</c:f>
              <c:numCache>
                <c:formatCode>#,##0</c:formatCode>
                <c:ptCount val="4"/>
                <c:pt idx="0">
                  <c:v>6695</c:v>
                </c:pt>
                <c:pt idx="1">
                  <c:v>5803</c:v>
                </c:pt>
                <c:pt idx="2" formatCode="General">
                  <c:v>147</c:v>
                </c:pt>
                <c:pt idx="3" formatCode="0">
                  <c:v>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FB-4C8D-A64A-FB7EB2DBE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4"/>
        <c:overlap val="-17"/>
        <c:axId val="2119489200"/>
        <c:axId val="2116015744"/>
      </c:barChart>
      <c:catAx>
        <c:axId val="211948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CY"/>
          </a:p>
        </c:txPr>
        <c:crossAx val="2116015744"/>
        <c:crosses val="autoZero"/>
        <c:auto val="1"/>
        <c:lblAlgn val="ctr"/>
        <c:lblOffset val="100"/>
        <c:noMultiLvlLbl val="0"/>
      </c:catAx>
      <c:valAx>
        <c:axId val="211601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r>
                  <a:rPr lang="el-GR" sz="900" b="1">
                    <a:solidFill>
                      <a:schemeClr val="tx1"/>
                    </a:solidFill>
                  </a:rPr>
                  <a:t>Άτομα</a:t>
                </a:r>
                <a:endParaRPr lang="en-US" sz="9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8.3497698882314259E-3"/>
              <c:y val="3.641003483395474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CY"/>
          </a:p>
        </c:txPr>
        <c:crossAx val="211948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781886916502301E-2"/>
          <c:y val="0.89487044806753879"/>
          <c:w val="0.87043606180144639"/>
          <c:h val="9.8609513792535658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CY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558ED5">
          <a:alpha val="50196"/>
        </a:srgbClr>
      </a:solidFill>
      <a:round/>
    </a:ln>
    <a:effectLst/>
  </c:spPr>
  <c:txPr>
    <a:bodyPr/>
    <a:lstStyle/>
    <a:p>
      <a:pPr>
        <a:defRPr>
          <a:latin typeface="Verdana" panose="020B0604030504040204" pitchFamily="34" charset="0"/>
          <a:ea typeface="Verdana" panose="020B0604030504040204" pitchFamily="34" charset="0"/>
        </a:defRPr>
      </a:pPr>
      <a:endParaRPr lang="en-C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13</cp:revision>
  <cp:lastPrinted>2025-11-07T10:20:00Z</cp:lastPrinted>
  <dcterms:created xsi:type="dcterms:W3CDTF">2025-09-10T06:15:00Z</dcterms:created>
  <dcterms:modified xsi:type="dcterms:W3CDTF">2025-11-11T08:06:00Z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