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054F4F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0EEDB81D" w14:textId="1D9621B0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766260" w:rsidRPr="00CB100D">
        <w:rPr>
          <w:rFonts w:ascii="Verdana" w:hAnsi="Verdana" w:cs="Arial"/>
          <w:sz w:val="18"/>
          <w:szCs w:val="18"/>
        </w:rPr>
        <w:t>1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November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321717">
        <w:rPr>
          <w:rFonts w:ascii="Verdana" w:eastAsia="Malgun Gothic" w:hAnsi="Verdana" w:cs="Arial"/>
          <w:sz w:val="18"/>
          <w:szCs w:val="18"/>
        </w:rPr>
        <w:t>5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30F07120" w:rsidR="00766260" w:rsidRPr="00407A77" w:rsidRDefault="00766260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GOVERNMENT 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EMPLOYMENT </w:t>
      </w:r>
      <w:r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8D3922">
        <w:rPr>
          <w:rFonts w:ascii="Verdana" w:eastAsia="Malgun Gothic" w:hAnsi="Verdana" w:cs="Arial"/>
          <w:szCs w:val="22"/>
          <w:lang w:val="en-US"/>
        </w:rPr>
        <w:t>OCTO</w:t>
      </w:r>
      <w:r w:rsidR="005C6DEA">
        <w:rPr>
          <w:rFonts w:ascii="Verdana" w:eastAsia="Malgun Gothic" w:hAnsi="Verdana" w:cs="Arial"/>
          <w:szCs w:val="22"/>
          <w:lang w:val="en-US"/>
        </w:rPr>
        <w:t>BER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>
        <w:rPr>
          <w:rFonts w:ascii="Verdana" w:eastAsia="Malgun Gothic" w:hAnsi="Verdana" w:cs="Arial"/>
          <w:szCs w:val="22"/>
          <w:lang w:val="en-US"/>
        </w:rPr>
        <w:t>202</w:t>
      </w:r>
      <w:r w:rsidR="00C63961">
        <w:rPr>
          <w:rFonts w:ascii="Verdana" w:eastAsia="Malgun Gothic" w:hAnsi="Verdana" w:cs="Arial"/>
          <w:szCs w:val="22"/>
          <w:lang w:val="en-US"/>
        </w:rPr>
        <w:t>5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10F4C5E4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8D3922">
        <w:rPr>
          <w:rFonts w:ascii="Verdana" w:eastAsia="Malgun Gothic" w:hAnsi="Verdana" w:cs="Arial"/>
          <w:b/>
        </w:rPr>
        <w:t>4</w:t>
      </w:r>
      <w:r w:rsidR="009465D2">
        <w:rPr>
          <w:rFonts w:ascii="Verdana" w:eastAsia="Malgun Gothic" w:hAnsi="Verdana" w:cs="Arial"/>
          <w:b/>
        </w:rPr>
        <w:t>.</w:t>
      </w:r>
      <w:r w:rsidR="008D3922">
        <w:rPr>
          <w:rFonts w:ascii="Verdana" w:eastAsia="Malgun Gothic" w:hAnsi="Verdana" w:cs="Arial"/>
          <w:b/>
        </w:rPr>
        <w:t>976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212E6C3E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E53386">
        <w:rPr>
          <w:rFonts w:ascii="Verdana" w:hAnsi="Verdana" w:cs="Arial"/>
          <w:sz w:val="18"/>
          <w:szCs w:val="18"/>
        </w:rPr>
        <w:t>Octob</w:t>
      </w:r>
      <w:r w:rsidR="005C6DEA">
        <w:rPr>
          <w:rFonts w:ascii="Verdana" w:hAnsi="Verdana" w:cs="Arial"/>
          <w:sz w:val="18"/>
          <w:szCs w:val="18"/>
        </w:rPr>
        <w:t>er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C718F">
        <w:rPr>
          <w:rFonts w:ascii="Verdana" w:hAnsi="Verdana" w:cs="Arial"/>
          <w:sz w:val="18"/>
          <w:szCs w:val="18"/>
        </w:rPr>
        <w:t>5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total government employment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8D3922">
        <w:rPr>
          <w:rFonts w:ascii="Verdana" w:hAnsi="Verdana" w:cs="Arial"/>
          <w:sz w:val="18"/>
          <w:szCs w:val="18"/>
        </w:rPr>
        <w:t>4</w:t>
      </w:r>
      <w:r w:rsidR="005C6DEA">
        <w:rPr>
          <w:rFonts w:ascii="Verdana" w:hAnsi="Verdana" w:cs="Arial"/>
          <w:sz w:val="18"/>
          <w:szCs w:val="18"/>
        </w:rPr>
        <w:t>.</w:t>
      </w:r>
      <w:r w:rsidR="008D3922">
        <w:rPr>
          <w:rFonts w:ascii="Verdana" w:hAnsi="Verdana" w:cs="Arial"/>
          <w:sz w:val="18"/>
          <w:szCs w:val="18"/>
        </w:rPr>
        <w:t>976</w:t>
      </w:r>
      <w:r w:rsidR="00DF5DB6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persons,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5F6ADA">
        <w:rPr>
          <w:rFonts w:ascii="Verdana" w:hAnsi="Verdana" w:cs="Arial"/>
          <w:sz w:val="18"/>
          <w:szCs w:val="18"/>
        </w:rPr>
        <w:t xml:space="preserve"> slight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DC718F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92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8D3922">
        <w:rPr>
          <w:rFonts w:ascii="Verdana" w:hAnsi="Verdana" w:cs="Arial"/>
          <w:sz w:val="18"/>
          <w:szCs w:val="18"/>
        </w:rPr>
        <w:t>2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8D3922">
        <w:rPr>
          <w:rFonts w:ascii="Verdana" w:hAnsi="Verdana" w:cs="Arial"/>
          <w:sz w:val="18"/>
          <w:szCs w:val="18"/>
        </w:rPr>
        <w:t>Octo</w:t>
      </w:r>
      <w:r w:rsidR="005C6DEA">
        <w:rPr>
          <w:rFonts w:ascii="Verdana" w:hAnsi="Verdana" w:cs="Arial"/>
          <w:sz w:val="18"/>
          <w:szCs w:val="18"/>
        </w:rPr>
        <w:t>ber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C718F">
        <w:rPr>
          <w:rFonts w:ascii="Verdana" w:hAnsi="Verdana" w:cs="Arial"/>
          <w:sz w:val="18"/>
          <w:szCs w:val="18"/>
        </w:rPr>
        <w:t>4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and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42557">
        <w:rPr>
          <w:rFonts w:ascii="Verdana" w:hAnsi="Verdana" w:cs="Arial"/>
          <w:sz w:val="18"/>
          <w:szCs w:val="18"/>
        </w:rPr>
        <w:t xml:space="preserve">in the Security Forces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5C6DEA">
        <w:rPr>
          <w:rFonts w:ascii="Verdana" w:hAnsi="Verdana" w:cs="Arial"/>
          <w:sz w:val="18"/>
          <w:szCs w:val="18"/>
        </w:rPr>
        <w:t>1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5C6DEA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and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287C5F" w:rsidRPr="00F8538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respectively, </w:t>
      </w:r>
      <w:r w:rsidR="00F85386">
        <w:rPr>
          <w:rFonts w:ascii="Verdana" w:hAnsi="Verdana" w:cs="Arial"/>
          <w:sz w:val="18"/>
          <w:szCs w:val="18"/>
        </w:rPr>
        <w:t>while employment</w:t>
      </w:r>
      <w:r w:rsidR="00DA277C">
        <w:rPr>
          <w:rFonts w:ascii="Verdana" w:hAnsi="Verdana" w:cs="Arial"/>
          <w:sz w:val="18"/>
          <w:szCs w:val="18"/>
        </w:rPr>
        <w:t xml:space="preserve">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increased </w:t>
      </w:r>
      <w:r w:rsidR="004255D3">
        <w:rPr>
          <w:rFonts w:ascii="Verdana" w:hAnsi="Verdana" w:cs="Arial"/>
          <w:sz w:val="18"/>
          <w:szCs w:val="18"/>
        </w:rPr>
        <w:t xml:space="preserve">by </w:t>
      </w:r>
      <w:r w:rsidR="008D3922">
        <w:rPr>
          <w:rFonts w:ascii="Verdana" w:hAnsi="Verdana" w:cs="Arial"/>
          <w:sz w:val="18"/>
          <w:szCs w:val="18"/>
        </w:rPr>
        <w:t>2</w:t>
      </w:r>
      <w:r w:rsidR="004255D3">
        <w:rPr>
          <w:rFonts w:ascii="Verdana" w:hAnsi="Verdana" w:cs="Arial"/>
          <w:sz w:val="18"/>
          <w:szCs w:val="18"/>
        </w:rPr>
        <w:t>,</w:t>
      </w:r>
      <w:r w:rsidR="008D3922">
        <w:rPr>
          <w:rFonts w:ascii="Verdana" w:hAnsi="Verdana" w:cs="Arial"/>
          <w:sz w:val="18"/>
          <w:szCs w:val="18"/>
        </w:rPr>
        <w:t>7</w:t>
      </w:r>
      <w:r w:rsidR="004255D3">
        <w:rPr>
          <w:rFonts w:ascii="Verdana" w:hAnsi="Verdana" w:cs="Arial"/>
          <w:sz w:val="18"/>
          <w:szCs w:val="18"/>
        </w:rPr>
        <w:t>%</w:t>
      </w:r>
      <w:r w:rsidR="00D42557">
        <w:rPr>
          <w:rFonts w:ascii="Verdana" w:hAnsi="Verdana" w:cs="Arial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42CCCD2D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Octo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ber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2024,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government employment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employees with contracts of definite duration (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largest decrease is observed in the category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hourly paid workers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(-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(-7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7366AA6B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(-7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4782A3B6" w14:textId="3C7101F4" w:rsidR="00766260" w:rsidRPr="00AA240E" w:rsidRDefault="00890EC2" w:rsidP="000D0FC2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 w:rsidR="00E3127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Octo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ber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FC54A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average total government employment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increase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 by</w:t>
      </w:r>
      <w:r w:rsidR="00DA277C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0,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249FA471" w:rsidR="004255D3" w:rsidRDefault="008D3922" w:rsidP="00082259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40FD24A3" wp14:editId="5BCF72F4">
            <wp:extent cx="6059805" cy="3724910"/>
            <wp:effectExtent l="0" t="0" r="0" b="8890"/>
            <wp:docPr id="17717647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082259" w:rsidRPr="00082259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082259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082259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082259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082259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082259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082259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082259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082259" w:rsidRPr="00082259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082259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082259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082259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082259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082259" w:rsidRPr="00082259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082259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5B5E58EC" w:rsidR="00BA688A" w:rsidRPr="00082259" w:rsidRDefault="008D3922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</w:t>
            </w:r>
          </w:p>
          <w:p w14:paraId="09802DF1" w14:textId="1CB71B52" w:rsidR="00BA688A" w:rsidRPr="00082259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7720BF31" w:rsidR="00BA688A" w:rsidRPr="00082259" w:rsidRDefault="008D3922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</w:t>
            </w:r>
          </w:p>
          <w:p w14:paraId="156F3EEF" w14:textId="083E2073" w:rsidR="00BA688A" w:rsidRPr="00082259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082259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055FA458" w:rsidR="00BA688A" w:rsidRPr="00082259" w:rsidRDefault="008D3922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BA688A"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</w:t>
            </w: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BA688A"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65B7A104" w:rsidR="00BA688A" w:rsidRPr="00082259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8D3922"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Jan-</w:t>
            </w:r>
            <w:r w:rsidR="008D3922"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</w:tr>
      <w:tr w:rsidR="00082259" w:rsidRPr="00082259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7C7D5B09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23.346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400CDCF1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23.119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768FDC3C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2243E008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-0,4</w:t>
            </w:r>
          </w:p>
        </w:tc>
      </w:tr>
      <w:tr w:rsidR="00082259" w:rsidRPr="00082259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2EEBAFCB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12.045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4ABB2DCE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11.893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27C2580E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-1,3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7D08F218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</w:tr>
      <w:tr w:rsidR="00082259" w:rsidRPr="00082259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6ADAC53D" w:rsidR="008D3922" w:rsidRPr="00082259" w:rsidRDefault="008D3922" w:rsidP="008D3922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4.199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1B0D7813" w:rsidR="008D3922" w:rsidRPr="00082259" w:rsidRDefault="008D3922" w:rsidP="008D3922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4.066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3838AEEF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-3,2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008E7365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</w:tr>
      <w:tr w:rsidR="00082259" w:rsidRPr="00082259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7966245C" w:rsidR="008D3922" w:rsidRPr="00082259" w:rsidRDefault="008D3922" w:rsidP="008D3922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1.219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0176AC28" w:rsidR="008D3922" w:rsidRPr="00082259" w:rsidRDefault="008D3922" w:rsidP="008D3922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1.357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7EC18022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11,3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02CC04AA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</w:tr>
      <w:tr w:rsidR="00082259" w:rsidRPr="00082259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4B95951E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5.883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78A53A8D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5.803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6DB74423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-1,4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4FC76509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  <w:tr w:rsidR="00082259" w:rsidRPr="00082259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7FA2D49F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17.686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0812F28D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18.172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42910DD0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10C4620D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3,8</w:t>
            </w:r>
          </w:p>
        </w:tc>
      </w:tr>
      <w:tr w:rsidR="00082259" w:rsidRPr="00082259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5CCFD212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12.396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3A62F18A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12.466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5F6DA385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4F650FB6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4,0</w:t>
            </w:r>
          </w:p>
        </w:tc>
      </w:tr>
      <w:tr w:rsidR="00082259" w:rsidRPr="00082259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22400F0E" w:rsidR="008D3922" w:rsidRPr="00082259" w:rsidRDefault="008D3922" w:rsidP="008D3922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996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047699FA" w:rsidR="008D3922" w:rsidRPr="00082259" w:rsidRDefault="008D3922" w:rsidP="008D3922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1.192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114BECDC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19,7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78D37B61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-13,7</w:t>
            </w:r>
          </w:p>
        </w:tc>
      </w:tr>
      <w:tr w:rsidR="00082259" w:rsidRPr="00082259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27A1B133" w:rsidR="008D3922" w:rsidRPr="00082259" w:rsidRDefault="008D3922" w:rsidP="008D3922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4.150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04F0B438" w:rsidR="008D3922" w:rsidRPr="00082259" w:rsidRDefault="008D3922" w:rsidP="008D3922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4.367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4BD400E3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003BE8D8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9,0</w:t>
            </w:r>
          </w:p>
        </w:tc>
      </w:tr>
      <w:tr w:rsidR="00082259" w:rsidRPr="00082259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735DB8C2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144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45BE1487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2CFA03FE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2C2536E4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-4,4</w:t>
            </w:r>
          </w:p>
        </w:tc>
      </w:tr>
      <w:tr w:rsidR="00082259" w:rsidRPr="00082259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</w:p>
          <w:p w14:paraId="59006D2C" w14:textId="0F1B25E3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62B6A190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13.852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0CF291C0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13.685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5E72F3A0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41F9827D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-1,3</w:t>
            </w:r>
          </w:p>
        </w:tc>
      </w:tr>
      <w:tr w:rsidR="00082259" w:rsidRPr="00082259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10EAC1BE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8.328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3073A241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8.466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2504A222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6FD73E1D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</w:tr>
      <w:tr w:rsidR="00082259" w:rsidRPr="00082259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140A41DA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4.479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02BF913F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4.391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7E8547D1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-2,0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4386EB63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-6,3</w:t>
            </w:r>
          </w:p>
        </w:tc>
      </w:tr>
      <w:tr w:rsidR="00082259" w:rsidRPr="00082259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03101626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294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5FE4FCDA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83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069BDB43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-71,8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767CB743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-26,4</w:t>
            </w:r>
          </w:p>
        </w:tc>
      </w:tr>
      <w:tr w:rsidR="00082259" w:rsidRPr="00082259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19F1AF05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751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4F5516A3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745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7FFAAEB9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63788E8B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</w:tr>
      <w:tr w:rsidR="00082259" w:rsidRPr="00082259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8D3922" w:rsidRPr="00082259" w:rsidRDefault="008D3922" w:rsidP="008D392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0649AF16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54.884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397C38BF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54.976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0647DF25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06C1F2C7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0,7</w:t>
            </w:r>
          </w:p>
        </w:tc>
      </w:tr>
      <w:tr w:rsidR="00082259" w:rsidRPr="00082259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3EE5C7CC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32.769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6AFF5C04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32.825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5531CB67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42E880A0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</w:tr>
      <w:tr w:rsidR="00082259" w:rsidRPr="00082259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1F88A32E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9.674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1B02035C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9.649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1AD7A019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09231F35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-5,7</w:t>
            </w:r>
          </w:p>
        </w:tc>
      </w:tr>
      <w:tr w:rsidR="00082259" w:rsidRPr="00082259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526034F0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5.663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3C96E9E0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5.807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3C0C92E7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5FFD60B4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</w:tr>
      <w:tr w:rsidR="00082259" w:rsidRPr="00082259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8D3922" w:rsidRPr="00082259" w:rsidRDefault="008D3922" w:rsidP="008D392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8D3922" w:rsidRPr="00082259" w:rsidRDefault="008D3922" w:rsidP="008D3922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8225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33D9EE32" w:rsidR="008D3922" w:rsidRPr="00082259" w:rsidRDefault="008D3922" w:rsidP="008D392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6.778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205ED00D" w:rsidR="008D3922" w:rsidRPr="00082259" w:rsidRDefault="008D3922" w:rsidP="008D392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6.695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8D3922" w:rsidRPr="00082259" w:rsidRDefault="008D3922" w:rsidP="008D3922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70D4E2E9" w:rsidR="008D3922" w:rsidRPr="00082259" w:rsidRDefault="008D3922" w:rsidP="008D3922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787EC882" w:rsidR="008D3922" w:rsidRPr="00082259" w:rsidRDefault="008D3922" w:rsidP="008D3922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82259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300D2483" w14:textId="77777777" w:rsidR="00A9717C" w:rsidRPr="00A9717C" w:rsidRDefault="00A9717C" w:rsidP="00A9717C">
      <w:pPr>
        <w:rPr>
          <w:rFonts w:ascii="Verdana" w:hAnsi="Verdana" w:cs="Arial"/>
          <w:sz w:val="18"/>
          <w:szCs w:val="18"/>
        </w:rPr>
      </w:pPr>
    </w:p>
    <w:p w14:paraId="315069B3" w14:textId="0EF28B73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32F4E8C8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 xml:space="preserve">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8E302A">
        <w:rPr>
          <w:rFonts w:ascii="Verdana" w:eastAsia="Malgun Gothic" w:hAnsi="Verdana" w:cs="Arial"/>
          <w:sz w:val="18"/>
          <w:szCs w:val="18"/>
        </w:rPr>
        <w:t xml:space="preserve">includes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>
        <w:rPr>
          <w:rFonts w:ascii="Verdana" w:eastAsia="Malgun Gothic" w:hAnsi="Verdana" w:cs="Arial"/>
          <w:sz w:val="18"/>
          <w:szCs w:val="18"/>
        </w:rPr>
        <w:t xml:space="preserve">of </w:t>
      </w:r>
      <w:r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>
        <w:rPr>
          <w:rFonts w:ascii="Verdana" w:eastAsia="Malgun Gothic" w:hAnsi="Verdana" w:cs="Arial"/>
          <w:sz w:val="18"/>
          <w:szCs w:val="18"/>
        </w:rPr>
        <w:t xml:space="preserve"> Cyprus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  <w:r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>
        <w:rPr>
          <w:rFonts w:ascii="Verdana" w:eastAsia="Malgun Gothic" w:hAnsi="Verdana" w:cs="Arial"/>
          <w:sz w:val="18"/>
          <w:szCs w:val="18"/>
        </w:rPr>
        <w:t xml:space="preserve"> staff</w:t>
      </w:r>
      <w:r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1EAE13" w14:textId="77777777" w:rsidR="00121FD9" w:rsidRPr="008E302A" w:rsidRDefault="00121FD9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77777777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C444EB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P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305A2E48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7777777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 xml:space="preserve">Maria Kkoushi: Tel: +357-22602235,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57D4ECA" w14:textId="534462F0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947CF0" w14:textId="3889BE4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569C3E" w14:textId="70B4B6A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D05DD0" w14:textId="57ABEE7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E85FBC" w14:textId="62ADAFF2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D33B" w14:textId="77777777" w:rsidR="006E72A7" w:rsidRDefault="006E72A7" w:rsidP="00FB398F">
      <w:r>
        <w:separator/>
      </w:r>
    </w:p>
  </w:endnote>
  <w:endnote w:type="continuationSeparator" w:id="0">
    <w:p w14:paraId="424EA540" w14:textId="77777777" w:rsidR="006E72A7" w:rsidRDefault="006E72A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616C" w14:textId="77777777" w:rsidR="006E72A7" w:rsidRDefault="006E72A7" w:rsidP="00FB398F">
      <w:r>
        <w:separator/>
      </w:r>
    </w:p>
  </w:footnote>
  <w:footnote w:type="continuationSeparator" w:id="0">
    <w:p w14:paraId="3903835E" w14:textId="77777777" w:rsidR="006E72A7" w:rsidRDefault="006E72A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2259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5174"/>
    <w:rsid w:val="003C5240"/>
    <w:rsid w:val="003C5D5B"/>
    <w:rsid w:val="003D14E0"/>
    <w:rsid w:val="003D1EA5"/>
    <w:rsid w:val="003D3348"/>
    <w:rsid w:val="003D546A"/>
    <w:rsid w:val="003D6822"/>
    <w:rsid w:val="003D724C"/>
    <w:rsid w:val="003D7ECC"/>
    <w:rsid w:val="003E0CE2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29C2"/>
    <w:rsid w:val="00493FDD"/>
    <w:rsid w:val="0049586B"/>
    <w:rsid w:val="00495D6F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849EB"/>
    <w:rsid w:val="0069008E"/>
    <w:rsid w:val="0069087E"/>
    <w:rsid w:val="00691191"/>
    <w:rsid w:val="006925C4"/>
    <w:rsid w:val="0069309C"/>
    <w:rsid w:val="006A02B7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E72A7"/>
    <w:rsid w:val="006F0F69"/>
    <w:rsid w:val="006F116B"/>
    <w:rsid w:val="006F117F"/>
    <w:rsid w:val="006F13DF"/>
    <w:rsid w:val="006F1E66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6134"/>
    <w:rsid w:val="00A239F2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14</cp:revision>
  <cp:lastPrinted>2025-08-04T11:08:00Z</cp:lastPrinted>
  <dcterms:created xsi:type="dcterms:W3CDTF">2025-09-10T06:26:00Z</dcterms:created>
  <dcterms:modified xsi:type="dcterms:W3CDTF">2025-11-11T08:13:00Z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