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5775147F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9D5A8F" w:rsidRPr="009303EA">
        <w:rPr>
          <w:rFonts w:ascii="Verdana" w:hAnsi="Verdana" w:cs="Arial"/>
          <w:sz w:val="18"/>
          <w:szCs w:val="18"/>
          <w:lang w:val="el-GR"/>
        </w:rPr>
        <w:t>3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9D5A8F">
        <w:rPr>
          <w:rFonts w:ascii="Verdana" w:hAnsi="Verdana" w:cs="Arial"/>
          <w:sz w:val="18"/>
          <w:szCs w:val="18"/>
          <w:lang w:val="el-GR"/>
        </w:rPr>
        <w:t>Οκτωβρίου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4D273D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5E50E615" w:rsidR="00833DCE" w:rsidRPr="00BA13AB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>ΑΠΑΣΧΟΛΗΣΗ ΚΥΒΕΡΝΗΣΗΣ ΑΝΑ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802F90">
        <w:rPr>
          <w:rFonts w:ascii="Verdana" w:eastAsia="Malgun Gothic" w:hAnsi="Verdana" w:cs="Arial"/>
          <w:szCs w:val="22"/>
        </w:rPr>
        <w:t>Σ</w:t>
      </w:r>
      <w:r w:rsidR="009D5A8F">
        <w:rPr>
          <w:rFonts w:ascii="Verdana" w:eastAsia="Malgun Gothic" w:hAnsi="Verdana" w:cs="Arial"/>
          <w:szCs w:val="22"/>
        </w:rPr>
        <w:t>ΕΠΤΕΜΒΡΙΟΣ</w:t>
      </w:r>
      <w:r w:rsidR="000F26EB">
        <w:rPr>
          <w:rFonts w:ascii="Verdana" w:eastAsia="Malgun Gothic" w:hAnsi="Verdana" w:cs="Arial"/>
          <w:szCs w:val="22"/>
        </w:rPr>
        <w:t xml:space="preserve"> </w:t>
      </w:r>
      <w:r>
        <w:rPr>
          <w:rFonts w:ascii="Verdana" w:eastAsia="Malgun Gothic" w:hAnsi="Verdana" w:cs="Arial"/>
          <w:szCs w:val="22"/>
        </w:rPr>
        <w:t>202</w:t>
      </w:r>
      <w:r w:rsidR="00A16142">
        <w:rPr>
          <w:rFonts w:ascii="Verdana" w:eastAsia="Malgun Gothic" w:hAnsi="Verdana" w:cs="Arial"/>
          <w:szCs w:val="22"/>
        </w:rPr>
        <w:t>5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3E9E23E2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E83799" w:rsidRPr="00E83799">
        <w:rPr>
          <w:rFonts w:ascii="Verdana" w:eastAsia="Malgun Gothic" w:hAnsi="Verdana" w:cs="Arial"/>
          <w:b/>
          <w:color w:val="000000" w:themeColor="text1"/>
          <w:lang w:val="el-GR"/>
        </w:rPr>
        <w:t>5</w:t>
      </w:r>
      <w:r w:rsidR="00802F90">
        <w:rPr>
          <w:rFonts w:ascii="Verdana" w:eastAsia="Malgun Gothic" w:hAnsi="Verdana" w:cs="Arial"/>
          <w:b/>
          <w:color w:val="000000" w:themeColor="text1"/>
          <w:lang w:val="el-GR"/>
        </w:rPr>
        <w:t>2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9D5A8F">
        <w:rPr>
          <w:rFonts w:ascii="Verdana" w:eastAsia="Malgun Gothic" w:hAnsi="Verdana" w:cs="Arial"/>
          <w:b/>
          <w:color w:val="000000" w:themeColor="text1"/>
          <w:lang w:val="el-GR"/>
        </w:rPr>
        <w:t>530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66928D08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03725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Σεπτέμβριο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52.530 άτομα, σημειώνοντας μικρή μείωση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802F9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-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2024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802F9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802F9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77A7E317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στους Εργοδοτούμενους Ορισμένου Χρόνου (ΕΟΧ) σε σύγκριση με τον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Σεπτέμβριο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2024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,3%) παρατηρείται στους Εργοδοτούμενους Αορίστου Χρόνου (ΕΑΧ).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ΕΟΧ 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(-70,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23C900C4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(-70,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1E920053" w14:textId="25A342A1" w:rsidR="00833DCE" w:rsidRPr="0054335B" w:rsidRDefault="0054335B" w:rsidP="002040AD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Για την περίοδο Ιανουαρίου – </w:t>
      </w:r>
      <w:r w:rsidR="00A8221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Σεπτεμβρίου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E83495"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 μέσος όρος της συνολικής α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πασχόλησης στην Κυβέρνηση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αυξήθηκε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κατά 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DA6BB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bookmarkEnd w:id="0"/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7777777" w:rsidR="007F2051" w:rsidRDefault="007F2051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40EC9106" w:rsidR="00080FFE" w:rsidRDefault="00DA6BB0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56094565" wp14:editId="72123E4A">
            <wp:extent cx="6078220" cy="3719195"/>
            <wp:effectExtent l="0" t="0" r="0" b="0"/>
            <wp:docPr id="1123998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484BF" w14:textId="77777777" w:rsidR="00080FFE" w:rsidRP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1109AE" w:rsidRPr="001109AE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1109AE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1109AE" w:rsidRPr="001109AE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1109AE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1109AE" w:rsidRPr="001109AE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1109AE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0FBDEC6B" w:rsidR="00580DD4" w:rsidRPr="001109AE" w:rsidRDefault="00DA6BB0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</w:p>
          <w:p w14:paraId="68E8EAC9" w14:textId="4E36B371" w:rsidR="00580DD4" w:rsidRPr="001109AE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03AB927F" w:rsidR="00580DD4" w:rsidRPr="001109AE" w:rsidRDefault="00DA6BB0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</w:p>
          <w:p w14:paraId="52A9A089" w14:textId="5CA4A856" w:rsidR="00580DD4" w:rsidRPr="001109AE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5E15CF80" w:rsidR="00580DD4" w:rsidRPr="001109AE" w:rsidRDefault="0012652B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  <w:r w:rsidR="00580DD4"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7F012ACC" w14:textId="3BCE991D" w:rsidR="00580DD4" w:rsidRPr="001109AE" w:rsidRDefault="0012652B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  <w:r w:rsidR="00580DD4"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  <w:p w14:paraId="4AECE9B0" w14:textId="08CCD4D9" w:rsidR="00580DD4" w:rsidRPr="001109AE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7725E644" w:rsidR="00580DD4" w:rsidRPr="001109AE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12652B"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2FE546C7" w14:textId="4750C0F7" w:rsidR="00580DD4" w:rsidRPr="001109AE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12652B"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</w:t>
            </w: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1109AE" w:rsidRPr="001109AE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3DB7A245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23.327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4898828F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23.098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613AFEF3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35ED1FC1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-0,3</w:t>
            </w:r>
          </w:p>
        </w:tc>
      </w:tr>
      <w:tr w:rsidR="001109AE" w:rsidRPr="001109AE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21B60182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12.003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533BFF75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11.918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56A01C7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407CB5C0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</w:tr>
      <w:tr w:rsidR="001109AE" w:rsidRPr="001109AE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5F1646BE" w:rsidR="0012652B" w:rsidRPr="001109AE" w:rsidRDefault="0012652B" w:rsidP="0012652B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4.217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7022E8F9" w:rsidR="0012652B" w:rsidRPr="001109AE" w:rsidRDefault="0012652B" w:rsidP="0012652B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4.078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62F4AEB8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23C6CA59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-2,7</w:t>
            </w:r>
          </w:p>
        </w:tc>
      </w:tr>
      <w:tr w:rsidR="001109AE" w:rsidRPr="001109AE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585192F1" w:rsidR="0012652B" w:rsidRPr="001109AE" w:rsidRDefault="0012652B" w:rsidP="0012652B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1.202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3E935471" w:rsidR="0012652B" w:rsidRPr="001109AE" w:rsidRDefault="0012652B" w:rsidP="0012652B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1.290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64E24B31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2FE6718F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</w:tr>
      <w:tr w:rsidR="001109AE" w:rsidRPr="001109AE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726783C0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5.905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4C49A90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5.812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15B906C5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6143CF02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</w:tr>
      <w:tr w:rsidR="001109AE" w:rsidRPr="001109AE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7CDDAB00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15.345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22D5C28A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15.853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456F3560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2B12D3D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3,9</w:t>
            </w:r>
          </w:p>
        </w:tc>
      </w:tr>
      <w:tr w:rsidR="001109AE" w:rsidRPr="001109AE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555D42F3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12.354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6E4BE52A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12.441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4B1E81B4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22AAA69D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1109AE" w:rsidRPr="001109AE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4AA58FB8" w:rsidR="0012652B" w:rsidRPr="001109AE" w:rsidRDefault="0012652B" w:rsidP="0012652B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1.021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7EFE9ECC" w:rsidR="0012652B" w:rsidRPr="001109AE" w:rsidRDefault="0012652B" w:rsidP="0012652B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1.167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6A0D719E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14,3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65AA1F73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-16,9</w:t>
            </w:r>
          </w:p>
        </w:tc>
      </w:tr>
      <w:tr w:rsidR="001109AE" w:rsidRPr="001109AE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02A7B825" w:rsidR="0012652B" w:rsidRPr="001109AE" w:rsidRDefault="0012652B" w:rsidP="0012652B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1.818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540B03E2" w:rsidR="0012652B" w:rsidRPr="001109AE" w:rsidRDefault="0012652B" w:rsidP="0012652B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2.099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7912B227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15,5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67914E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1109AE" w:rsidRPr="001109AE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484EE145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152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457FA6AD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146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4EBB5F9D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-3,9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652DB6D0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-5,1</w:t>
            </w:r>
          </w:p>
        </w:tc>
      </w:tr>
      <w:tr w:rsidR="001109AE" w:rsidRPr="001109AE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630F2E1B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13.908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44834ECC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13.579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7ED7840A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-2,4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47E6F40A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1109AE" w:rsidRPr="001109AE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5B4D8484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8.355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34535D62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8.473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1557E1DD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4884A7F0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1109AE" w:rsidRPr="001109AE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0F4F4231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4.497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3160CD31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4.267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35869018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2BE868B2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-6,8</w:t>
            </w:r>
          </w:p>
        </w:tc>
      </w:tr>
      <w:tr w:rsidR="001109AE" w:rsidRPr="001109AE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1DAE4330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298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58A50501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87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7D25B695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-70,8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19A5F586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-21,2</w:t>
            </w:r>
          </w:p>
        </w:tc>
      </w:tr>
      <w:tr w:rsidR="001109AE" w:rsidRPr="001109AE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08B5EB0C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758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0E88E179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752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4B40CE04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108B56D3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1109AE" w:rsidRPr="001109AE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5F568010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52.580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6E84CC85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52.530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1330BFB1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5A09B163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0,7</w:t>
            </w:r>
          </w:p>
        </w:tc>
      </w:tr>
      <w:tr w:rsidR="001109AE" w:rsidRPr="001109AE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5EE0DB56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32.712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2E10EC81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32.832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79775141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34EA5D44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1109AE" w:rsidRPr="001109AE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78D8DC94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9.735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4FA5D8DC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9.512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51A2E472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5F8690D1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-6,3</w:t>
            </w:r>
          </w:p>
        </w:tc>
      </w:tr>
      <w:tr w:rsidR="001109AE" w:rsidRPr="001109AE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68897AC3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3.318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5309C2C4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3.476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5274D587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4B6BD6A6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8,1</w:t>
            </w:r>
          </w:p>
        </w:tc>
      </w:tr>
      <w:tr w:rsidR="001109AE" w:rsidRPr="001109AE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12652B" w:rsidRPr="001109AE" w:rsidRDefault="0012652B" w:rsidP="0012652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12652B" w:rsidRPr="001109AE" w:rsidRDefault="0012652B" w:rsidP="0012652B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109A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6650958A" w:rsidR="0012652B" w:rsidRPr="001109AE" w:rsidRDefault="0012652B" w:rsidP="0012652B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6.815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7372F34B" w:rsidR="0012652B" w:rsidRPr="001109AE" w:rsidRDefault="0012652B" w:rsidP="0012652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6.710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11B561FA" w:rsidR="0012652B" w:rsidRPr="001109AE" w:rsidRDefault="0012652B" w:rsidP="0012652B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-1,5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1E17F156" w:rsidR="0012652B" w:rsidRPr="001109AE" w:rsidRDefault="0012652B" w:rsidP="0012652B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109AE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45DEA810" w14:textId="77777777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6D531603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77777777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42BA" w14:textId="77777777" w:rsidR="00F95196" w:rsidRDefault="00F95196" w:rsidP="00FB398F">
      <w:r>
        <w:separator/>
      </w:r>
    </w:p>
  </w:endnote>
  <w:endnote w:type="continuationSeparator" w:id="0">
    <w:p w14:paraId="6BE039BB" w14:textId="77777777" w:rsidR="00F95196" w:rsidRDefault="00F9519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A36E89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>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FB7B" w14:textId="77777777" w:rsidR="00F95196" w:rsidRDefault="00F95196" w:rsidP="00FB398F">
      <w:r>
        <w:separator/>
      </w:r>
    </w:p>
  </w:footnote>
  <w:footnote w:type="continuationSeparator" w:id="0">
    <w:p w14:paraId="184B9D9F" w14:textId="77777777" w:rsidR="00F95196" w:rsidRDefault="00F9519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9AE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92F28"/>
    <w:rsid w:val="007935CA"/>
    <w:rsid w:val="00794337"/>
    <w:rsid w:val="0079543F"/>
    <w:rsid w:val="00795880"/>
    <w:rsid w:val="00795BE2"/>
    <w:rsid w:val="00797FAC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2C1F"/>
    <w:rsid w:val="009303EA"/>
    <w:rsid w:val="00930754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75A3"/>
    <w:rsid w:val="00960C19"/>
    <w:rsid w:val="00960E98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748D"/>
    <w:rsid w:val="00990205"/>
    <w:rsid w:val="00992CFF"/>
    <w:rsid w:val="00993B63"/>
    <w:rsid w:val="009A2D24"/>
    <w:rsid w:val="009A456C"/>
    <w:rsid w:val="009B00E0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4F6B"/>
    <w:rsid w:val="00AA55C2"/>
    <w:rsid w:val="00AA696D"/>
    <w:rsid w:val="00AB0ACA"/>
    <w:rsid w:val="00AB1D41"/>
    <w:rsid w:val="00AB3F35"/>
    <w:rsid w:val="00AB471D"/>
    <w:rsid w:val="00AB6958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39B1"/>
    <w:rsid w:val="00F95196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10</cp:revision>
  <cp:lastPrinted>2025-08-04T11:07:00Z</cp:lastPrinted>
  <dcterms:created xsi:type="dcterms:W3CDTF">2025-09-10T06:15:00Z</dcterms:created>
  <dcterms:modified xsi:type="dcterms:W3CDTF">2025-10-13T08:46:00Z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