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3D2C" w14:textId="77777777" w:rsidR="00201EA7" w:rsidRPr="00201EA7" w:rsidRDefault="00201EA7" w:rsidP="00F5696E">
      <w:pPr>
        <w:autoSpaceDE w:val="0"/>
        <w:autoSpaceDN w:val="0"/>
        <w:adjustRightInd w:val="0"/>
        <w:jc w:val="right"/>
        <w:rPr>
          <w:rFonts w:ascii="Verdana" w:hAnsi="Verdana" w:cs="Calibri"/>
          <w:color w:val="000000"/>
          <w:sz w:val="18"/>
          <w:szCs w:val="18"/>
          <w:lang w:val="el-GR"/>
        </w:rPr>
      </w:pPr>
      <w:r w:rsidRPr="00201EA7">
        <w:rPr>
          <w:rFonts w:ascii="Verdana" w:hAnsi="Verdana" w:cs="Calibri"/>
          <w:color w:val="000000"/>
          <w:sz w:val="18"/>
          <w:szCs w:val="18"/>
          <w:lang w:val="el-GR"/>
        </w:rPr>
        <w:t>30 Μαρτίου, 2023</w:t>
      </w:r>
    </w:p>
    <w:p w14:paraId="02049163" w14:textId="14C5713D" w:rsidR="00201EA7" w:rsidRDefault="00201EA7" w:rsidP="00F5696E">
      <w:pPr>
        <w:autoSpaceDE w:val="0"/>
        <w:autoSpaceDN w:val="0"/>
        <w:adjustRightInd w:val="0"/>
        <w:jc w:val="both"/>
        <w:rPr>
          <w:rFonts w:ascii="Verdana" w:hAnsi="Verdana" w:cs="Calibri"/>
          <w:color w:val="000000"/>
          <w:sz w:val="18"/>
          <w:szCs w:val="18"/>
          <w:lang w:val="el-GR"/>
        </w:rPr>
      </w:pPr>
      <w:r w:rsidRPr="00201EA7">
        <w:rPr>
          <w:rFonts w:ascii="Verdana" w:hAnsi="Verdana" w:cs="Calibri"/>
          <w:color w:val="000000"/>
          <w:sz w:val="18"/>
          <w:szCs w:val="18"/>
          <w:lang w:val="el-GR"/>
        </w:rPr>
        <w:t xml:space="preserve"> </w:t>
      </w:r>
    </w:p>
    <w:p w14:paraId="7595F92A" w14:textId="77777777" w:rsidR="00F5696E" w:rsidRPr="00201EA7" w:rsidRDefault="00F5696E" w:rsidP="00F5696E">
      <w:pPr>
        <w:autoSpaceDE w:val="0"/>
        <w:autoSpaceDN w:val="0"/>
        <w:adjustRightInd w:val="0"/>
        <w:jc w:val="both"/>
        <w:rPr>
          <w:rFonts w:ascii="Verdana" w:hAnsi="Verdana" w:cs="Calibri"/>
          <w:color w:val="000000"/>
          <w:sz w:val="18"/>
          <w:szCs w:val="18"/>
          <w:lang w:val="el-GR"/>
        </w:rPr>
      </w:pPr>
    </w:p>
    <w:p w14:paraId="044A32A0" w14:textId="1445F046" w:rsidR="00201EA7" w:rsidRPr="00F5696E" w:rsidRDefault="00201EA7" w:rsidP="00F5696E">
      <w:pPr>
        <w:jc w:val="center"/>
        <w:rPr>
          <w:rFonts w:ascii="Verdana" w:hAnsi="Verdana"/>
          <w:b/>
          <w:bCs/>
          <w:sz w:val="24"/>
          <w:szCs w:val="24"/>
          <w:lang w:val="el-GR"/>
        </w:rPr>
      </w:pPr>
      <w:r w:rsidRPr="00201EA7">
        <w:rPr>
          <w:rFonts w:ascii="Verdana" w:hAnsi="Verdana"/>
          <w:b/>
          <w:bCs/>
          <w:sz w:val="24"/>
          <w:szCs w:val="24"/>
          <w:lang w:val="el-GR"/>
        </w:rPr>
        <w:t>ΔΕΛΤΙΟ ΤΥΠΟΥ</w:t>
      </w:r>
    </w:p>
    <w:p w14:paraId="5A1F767C" w14:textId="77777777" w:rsidR="00F5696E" w:rsidRPr="00201EA7" w:rsidRDefault="00F5696E" w:rsidP="00F5696E">
      <w:pPr>
        <w:jc w:val="center"/>
        <w:rPr>
          <w:rFonts w:ascii="Verdana" w:hAnsi="Verdana" w:cs="Arial"/>
          <w:sz w:val="18"/>
          <w:szCs w:val="18"/>
          <w:u w:val="single"/>
          <w:lang w:val="el-GR"/>
        </w:rPr>
      </w:pPr>
    </w:p>
    <w:p w14:paraId="2D84C552" w14:textId="77777777" w:rsidR="00201EA7" w:rsidRPr="00201EA7" w:rsidRDefault="00201EA7" w:rsidP="00F5696E">
      <w:pPr>
        <w:jc w:val="center"/>
        <w:rPr>
          <w:rFonts w:ascii="Verdana" w:hAnsi="Verdana" w:cs="Arial"/>
          <w:b/>
          <w:u w:val="single"/>
          <w:lang w:val="el-GR"/>
        </w:rPr>
      </w:pPr>
      <w:r w:rsidRPr="00201EA7">
        <w:rPr>
          <w:rFonts w:ascii="Verdana" w:hAnsi="Verdana" w:cs="Arial"/>
          <w:b/>
          <w:u w:val="single"/>
          <w:lang w:val="el-GR"/>
        </w:rPr>
        <w:t>ΕΡΕΥΝΑ ΟΙΚΟΓΕΝΕΙΑΚΩΝ ΠΡΟΫΠΟΛΟΓΙΣΜΩΝ 2023</w:t>
      </w:r>
    </w:p>
    <w:p w14:paraId="1E4BBDE6" w14:textId="77777777" w:rsidR="00F5696E" w:rsidRDefault="00F5696E" w:rsidP="00F5696E">
      <w:pPr>
        <w:jc w:val="both"/>
        <w:rPr>
          <w:rFonts w:ascii="Verdana" w:hAnsi="Verdana" w:cs="Arial"/>
          <w:sz w:val="18"/>
          <w:szCs w:val="18"/>
          <w:lang w:val="el-GR"/>
        </w:rPr>
      </w:pPr>
    </w:p>
    <w:p w14:paraId="5992B72A" w14:textId="37F756B5" w:rsidR="00201EA7" w:rsidRDefault="00201EA7" w:rsidP="00F5696E">
      <w:pPr>
        <w:jc w:val="both"/>
        <w:rPr>
          <w:rFonts w:ascii="Verdana" w:hAnsi="Verdana"/>
          <w:sz w:val="18"/>
          <w:szCs w:val="18"/>
          <w:lang w:val="el-GR"/>
        </w:rPr>
      </w:pPr>
      <w:r w:rsidRPr="00201EA7">
        <w:rPr>
          <w:rFonts w:ascii="Verdana" w:hAnsi="Verdana" w:cs="Arial"/>
          <w:sz w:val="18"/>
          <w:szCs w:val="18"/>
          <w:lang w:val="el-GR"/>
        </w:rPr>
        <w:t xml:space="preserve">Η Στατιστική Υπηρεσία ανακοινώνει την έναρξη της διεξαγωγής της Έρευνας Οικογενειακών Προϋπολογισμών 2023 στις 3/4/23. </w:t>
      </w:r>
      <w:r w:rsidRPr="00201EA7">
        <w:rPr>
          <w:rFonts w:ascii="Verdana" w:hAnsi="Verdana"/>
          <w:sz w:val="18"/>
          <w:szCs w:val="18"/>
          <w:lang w:val="el-GR"/>
        </w:rPr>
        <w:t xml:space="preserve">Η αξιοποίηση της πληθώρας των αποτελεσμάτων της Έρευνας, τόσο ως απαραίτητο συστατικό για τον καταρτισμό επίσημων εθνικών και ευρωπαϊκών στατιστικών όσο και ως αξιόπιστο εργαλείο για </w:t>
      </w:r>
      <w:r w:rsidRPr="00201EA7">
        <w:rPr>
          <w:rFonts w:ascii="Verdana" w:hAnsi="Verdana" w:cs="Arial"/>
          <w:sz w:val="18"/>
          <w:szCs w:val="18"/>
          <w:lang w:val="el-GR"/>
        </w:rPr>
        <w:t>κοινωνικοοικονομικού περιεχομένου αναλύσεις</w:t>
      </w:r>
      <w:r w:rsidRPr="00201EA7">
        <w:rPr>
          <w:rFonts w:ascii="Verdana" w:hAnsi="Verdana"/>
          <w:sz w:val="18"/>
          <w:szCs w:val="18"/>
          <w:lang w:val="el-GR"/>
        </w:rPr>
        <w:t xml:space="preserve"> από την επιστημονική κοινότητα αλλά και ενημέρωσης του ευρύτερου κοινού,  την καθιστούν μία από τις σημαντικότερες έρευνες της Υπηρεσίας.</w:t>
      </w:r>
    </w:p>
    <w:p w14:paraId="26C6205E" w14:textId="77777777" w:rsidR="00F5696E" w:rsidRPr="00201EA7" w:rsidRDefault="00F5696E" w:rsidP="00F5696E">
      <w:pPr>
        <w:jc w:val="both"/>
        <w:rPr>
          <w:rFonts w:ascii="Verdana" w:hAnsi="Verdana" w:cs="Arial"/>
          <w:sz w:val="18"/>
          <w:szCs w:val="18"/>
          <w:lang w:val="el-GR"/>
        </w:rPr>
      </w:pPr>
    </w:p>
    <w:p w14:paraId="6C89B5C9" w14:textId="59876119" w:rsidR="00201EA7" w:rsidRDefault="00201EA7" w:rsidP="00F5696E">
      <w:pPr>
        <w:jc w:val="both"/>
        <w:rPr>
          <w:rFonts w:ascii="Verdana" w:hAnsi="Verdana"/>
          <w:sz w:val="18"/>
          <w:szCs w:val="18"/>
          <w:lang w:val="el-GR"/>
        </w:rPr>
      </w:pPr>
      <w:r w:rsidRPr="00201EA7">
        <w:rPr>
          <w:rFonts w:ascii="Verdana" w:hAnsi="Verdana"/>
          <w:sz w:val="18"/>
          <w:szCs w:val="18"/>
          <w:lang w:val="el-GR"/>
        </w:rPr>
        <w:t>Η Έρευνα διεξάγεται σύμφωνα με τις συστάσεις και μεθοδολογίες της Στατιστικής Υπηρεσίας της ΕΕ (</w:t>
      </w:r>
      <w:r w:rsidRPr="00201EA7">
        <w:rPr>
          <w:rFonts w:ascii="Verdana" w:hAnsi="Verdana"/>
          <w:sz w:val="18"/>
          <w:szCs w:val="18"/>
        </w:rPr>
        <w:t>Eurostat</w:t>
      </w:r>
      <w:r w:rsidRPr="00201EA7">
        <w:rPr>
          <w:rFonts w:ascii="Verdana" w:hAnsi="Verdana"/>
          <w:sz w:val="18"/>
          <w:szCs w:val="18"/>
          <w:lang w:val="el-GR"/>
        </w:rPr>
        <w:t>), με σκοπό να μετρηθεί η διάρθρωση των δαπανών των νοικοκυριών ώστε:</w:t>
      </w:r>
    </w:p>
    <w:p w14:paraId="39A4E43C" w14:textId="77777777" w:rsidR="00F5696E" w:rsidRPr="00201EA7" w:rsidRDefault="00F5696E" w:rsidP="00F5696E">
      <w:pPr>
        <w:jc w:val="both"/>
        <w:rPr>
          <w:rFonts w:ascii="Verdana" w:hAnsi="Verdana"/>
          <w:sz w:val="18"/>
          <w:szCs w:val="18"/>
          <w:lang w:val="el-GR"/>
        </w:rPr>
      </w:pPr>
    </w:p>
    <w:p w14:paraId="14F99FF1" w14:textId="77777777" w:rsidR="00F5696E" w:rsidRPr="00F5696E" w:rsidRDefault="00201EA7" w:rsidP="00F5696E">
      <w:pPr>
        <w:pStyle w:val="ListParagraph"/>
        <w:numPr>
          <w:ilvl w:val="0"/>
          <w:numId w:val="9"/>
        </w:numPr>
        <w:jc w:val="both"/>
        <w:rPr>
          <w:rFonts w:ascii="Verdana" w:hAnsi="Verdana"/>
          <w:sz w:val="18"/>
          <w:szCs w:val="18"/>
          <w:lang w:val="el-GR"/>
        </w:rPr>
      </w:pPr>
      <w:r w:rsidRPr="00F5696E">
        <w:rPr>
          <w:rFonts w:ascii="Verdana" w:hAnsi="Verdana"/>
          <w:sz w:val="18"/>
          <w:szCs w:val="18"/>
          <w:lang w:val="el-GR"/>
        </w:rPr>
        <w:t>στο πλαίσιο του Δείκτη Τιμών Καταναλωτή (που καθορίζει το ύψος του τιμαρίθμου) να αναθεωρηθούν τα αντιπροσωπευτικά αγαθά και υπηρεσίες που απαρτίζουν το «καλάθι του νοικοκυριού» καθώς και οι συντελεστές στάθμισης που δίνουν τη σχετική βαρύτητα κάθε αγαθού και υπηρεσίας,</w:t>
      </w:r>
    </w:p>
    <w:p w14:paraId="4D5EE4EF" w14:textId="47CCC04A" w:rsidR="00201EA7" w:rsidRPr="00F5696E" w:rsidRDefault="00201EA7" w:rsidP="00F5696E">
      <w:pPr>
        <w:pStyle w:val="ListParagraph"/>
        <w:numPr>
          <w:ilvl w:val="0"/>
          <w:numId w:val="9"/>
        </w:numPr>
        <w:spacing w:before="120"/>
        <w:ind w:left="714" w:hanging="357"/>
        <w:contextualSpacing w:val="0"/>
        <w:jc w:val="both"/>
        <w:rPr>
          <w:rFonts w:ascii="Verdana" w:hAnsi="Verdana"/>
          <w:sz w:val="18"/>
          <w:szCs w:val="18"/>
          <w:lang w:val="el-GR"/>
        </w:rPr>
      </w:pPr>
      <w:r w:rsidRPr="00F5696E">
        <w:rPr>
          <w:rFonts w:ascii="Verdana" w:hAnsi="Verdana"/>
          <w:sz w:val="18"/>
          <w:szCs w:val="18"/>
          <w:lang w:val="el-GR"/>
        </w:rPr>
        <w:t xml:space="preserve">να </w:t>
      </w:r>
      <w:proofErr w:type="spellStart"/>
      <w:r w:rsidRPr="00F5696E">
        <w:rPr>
          <w:rFonts w:ascii="Verdana" w:hAnsi="Verdana"/>
          <w:sz w:val="18"/>
          <w:szCs w:val="18"/>
          <w:lang w:val="el-GR"/>
        </w:rPr>
        <w:t>επικαιροποιηθούν</w:t>
      </w:r>
      <w:proofErr w:type="spellEnd"/>
      <w:r w:rsidRPr="00F5696E">
        <w:rPr>
          <w:rFonts w:ascii="Verdana" w:hAnsi="Verdana"/>
          <w:sz w:val="18"/>
          <w:szCs w:val="18"/>
          <w:lang w:val="el-GR"/>
        </w:rPr>
        <w:t xml:space="preserve"> τα μεγέθη που αφορούν την ιδιωτική κατανάλωση για το σύστημα εθνικών λογαριασμών,</w:t>
      </w:r>
    </w:p>
    <w:p w14:paraId="4C818B8D" w14:textId="77777777" w:rsidR="00201EA7" w:rsidRPr="00F5696E" w:rsidRDefault="00201EA7" w:rsidP="00F5696E">
      <w:pPr>
        <w:pStyle w:val="ListParagraph"/>
        <w:numPr>
          <w:ilvl w:val="0"/>
          <w:numId w:val="9"/>
        </w:numPr>
        <w:spacing w:before="120"/>
        <w:ind w:left="714" w:hanging="357"/>
        <w:contextualSpacing w:val="0"/>
        <w:jc w:val="both"/>
        <w:rPr>
          <w:rFonts w:ascii="Verdana" w:hAnsi="Verdana"/>
          <w:sz w:val="18"/>
          <w:szCs w:val="18"/>
          <w:lang w:val="el-GR"/>
        </w:rPr>
      </w:pPr>
      <w:r w:rsidRPr="00F5696E">
        <w:rPr>
          <w:rFonts w:ascii="Verdana" w:hAnsi="Verdana"/>
          <w:sz w:val="18"/>
          <w:szCs w:val="18"/>
          <w:lang w:val="el-GR"/>
        </w:rPr>
        <w:t>να αναλυθεί το ύψος και η κατανομή των δαπανών και του εισοδήματος των νοικοκυριών κατά πηγή εισοδήματος και κατά διάφορες κοινωνικοοικονομικές και δημογραφικές ομάδες,</w:t>
      </w:r>
    </w:p>
    <w:p w14:paraId="20D37B30" w14:textId="77777777" w:rsidR="00201EA7" w:rsidRPr="00F5696E" w:rsidRDefault="00201EA7" w:rsidP="00F5696E">
      <w:pPr>
        <w:pStyle w:val="ListParagraph"/>
        <w:numPr>
          <w:ilvl w:val="0"/>
          <w:numId w:val="9"/>
        </w:numPr>
        <w:spacing w:before="120"/>
        <w:ind w:left="714" w:hanging="357"/>
        <w:contextualSpacing w:val="0"/>
        <w:jc w:val="both"/>
        <w:rPr>
          <w:rFonts w:ascii="Verdana" w:hAnsi="Verdana"/>
          <w:sz w:val="18"/>
          <w:szCs w:val="18"/>
          <w:lang w:val="el-GR"/>
        </w:rPr>
      </w:pPr>
      <w:r w:rsidRPr="00F5696E">
        <w:rPr>
          <w:rFonts w:ascii="Verdana" w:hAnsi="Verdana"/>
          <w:sz w:val="18"/>
          <w:szCs w:val="18"/>
          <w:lang w:val="el-GR"/>
        </w:rPr>
        <w:t>να μελετηθεί το βιοτικό επίπεδο του πληθυσμού μέσω του καταρτισμού διάφορων κοινωνικοοικονομικών δεικτών.</w:t>
      </w:r>
    </w:p>
    <w:p w14:paraId="6C29A78B" w14:textId="77777777" w:rsidR="00201EA7" w:rsidRPr="00201EA7" w:rsidRDefault="00201EA7" w:rsidP="00F5696E">
      <w:pPr>
        <w:jc w:val="both"/>
        <w:rPr>
          <w:rFonts w:ascii="Verdana" w:hAnsi="Verdana"/>
          <w:sz w:val="18"/>
          <w:szCs w:val="18"/>
          <w:lang w:val="el-GR"/>
        </w:rPr>
      </w:pPr>
    </w:p>
    <w:p w14:paraId="150D67CD" w14:textId="77777777" w:rsidR="00201EA7" w:rsidRPr="00201EA7" w:rsidRDefault="00201EA7" w:rsidP="00F5696E">
      <w:pPr>
        <w:jc w:val="both"/>
        <w:rPr>
          <w:rFonts w:ascii="Verdana" w:hAnsi="Verdana"/>
          <w:sz w:val="18"/>
          <w:szCs w:val="18"/>
          <w:lang w:val="el-GR"/>
        </w:rPr>
      </w:pPr>
      <w:r w:rsidRPr="00201EA7">
        <w:rPr>
          <w:rFonts w:ascii="Verdana" w:hAnsi="Verdana" w:cs="Arial"/>
          <w:sz w:val="18"/>
          <w:szCs w:val="18"/>
          <w:lang w:val="el-GR"/>
        </w:rPr>
        <w:t xml:space="preserve">Η Έρευνα θα καλύψει 4.800 νοικοκυριά στις αστικές και αγροτικές περιοχές της Κύπρου. </w:t>
      </w:r>
    </w:p>
    <w:p w14:paraId="07A5311E" w14:textId="77777777" w:rsidR="00F5696E" w:rsidRDefault="00F5696E" w:rsidP="00F5696E">
      <w:pPr>
        <w:jc w:val="both"/>
        <w:rPr>
          <w:rFonts w:ascii="Verdana" w:hAnsi="Verdana" w:cs="Arial"/>
          <w:sz w:val="18"/>
          <w:szCs w:val="18"/>
          <w:lang w:val="el-GR"/>
        </w:rPr>
      </w:pPr>
    </w:p>
    <w:p w14:paraId="3E53D0F4" w14:textId="19D47BFC" w:rsidR="00201EA7" w:rsidRPr="00201EA7" w:rsidRDefault="00201EA7" w:rsidP="00F5696E">
      <w:pPr>
        <w:jc w:val="both"/>
        <w:rPr>
          <w:rFonts w:ascii="Verdana" w:hAnsi="Verdana" w:cs="Arial"/>
          <w:sz w:val="18"/>
          <w:szCs w:val="18"/>
          <w:lang w:val="el-GR"/>
        </w:rPr>
      </w:pPr>
      <w:r w:rsidRPr="00201EA7">
        <w:rPr>
          <w:rFonts w:ascii="Verdana" w:hAnsi="Verdana" w:cs="Arial"/>
          <w:sz w:val="18"/>
          <w:szCs w:val="18"/>
          <w:lang w:val="el-GR"/>
        </w:rPr>
        <w:t xml:space="preserve">Η συλλογή και η καταχώρηση των στοιχείων θα γίνεται από ειδικά εκπαιδευμένους απογραφείς, με προσωπικές συνεντεύξεις στα νοικοκυριά, με τη χρήση φορητών ηλεκτρονικών υπολογιστών. Επιπλέον, οι απογραφείς έχουν εκπαιδευτεί στη συμπλήρωση σχετικών ημερολογίων καταγραφής των καθημερινών εξόδων των νοικοκυριών για περίοδο δύο εβδομάδων. Οι απογραφείς θα φέρουν ειδική ταυτότητα της Στατιστικής Υπηρεσίας, </w:t>
      </w:r>
      <w:r w:rsidRPr="00201EA7">
        <w:rPr>
          <w:rFonts w:ascii="Verdana" w:hAnsi="Verdana"/>
          <w:sz w:val="18"/>
          <w:szCs w:val="18"/>
          <w:lang w:val="el-GR"/>
        </w:rPr>
        <w:t>η οποία θα πιστοποιεί την εξουσιοδότηση που τους έχει δοθεί για τη συλλογή των στοιχείων.</w:t>
      </w:r>
    </w:p>
    <w:p w14:paraId="00C10D68" w14:textId="77777777" w:rsidR="00F5696E" w:rsidRDefault="00F5696E" w:rsidP="00F5696E">
      <w:pPr>
        <w:jc w:val="both"/>
        <w:rPr>
          <w:rFonts w:ascii="Verdana" w:hAnsi="Verdana" w:cs="Arial"/>
          <w:sz w:val="18"/>
          <w:szCs w:val="18"/>
          <w:lang w:val="el-GR"/>
        </w:rPr>
      </w:pPr>
    </w:p>
    <w:p w14:paraId="3084044C" w14:textId="6759F2B6" w:rsidR="00201EA7" w:rsidRPr="00201EA7" w:rsidRDefault="00201EA7" w:rsidP="00F5696E">
      <w:pPr>
        <w:jc w:val="both"/>
        <w:rPr>
          <w:rFonts w:ascii="Verdana" w:hAnsi="Verdana" w:cs="Arial"/>
          <w:sz w:val="18"/>
          <w:szCs w:val="18"/>
          <w:lang w:val="el-GR"/>
        </w:rPr>
      </w:pPr>
      <w:r w:rsidRPr="00201EA7">
        <w:rPr>
          <w:rFonts w:ascii="Verdana" w:hAnsi="Verdana" w:cs="Arial"/>
          <w:sz w:val="18"/>
          <w:szCs w:val="18"/>
          <w:lang w:val="el-GR"/>
        </w:rPr>
        <w:t xml:space="preserve">Η συλλογή των στοιχείων θα </w:t>
      </w:r>
      <w:r w:rsidRPr="00201EA7">
        <w:rPr>
          <w:rFonts w:ascii="Verdana" w:hAnsi="Verdana" w:cs="Arial"/>
          <w:iCs/>
          <w:sz w:val="18"/>
          <w:szCs w:val="18"/>
          <w:lang w:val="el-GR"/>
        </w:rPr>
        <w:t xml:space="preserve">κατανεμηθεί ισομερώς σε μια περίοδο 12 μηνών </w:t>
      </w:r>
      <w:r w:rsidRPr="00201EA7">
        <w:rPr>
          <w:rFonts w:ascii="Verdana" w:hAnsi="Verdana" w:cs="Arial"/>
          <w:sz w:val="18"/>
          <w:szCs w:val="18"/>
          <w:lang w:val="el-GR"/>
        </w:rPr>
        <w:t>από τον Απρίλιο 2023 έως τον Μάρτιο 2024 και κάθε 18 ημέρες θα πραγματοποιούνται επισκέψεις σε περίπου 240 νοικοκυριά. Κατά αυτόν τον τρόπο θα συλλεχθούν στοιχεία που αντιπροσωπεύουν τις αγοραστικές τάσεις και συνήθειες των νοικοκυριών σε όλη τη διάρκεια του έτους, ούτως ώστε να ληφθούν υπόψη και αγορές που γίνονται εποχικά.</w:t>
      </w:r>
    </w:p>
    <w:p w14:paraId="79314635" w14:textId="77777777" w:rsidR="00F5696E" w:rsidRDefault="00F5696E" w:rsidP="00F5696E">
      <w:pPr>
        <w:jc w:val="both"/>
        <w:rPr>
          <w:rFonts w:ascii="Verdana" w:hAnsi="Verdana" w:cs="Arial"/>
          <w:spacing w:val="6"/>
          <w:sz w:val="18"/>
          <w:szCs w:val="18"/>
          <w:lang w:val="el-GR"/>
        </w:rPr>
      </w:pPr>
    </w:p>
    <w:p w14:paraId="53A5A16A" w14:textId="725F4A36" w:rsidR="00201EA7" w:rsidRDefault="00201EA7" w:rsidP="00F5696E">
      <w:pPr>
        <w:jc w:val="both"/>
        <w:rPr>
          <w:rFonts w:ascii="Verdana" w:hAnsi="Verdana" w:cs="Arial"/>
          <w:spacing w:val="6"/>
          <w:sz w:val="18"/>
          <w:szCs w:val="18"/>
          <w:lang w:val="el-GR"/>
        </w:rPr>
      </w:pPr>
      <w:r w:rsidRPr="00201EA7">
        <w:rPr>
          <w:rFonts w:ascii="Verdana" w:hAnsi="Verdana" w:cs="Arial"/>
          <w:spacing w:val="6"/>
          <w:sz w:val="18"/>
          <w:szCs w:val="18"/>
          <w:lang w:val="el-GR"/>
        </w:rPr>
        <w:t xml:space="preserve">Η Έρευνα διεξάγεται σύμφωνα με τον περί Επίσημων Στατιστικών Νόμο του 2021 (Ν. 25(Ι)/2021). Με βάση τις πρόνοιες του Νόμου, η παροχή των στοιχείων είναι υποχρεωτική. Η Στατιστική Υπηρεσία υποχρεούται να τηρήσει τα στοιχεία που θα συγκεντρωθούν ως </w:t>
      </w:r>
      <w:r w:rsidRPr="00201EA7">
        <w:rPr>
          <w:rFonts w:ascii="Verdana" w:hAnsi="Verdana" w:cs="Arial"/>
          <w:b/>
          <w:spacing w:val="6"/>
          <w:sz w:val="18"/>
          <w:szCs w:val="18"/>
          <w:u w:val="single"/>
          <w:lang w:val="el-GR"/>
        </w:rPr>
        <w:t>ΕΜΠΙΣΤΕΥΤΙΚΑ</w:t>
      </w:r>
      <w:r w:rsidRPr="00201EA7">
        <w:rPr>
          <w:rFonts w:ascii="Verdana" w:hAnsi="Verdana" w:cs="Arial"/>
          <w:bCs/>
          <w:spacing w:val="6"/>
          <w:sz w:val="18"/>
          <w:szCs w:val="18"/>
          <w:lang w:val="el-GR"/>
        </w:rPr>
        <w:t>.</w:t>
      </w:r>
      <w:r w:rsidRPr="00201EA7">
        <w:rPr>
          <w:rFonts w:ascii="Verdana" w:hAnsi="Verdana" w:cs="Arial"/>
          <w:spacing w:val="6"/>
          <w:sz w:val="18"/>
          <w:szCs w:val="18"/>
          <w:lang w:val="el-GR"/>
        </w:rPr>
        <w:t xml:space="preserve"> Οι απαντήσεις θα χρησιμοποιηθούν αποκλειστικά και μόνο για σκοπούς στατιστικής και κανένας δεν θα λάβει γνώση των ατομικών δεδομένων, ούτε δημόσια αρχή ούτε ιδιώτης.</w:t>
      </w:r>
    </w:p>
    <w:p w14:paraId="4CAEF1E0" w14:textId="77777777" w:rsidR="00F5696E" w:rsidRPr="00201EA7" w:rsidRDefault="00F5696E" w:rsidP="00F5696E">
      <w:pPr>
        <w:jc w:val="both"/>
        <w:rPr>
          <w:rFonts w:ascii="Verdana" w:hAnsi="Verdana" w:cs="Arial"/>
          <w:spacing w:val="6"/>
          <w:sz w:val="18"/>
          <w:szCs w:val="18"/>
          <w:lang w:val="el-GR"/>
        </w:rPr>
      </w:pPr>
    </w:p>
    <w:p w14:paraId="142E3621" w14:textId="77777777" w:rsidR="00201EA7" w:rsidRPr="00201EA7" w:rsidRDefault="00201EA7" w:rsidP="00F5696E">
      <w:pPr>
        <w:jc w:val="both"/>
        <w:rPr>
          <w:rFonts w:ascii="Verdana" w:hAnsi="Verdana" w:cs="Arial"/>
          <w:sz w:val="18"/>
          <w:szCs w:val="18"/>
          <w:lang w:val="el-GR"/>
        </w:rPr>
      </w:pPr>
      <w:r w:rsidRPr="00201EA7">
        <w:rPr>
          <w:rFonts w:ascii="Verdana" w:hAnsi="Verdana" w:cs="Arial"/>
          <w:b/>
          <w:bCs/>
          <w:sz w:val="18"/>
          <w:szCs w:val="18"/>
          <w:lang w:val="el-GR"/>
        </w:rPr>
        <w:t>Η επιτυχία και η αξιοπιστία της έρευνας βασίζεται στη συνεργασία του κοινού</w:t>
      </w:r>
      <w:r w:rsidRPr="00201EA7">
        <w:rPr>
          <w:rFonts w:ascii="Verdana" w:hAnsi="Verdana" w:cs="Arial"/>
          <w:sz w:val="18"/>
          <w:szCs w:val="18"/>
          <w:lang w:val="el-GR"/>
        </w:rPr>
        <w:t>, γι’ αυτό η Στατιστική Υπηρεσία απευθύνει θερμή έκκληση προς τα νοικοκυριά που έχουν επιλεγεί τυχαία στο δείγμα να</w:t>
      </w:r>
      <w:r w:rsidRPr="00201EA7">
        <w:rPr>
          <w:rFonts w:ascii="Verdana" w:hAnsi="Verdana"/>
          <w:sz w:val="18"/>
          <w:szCs w:val="18"/>
          <w:lang w:val="el-GR"/>
        </w:rPr>
        <w:t xml:space="preserve"> </w:t>
      </w:r>
      <w:r w:rsidRPr="00201EA7">
        <w:rPr>
          <w:rFonts w:ascii="Verdana" w:hAnsi="Verdana" w:cs="Arial"/>
          <w:sz w:val="18"/>
          <w:szCs w:val="18"/>
          <w:lang w:val="el-GR"/>
        </w:rPr>
        <w:t>συνεργαστούν με τους απογραφείς που θα τους επισκεφτούν και να δώσουν όλες τις πληροφορίες που θα ζητηθούν.</w:t>
      </w:r>
    </w:p>
    <w:p w14:paraId="0E2FC438" w14:textId="77777777" w:rsidR="00F5696E" w:rsidRDefault="00F5696E" w:rsidP="00F5696E">
      <w:pPr>
        <w:jc w:val="both"/>
        <w:rPr>
          <w:rFonts w:ascii="Verdana" w:hAnsi="Verdana" w:cs="Arial"/>
          <w:sz w:val="18"/>
          <w:szCs w:val="18"/>
          <w:lang w:val="el-GR"/>
        </w:rPr>
      </w:pPr>
    </w:p>
    <w:p w14:paraId="2AA5B988" w14:textId="7964BC99" w:rsidR="00761E3A" w:rsidRDefault="00201EA7" w:rsidP="000E4CB0">
      <w:pPr>
        <w:jc w:val="both"/>
        <w:rPr>
          <w:rFonts w:ascii="Verdana" w:hAnsi="Verdana" w:cs="Arial"/>
          <w:sz w:val="18"/>
          <w:szCs w:val="18"/>
          <w:lang w:val="el-GR"/>
        </w:rPr>
      </w:pPr>
      <w:r w:rsidRPr="00201EA7">
        <w:rPr>
          <w:rFonts w:ascii="Verdana" w:hAnsi="Verdana" w:cs="Arial"/>
          <w:sz w:val="18"/>
          <w:szCs w:val="18"/>
          <w:lang w:val="el-GR"/>
        </w:rPr>
        <w:t>Για περισσότερες πληροφορίες το κοινό μπορεί να επικοινωνεί με τους υπεύθυνους λειτουργούς της έρευνας στα τηλέφωνα 22602157 και 22605113.</w:t>
      </w:r>
    </w:p>
    <w:sectPr w:rsidR="00761E3A" w:rsidSect="007E1AED">
      <w:headerReference w:type="even" r:id="rId8"/>
      <w:headerReference w:type="default" r:id="rId9"/>
      <w:footerReference w:type="even" r:id="rId10"/>
      <w:footerReference w:type="default" r:id="rId11"/>
      <w:headerReference w:type="first" r:id="rId12"/>
      <w:footerReference w:type="first" r:id="rId13"/>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F1FB" w14:textId="77777777" w:rsidR="00B527A8" w:rsidRDefault="00B527A8" w:rsidP="00FB398F">
      <w:r>
        <w:separator/>
      </w:r>
    </w:p>
  </w:endnote>
  <w:endnote w:type="continuationSeparator" w:id="0">
    <w:p w14:paraId="0E91D2B6" w14:textId="77777777" w:rsidR="00B527A8" w:rsidRDefault="00B527A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33FBF">
      <w:rPr>
        <w:rFonts w:ascii="Arial" w:hAnsi="Arial" w:cs="Arial"/>
        <w:i/>
        <w:iCs/>
        <w:sz w:val="16"/>
        <w:szCs w:val="16"/>
        <w:lang w:val="el-GR"/>
      </w:rPr>
      <w:t>.:  22 602129, 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201EA7">
      <w:rPr>
        <w:lang w:val="el-GR"/>
      </w:rPr>
      <w:instrText xml:space="preserve"> "</w:instrText>
    </w:r>
    <w:r w:rsidR="00000000">
      <w:instrText>mailto</w:instrText>
    </w:r>
    <w:r w:rsidR="00000000" w:rsidRPr="00201EA7">
      <w:rPr>
        <w:lang w:val="el-GR"/>
      </w:rPr>
      <w:instrText>:</w:instrText>
    </w:r>
    <w:r w:rsidR="00000000">
      <w:instrText>enquiries</w:instrText>
    </w:r>
    <w:r w:rsidR="00000000" w:rsidRPr="00201EA7">
      <w:rPr>
        <w:lang w:val="el-GR"/>
      </w:rPr>
      <w:instrText>@</w:instrText>
    </w:r>
    <w:r w:rsidR="00000000">
      <w:instrText>cystat</w:instrText>
    </w:r>
    <w:r w:rsidR="00000000" w:rsidRPr="00201EA7">
      <w:rPr>
        <w:lang w:val="el-GR"/>
      </w:rPr>
      <w:instrText>.</w:instrText>
    </w:r>
    <w:r w:rsidR="00000000">
      <w:instrText>mof</w:instrText>
    </w:r>
    <w:r w:rsidR="00000000" w:rsidRPr="00201EA7">
      <w:rPr>
        <w:lang w:val="el-GR"/>
      </w:rPr>
      <w:instrText>.</w:instrText>
    </w:r>
    <w:r w:rsidR="00000000">
      <w:instrText>gov</w:instrText>
    </w:r>
    <w:r w:rsidR="00000000" w:rsidRPr="00201EA7">
      <w:rPr>
        <w:lang w:val="el-GR"/>
      </w:rPr>
      <w:instrText>.</w:instrText>
    </w:r>
    <w:r w:rsidR="00000000">
      <w:instrText>cy</w:instrText>
    </w:r>
    <w:r w:rsidR="00000000" w:rsidRPr="00201EA7">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E3B7" w14:textId="77777777" w:rsidR="00B527A8" w:rsidRDefault="00B527A8" w:rsidP="00FB398F">
      <w:r>
        <w:separator/>
      </w:r>
    </w:p>
  </w:footnote>
  <w:footnote w:type="continuationSeparator" w:id="0">
    <w:p w14:paraId="719C0ADE" w14:textId="77777777" w:rsidR="00B527A8" w:rsidRDefault="00B527A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C59"/>
    <w:multiLevelType w:val="hybridMultilevel"/>
    <w:tmpl w:val="6E4E00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14C83"/>
    <w:multiLevelType w:val="hybridMultilevel"/>
    <w:tmpl w:val="12DCE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1052CF"/>
    <w:multiLevelType w:val="hybridMultilevel"/>
    <w:tmpl w:val="13C4B3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7"/>
  </w:num>
  <w:num w:numId="2" w16cid:durableId="894270092">
    <w:abstractNumId w:val="2"/>
  </w:num>
  <w:num w:numId="3" w16cid:durableId="593363562">
    <w:abstractNumId w:val="3"/>
  </w:num>
  <w:num w:numId="4" w16cid:durableId="1130973206">
    <w:abstractNumId w:val="4"/>
  </w:num>
  <w:num w:numId="5" w16cid:durableId="994458099">
    <w:abstractNumId w:val="1"/>
  </w:num>
  <w:num w:numId="6" w16cid:durableId="1395081476">
    <w:abstractNumId w:val="8"/>
  </w:num>
  <w:num w:numId="7" w16cid:durableId="148207960">
    <w:abstractNumId w:val="6"/>
  </w:num>
  <w:num w:numId="8" w16cid:durableId="1846944860">
    <w:abstractNumId w:val="5"/>
  </w:num>
  <w:num w:numId="9" w16cid:durableId="44388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1EA7"/>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1E3A"/>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3BFC"/>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27A8"/>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66A2"/>
    <w:rsid w:val="00F44F43"/>
    <w:rsid w:val="00F450E1"/>
    <w:rsid w:val="00F50DF4"/>
    <w:rsid w:val="00F5696E"/>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6</cp:revision>
  <cp:lastPrinted>2016-09-28T08:22:00Z</cp:lastPrinted>
  <dcterms:created xsi:type="dcterms:W3CDTF">2022-06-09T08:07:00Z</dcterms:created>
  <dcterms:modified xsi:type="dcterms:W3CDTF">2023-03-30T08:56:00Z</dcterms:modified>
</cp:coreProperties>
</file>