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521" w14:textId="77777777" w:rsidR="00992F76" w:rsidRDefault="00992F76" w:rsidP="00992F76">
      <w:pPr>
        <w:jc w:val="center"/>
        <w:rPr>
          <w:rFonts w:ascii="Verdana" w:hAnsi="Verdana"/>
          <w:sz w:val="18"/>
          <w:szCs w:val="18"/>
          <w:shd w:val="clear" w:color="auto" w:fill="FFFFFF"/>
        </w:rPr>
      </w:pPr>
    </w:p>
    <w:p w14:paraId="7AE92EE2" w14:textId="77777777" w:rsidR="0073283C" w:rsidRPr="00970856" w:rsidRDefault="0073283C" w:rsidP="00992F76">
      <w:pPr>
        <w:jc w:val="center"/>
        <w:rPr>
          <w:rFonts w:ascii="Verdana" w:hAnsi="Verdana"/>
          <w:sz w:val="18"/>
          <w:szCs w:val="18"/>
          <w:shd w:val="clear" w:color="auto" w:fill="FFFFFF"/>
        </w:rPr>
      </w:pPr>
    </w:p>
    <w:p w14:paraId="5EB88385" w14:textId="1A5B5464" w:rsidR="00992F76" w:rsidRPr="00AC7676" w:rsidRDefault="00992F76" w:rsidP="00992F76">
      <w:pPr>
        <w:tabs>
          <w:tab w:val="center" w:pos="7920"/>
        </w:tabs>
        <w:jc w:val="right"/>
        <w:rPr>
          <w:rFonts w:ascii="Verdana" w:hAnsi="Verdana" w:cs="Arial"/>
          <w:sz w:val="18"/>
          <w:szCs w:val="18"/>
        </w:rPr>
      </w:pPr>
      <w:r>
        <w:rPr>
          <w:rFonts w:ascii="Verdana" w:hAnsi="Verdana" w:cs="Arial"/>
          <w:sz w:val="18"/>
          <w:szCs w:val="18"/>
        </w:rPr>
        <w:t xml:space="preserve">                      </w:t>
      </w:r>
      <w:r w:rsidR="00A258C1">
        <w:rPr>
          <w:rFonts w:ascii="Verdana" w:hAnsi="Verdana" w:cs="Arial"/>
          <w:sz w:val="18"/>
          <w:szCs w:val="18"/>
        </w:rPr>
        <w:t>18</w:t>
      </w:r>
      <w:r w:rsidR="00BB6DB4">
        <w:rPr>
          <w:rFonts w:ascii="Verdana" w:hAnsi="Verdana" w:cs="Arial"/>
          <w:sz w:val="18"/>
          <w:szCs w:val="18"/>
        </w:rPr>
        <w:t xml:space="preserve"> December</w:t>
      </w:r>
      <w:r w:rsidR="003B56D3" w:rsidRPr="00EB2B7C">
        <w:rPr>
          <w:rFonts w:ascii="Verdana" w:hAnsi="Verdana" w:cs="Arial"/>
          <w:sz w:val="18"/>
          <w:szCs w:val="18"/>
        </w:rPr>
        <w:t>,</w:t>
      </w:r>
      <w:r>
        <w:rPr>
          <w:rFonts w:ascii="Verdana" w:hAnsi="Verdana" w:cs="Arial"/>
          <w:sz w:val="18"/>
          <w:szCs w:val="18"/>
        </w:rPr>
        <w:t xml:space="preserve"> 202</w:t>
      </w:r>
      <w:r w:rsidR="00CD7DC1">
        <w:rPr>
          <w:rFonts w:ascii="Verdana" w:hAnsi="Verdana" w:cs="Arial"/>
          <w:sz w:val="18"/>
          <w:szCs w:val="18"/>
        </w:rPr>
        <w:t>5</w:t>
      </w:r>
    </w:p>
    <w:p w14:paraId="679A630D" w14:textId="77777777" w:rsidR="00992F76" w:rsidRDefault="00992F76" w:rsidP="00992F76">
      <w:pPr>
        <w:rPr>
          <w:rFonts w:ascii="Verdana" w:hAnsi="Verdana" w:cs="Arial"/>
          <w:sz w:val="18"/>
          <w:szCs w:val="18"/>
        </w:rPr>
      </w:pPr>
    </w:p>
    <w:p w14:paraId="28D6CC7B" w14:textId="77777777" w:rsidR="00F252A6" w:rsidRDefault="00F252A6" w:rsidP="00992F76">
      <w:pPr>
        <w:rPr>
          <w:rFonts w:ascii="Verdana" w:hAnsi="Verdana" w:cs="Arial"/>
          <w:sz w:val="18"/>
          <w:szCs w:val="18"/>
        </w:rPr>
      </w:pPr>
    </w:p>
    <w:p w14:paraId="536F4D98" w14:textId="77777777" w:rsidR="00F252A6" w:rsidRPr="001A6607" w:rsidRDefault="00F252A6" w:rsidP="00992F76">
      <w:pPr>
        <w:rPr>
          <w:rFonts w:ascii="Verdana" w:hAnsi="Verdana" w:cs="Arial"/>
          <w:sz w:val="18"/>
          <w:szCs w:val="18"/>
        </w:rPr>
      </w:pPr>
    </w:p>
    <w:p w14:paraId="7000A1EC" w14:textId="77777777" w:rsidR="00992F76" w:rsidRDefault="00992F76" w:rsidP="001E307E">
      <w:pPr>
        <w:jc w:val="center"/>
        <w:rPr>
          <w:rFonts w:ascii="Verdana" w:eastAsia="Malgun Gothic" w:hAnsi="Verdana" w:cs="Arial"/>
          <w:b/>
          <w:sz w:val="24"/>
          <w:szCs w:val="24"/>
        </w:rPr>
      </w:pPr>
      <w:r w:rsidRPr="00A23676">
        <w:rPr>
          <w:rFonts w:ascii="Verdana" w:eastAsia="Malgun Gothic" w:hAnsi="Verdana" w:cs="Arial"/>
          <w:b/>
          <w:sz w:val="24"/>
          <w:szCs w:val="24"/>
        </w:rPr>
        <w:t>PRESS RELEASE</w:t>
      </w:r>
    </w:p>
    <w:p w14:paraId="29CA0C99" w14:textId="77777777" w:rsidR="00D86BD1" w:rsidRPr="00A23676" w:rsidRDefault="00D86BD1" w:rsidP="001E307E">
      <w:pPr>
        <w:jc w:val="center"/>
        <w:rPr>
          <w:rFonts w:ascii="Verdana" w:eastAsia="Malgun Gothic" w:hAnsi="Verdana" w:cs="Arial"/>
          <w:b/>
          <w:sz w:val="24"/>
          <w:szCs w:val="24"/>
        </w:rPr>
      </w:pPr>
    </w:p>
    <w:p w14:paraId="266CDD95" w14:textId="6708DD33" w:rsidR="00992F76" w:rsidRPr="007B31B6" w:rsidRDefault="001E307E" w:rsidP="001E307E">
      <w:pPr>
        <w:jc w:val="center"/>
        <w:rPr>
          <w:rFonts w:ascii="Verdana" w:eastAsia="Malgun Gothic" w:hAnsi="Verdana" w:cs="Arial"/>
          <w:b/>
          <w:sz w:val="24"/>
          <w:szCs w:val="24"/>
          <w:u w:val="single"/>
        </w:rPr>
      </w:pPr>
      <w:r w:rsidRPr="007B31B6">
        <w:rPr>
          <w:rFonts w:ascii="Verdana" w:eastAsia="Malgun Gothic" w:hAnsi="Verdana" w:cs="Arial"/>
          <w:b/>
          <w:sz w:val="24"/>
          <w:szCs w:val="24"/>
          <w:u w:val="single"/>
        </w:rPr>
        <w:t>Revision of the House Price Index</w:t>
      </w:r>
    </w:p>
    <w:p w14:paraId="397D5A45" w14:textId="77777777" w:rsidR="00992F76" w:rsidRPr="001D7053" w:rsidRDefault="00992F76" w:rsidP="00992F76">
      <w:pPr>
        <w:pStyle w:val="BodyText3"/>
        <w:spacing w:after="0"/>
        <w:jc w:val="left"/>
        <w:outlineLvl w:val="0"/>
        <w:rPr>
          <w:rFonts w:ascii="Verdana" w:hAnsi="Verdana" w:cs="Arial"/>
          <w:sz w:val="18"/>
          <w:szCs w:val="18"/>
          <w:lang w:val="en-US"/>
        </w:rPr>
      </w:pPr>
    </w:p>
    <w:p w14:paraId="39DBA178" w14:textId="77777777" w:rsidR="00992F76" w:rsidRPr="00DC087F" w:rsidRDefault="00992F76" w:rsidP="00992F76">
      <w:pPr>
        <w:pStyle w:val="BodyText3"/>
        <w:spacing w:after="0"/>
        <w:jc w:val="left"/>
        <w:rPr>
          <w:rFonts w:ascii="Verdana" w:hAnsi="Verdana" w:cs="Arial"/>
          <w:b w:val="0"/>
          <w:sz w:val="18"/>
          <w:szCs w:val="18"/>
          <w:lang w:val="en-US"/>
        </w:rPr>
      </w:pPr>
    </w:p>
    <w:p w14:paraId="3A709061" w14:textId="08275D9B" w:rsidR="00A258C1" w:rsidRDefault="00AE7486" w:rsidP="00FA695E">
      <w:pPr>
        <w:tabs>
          <w:tab w:val="left" w:pos="1080"/>
          <w:tab w:val="left" w:pos="6840"/>
        </w:tabs>
        <w:ind w:right="229"/>
        <w:jc w:val="both"/>
        <w:rPr>
          <w:rFonts w:ascii="Verdana" w:hAnsi="Verdana" w:cs="Arial"/>
          <w:sz w:val="18"/>
          <w:szCs w:val="18"/>
        </w:rPr>
      </w:pPr>
      <w:r w:rsidRPr="00AE7486">
        <w:rPr>
          <w:rFonts w:ascii="Verdana" w:hAnsi="Verdana" w:cs="Arial"/>
          <w:sz w:val="18"/>
          <w:szCs w:val="18"/>
        </w:rPr>
        <w:t>The Statistical Service announces the revision of the quarterly House Price Index (HPI) for the period from 2016 up to the second quarter of 2025</w:t>
      </w:r>
      <w:r w:rsidR="00FC2642">
        <w:rPr>
          <w:rFonts w:ascii="Verdana" w:hAnsi="Verdana" w:cs="Arial"/>
          <w:sz w:val="18"/>
          <w:szCs w:val="18"/>
        </w:rPr>
        <w:t xml:space="preserve">, </w:t>
      </w:r>
      <w:r w:rsidR="00FC2642" w:rsidRPr="00262554">
        <w:rPr>
          <w:rFonts w:ascii="Verdana" w:hAnsi="Verdana" w:cs="Arial"/>
          <w:sz w:val="18"/>
          <w:szCs w:val="18"/>
        </w:rPr>
        <w:t>improving its stability, coherence and accuracy</w:t>
      </w:r>
      <w:r w:rsidRPr="00AE7486">
        <w:rPr>
          <w:rFonts w:ascii="Verdana" w:hAnsi="Verdana" w:cs="Arial"/>
          <w:sz w:val="18"/>
          <w:szCs w:val="18"/>
        </w:rPr>
        <w:t xml:space="preserve">. The revision was deemed necessary, </w:t>
      </w:r>
      <w:r w:rsidR="00A258C1">
        <w:rPr>
          <w:rFonts w:ascii="Verdana" w:hAnsi="Verdana" w:cs="Arial"/>
          <w:sz w:val="18"/>
          <w:szCs w:val="18"/>
        </w:rPr>
        <w:t xml:space="preserve">due to the improvement of </w:t>
      </w:r>
      <w:r w:rsidR="00A258C1" w:rsidRPr="00262554">
        <w:rPr>
          <w:rFonts w:ascii="Verdana" w:hAnsi="Verdana" w:cs="Arial"/>
          <w:sz w:val="18"/>
          <w:szCs w:val="18"/>
        </w:rPr>
        <w:t>quality adjustment process of the HPI</w:t>
      </w:r>
      <w:r w:rsidR="00A258C1">
        <w:rPr>
          <w:rFonts w:ascii="Verdana" w:hAnsi="Verdana" w:cs="Arial"/>
          <w:sz w:val="18"/>
          <w:szCs w:val="18"/>
        </w:rPr>
        <w:t xml:space="preserve">, </w:t>
      </w:r>
      <w:r w:rsidR="00A258C1" w:rsidRPr="00262554">
        <w:rPr>
          <w:rFonts w:ascii="Verdana" w:hAnsi="Verdana" w:cs="Arial"/>
          <w:sz w:val="18"/>
          <w:szCs w:val="18"/>
        </w:rPr>
        <w:t xml:space="preserve">through the updating and inclusion of additional variables in the index compilation methodology. </w:t>
      </w:r>
      <w:r w:rsidR="00A258C1">
        <w:rPr>
          <w:rFonts w:ascii="Verdana" w:hAnsi="Verdana" w:cs="Arial"/>
          <w:sz w:val="18"/>
          <w:szCs w:val="18"/>
        </w:rPr>
        <w:t xml:space="preserve">Additionally, </w:t>
      </w:r>
      <w:r w:rsidR="00A258C1" w:rsidRPr="00AE7486">
        <w:rPr>
          <w:rFonts w:ascii="Verdana" w:hAnsi="Verdana" w:cs="Arial"/>
          <w:sz w:val="18"/>
          <w:szCs w:val="18"/>
        </w:rPr>
        <w:t>richer, more comprehensive and updated microdata from the main administrative data source have been used.</w:t>
      </w:r>
    </w:p>
    <w:p w14:paraId="6E1B9DD4" w14:textId="77777777" w:rsidR="00A258C1" w:rsidRDefault="00A258C1" w:rsidP="00FA695E">
      <w:pPr>
        <w:tabs>
          <w:tab w:val="left" w:pos="1080"/>
          <w:tab w:val="left" w:pos="6840"/>
        </w:tabs>
        <w:ind w:right="229"/>
        <w:jc w:val="both"/>
        <w:rPr>
          <w:rFonts w:ascii="Verdana" w:hAnsi="Verdana" w:cs="Arial"/>
          <w:sz w:val="18"/>
          <w:szCs w:val="18"/>
        </w:rPr>
      </w:pPr>
    </w:p>
    <w:p w14:paraId="244FD7F2" w14:textId="476D2B65" w:rsidR="00A258C1" w:rsidRPr="00A23676" w:rsidRDefault="00A258C1" w:rsidP="00A258C1">
      <w:pPr>
        <w:tabs>
          <w:tab w:val="left" w:pos="1080"/>
          <w:tab w:val="left" w:pos="6840"/>
        </w:tabs>
        <w:ind w:right="229"/>
        <w:jc w:val="both"/>
        <w:rPr>
          <w:rFonts w:ascii="Verdana" w:hAnsi="Verdana" w:cs="Arial"/>
          <w:sz w:val="18"/>
          <w:szCs w:val="18"/>
        </w:rPr>
      </w:pPr>
      <w:r>
        <w:rPr>
          <w:rFonts w:ascii="Verdana" w:hAnsi="Verdana" w:cs="Arial"/>
          <w:sz w:val="18"/>
          <w:szCs w:val="18"/>
        </w:rPr>
        <w:t xml:space="preserve">It should be underlined that, with the revision </w:t>
      </w:r>
      <w:r w:rsidR="001854BD">
        <w:rPr>
          <w:rFonts w:ascii="Verdana" w:hAnsi="Verdana" w:cs="Arial"/>
          <w:sz w:val="18"/>
          <w:szCs w:val="18"/>
        </w:rPr>
        <w:t>of HPI</w:t>
      </w:r>
      <w:r w:rsidR="00C434B6">
        <w:rPr>
          <w:rFonts w:ascii="Verdana" w:hAnsi="Verdana" w:cs="Arial"/>
          <w:sz w:val="18"/>
          <w:szCs w:val="18"/>
        </w:rPr>
        <w:t xml:space="preserve"> greater correlation is achieved </w:t>
      </w:r>
      <w:r w:rsidR="00C434B6" w:rsidRPr="00AE7486">
        <w:rPr>
          <w:rFonts w:ascii="Verdana" w:hAnsi="Verdana" w:cs="Arial"/>
          <w:sz w:val="18"/>
          <w:szCs w:val="18"/>
        </w:rPr>
        <w:t xml:space="preserve">with other related official </w:t>
      </w:r>
      <w:r w:rsidR="00C434B6">
        <w:rPr>
          <w:rFonts w:ascii="Verdana" w:hAnsi="Verdana" w:cs="Arial"/>
          <w:sz w:val="18"/>
          <w:szCs w:val="18"/>
        </w:rPr>
        <w:t>indices</w:t>
      </w:r>
      <w:r w:rsidR="00076942">
        <w:rPr>
          <w:rFonts w:ascii="Verdana" w:hAnsi="Verdana" w:cs="Arial"/>
          <w:sz w:val="18"/>
          <w:szCs w:val="18"/>
        </w:rPr>
        <w:t xml:space="preserve"> of Statistical Service</w:t>
      </w:r>
      <w:r w:rsidR="005C196D">
        <w:rPr>
          <w:rFonts w:ascii="Verdana" w:hAnsi="Verdana" w:cs="Arial"/>
          <w:sz w:val="18"/>
          <w:szCs w:val="18"/>
        </w:rPr>
        <w:t>, while</w:t>
      </w:r>
      <w:r w:rsidR="00C434B6" w:rsidRPr="00AE7486">
        <w:rPr>
          <w:rFonts w:ascii="Verdana" w:hAnsi="Verdana" w:cs="Arial"/>
          <w:sz w:val="18"/>
          <w:szCs w:val="18"/>
        </w:rPr>
        <w:t xml:space="preserve"> the evolution of the real estate market over the last decade</w:t>
      </w:r>
      <w:r w:rsidR="005C196D">
        <w:rPr>
          <w:rFonts w:ascii="Verdana" w:hAnsi="Verdana" w:cs="Arial"/>
          <w:sz w:val="18"/>
          <w:szCs w:val="18"/>
        </w:rPr>
        <w:t xml:space="preserve"> is better reflected</w:t>
      </w:r>
      <w:r w:rsidR="00C434B6" w:rsidRPr="00AE7486">
        <w:rPr>
          <w:rFonts w:ascii="Verdana" w:hAnsi="Verdana" w:cs="Arial"/>
          <w:sz w:val="18"/>
          <w:szCs w:val="18"/>
        </w:rPr>
        <w:t>.</w:t>
      </w:r>
      <w:r w:rsidR="0025790D">
        <w:rPr>
          <w:rFonts w:ascii="Verdana" w:hAnsi="Verdana" w:cs="Arial"/>
          <w:sz w:val="18"/>
          <w:szCs w:val="18"/>
        </w:rPr>
        <w:t xml:space="preserve"> More information for the compilation methodology of HPI is available in</w:t>
      </w:r>
      <w:r w:rsidR="00FC2642">
        <w:rPr>
          <w:rFonts w:ascii="Verdana" w:hAnsi="Verdana" w:cs="Arial"/>
          <w:sz w:val="18"/>
          <w:szCs w:val="18"/>
        </w:rPr>
        <w:t xml:space="preserve"> the section</w:t>
      </w:r>
      <w:r w:rsidR="0025790D">
        <w:rPr>
          <w:rFonts w:ascii="Verdana" w:hAnsi="Verdana" w:cs="Arial"/>
          <w:sz w:val="18"/>
          <w:szCs w:val="18"/>
        </w:rPr>
        <w:t xml:space="preserve"> METHODOLOGICAL INFORMATION.</w:t>
      </w:r>
    </w:p>
    <w:p w14:paraId="261C1F94" w14:textId="77777777" w:rsidR="00A258C1" w:rsidRPr="00A23676" w:rsidRDefault="00A258C1" w:rsidP="00A258C1">
      <w:pPr>
        <w:tabs>
          <w:tab w:val="left" w:pos="1080"/>
          <w:tab w:val="left" w:pos="6840"/>
        </w:tabs>
        <w:ind w:right="229"/>
        <w:jc w:val="both"/>
        <w:rPr>
          <w:rFonts w:ascii="Verdana" w:hAnsi="Verdana" w:cs="Arial"/>
          <w:sz w:val="18"/>
          <w:szCs w:val="18"/>
        </w:rPr>
      </w:pPr>
    </w:p>
    <w:p w14:paraId="6CA006ED" w14:textId="139E4F30" w:rsidR="00262554" w:rsidRPr="00262554" w:rsidRDefault="00262554" w:rsidP="00FA695E">
      <w:pPr>
        <w:tabs>
          <w:tab w:val="left" w:pos="1080"/>
          <w:tab w:val="left" w:pos="6840"/>
        </w:tabs>
        <w:ind w:right="229"/>
        <w:jc w:val="both"/>
        <w:rPr>
          <w:rFonts w:ascii="Verdana" w:hAnsi="Verdana" w:cs="Arial"/>
          <w:sz w:val="18"/>
          <w:szCs w:val="18"/>
        </w:rPr>
      </w:pPr>
      <w:r w:rsidRPr="00262554">
        <w:rPr>
          <w:rFonts w:ascii="Verdana" w:hAnsi="Verdana" w:cs="Arial"/>
          <w:sz w:val="18"/>
          <w:szCs w:val="18"/>
        </w:rPr>
        <w:t>As a result of the revision, the HPI for the second quarter of 2025 is estimated at 147,24 index points. Compared with the first quarter of 2025, the HPI decreased by 1,9%, while compared with the corresponding quarter of 2024 it increased by 2,7%.</w:t>
      </w:r>
    </w:p>
    <w:p w14:paraId="679869C3" w14:textId="77777777" w:rsidR="00262554" w:rsidRPr="00262554" w:rsidRDefault="00262554" w:rsidP="00FA695E">
      <w:pPr>
        <w:tabs>
          <w:tab w:val="left" w:pos="1080"/>
          <w:tab w:val="left" w:pos="6840"/>
        </w:tabs>
        <w:ind w:right="229"/>
        <w:jc w:val="both"/>
        <w:rPr>
          <w:rFonts w:ascii="Verdana" w:hAnsi="Verdana" w:cs="Arial"/>
          <w:sz w:val="18"/>
          <w:szCs w:val="18"/>
        </w:rPr>
      </w:pPr>
    </w:p>
    <w:p w14:paraId="5236AE7A" w14:textId="77777777" w:rsidR="00262554" w:rsidRPr="00262554" w:rsidRDefault="00262554" w:rsidP="00FA695E">
      <w:pPr>
        <w:tabs>
          <w:tab w:val="left" w:pos="1080"/>
          <w:tab w:val="left" w:pos="6840"/>
        </w:tabs>
        <w:ind w:right="229"/>
        <w:jc w:val="both"/>
        <w:rPr>
          <w:rFonts w:ascii="Verdana" w:hAnsi="Verdana" w:cs="Arial"/>
          <w:sz w:val="18"/>
          <w:szCs w:val="18"/>
        </w:rPr>
      </w:pPr>
      <w:r w:rsidRPr="00262554">
        <w:rPr>
          <w:rFonts w:ascii="Verdana" w:hAnsi="Verdana" w:cs="Arial"/>
          <w:sz w:val="18"/>
          <w:szCs w:val="18"/>
        </w:rPr>
        <w:t>The evolution of the index for the period from the second quarter of 2024 to the second quarter of 2025, as well as the quarterly and annual percentage changes, are presented in the table below.</w:t>
      </w:r>
    </w:p>
    <w:p w14:paraId="0489AB50" w14:textId="77777777" w:rsidR="00992F76" w:rsidRPr="00262554" w:rsidRDefault="00992F76" w:rsidP="00992F76">
      <w:pPr>
        <w:tabs>
          <w:tab w:val="left" w:pos="1080"/>
          <w:tab w:val="left" w:pos="6840"/>
        </w:tabs>
        <w:ind w:right="229"/>
        <w:rPr>
          <w:rFonts w:ascii="Verdana" w:hAnsi="Verdana" w:cs="Arial"/>
          <w:sz w:val="18"/>
          <w:szCs w:val="18"/>
        </w:rPr>
      </w:pPr>
    </w:p>
    <w:p w14:paraId="307DC234" w14:textId="77777777" w:rsidR="00F252A6" w:rsidRPr="00100EBB" w:rsidRDefault="00F252A6" w:rsidP="00992F76">
      <w:pPr>
        <w:tabs>
          <w:tab w:val="left" w:pos="1080"/>
          <w:tab w:val="left" w:pos="6840"/>
        </w:tabs>
        <w:ind w:right="229"/>
        <w:rPr>
          <w:rFonts w:ascii="Verdana" w:hAnsi="Verdana" w:cs="Arial"/>
          <w:sz w:val="18"/>
          <w:szCs w:val="18"/>
        </w:rPr>
      </w:pP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936958" w:rsidRPr="00936958" w14:paraId="55678D6A" w14:textId="77777777" w:rsidTr="00936958">
        <w:trPr>
          <w:trHeight w:hRule="exact" w:val="340"/>
        </w:trPr>
        <w:tc>
          <w:tcPr>
            <w:tcW w:w="3858" w:type="dxa"/>
            <w:tcBorders>
              <w:top w:val="nil"/>
              <w:left w:val="nil"/>
              <w:bottom w:val="single" w:sz="4" w:space="0" w:color="366092"/>
              <w:right w:val="nil"/>
            </w:tcBorders>
            <w:vAlign w:val="bottom"/>
          </w:tcPr>
          <w:p w14:paraId="639009D3" w14:textId="77777777" w:rsidR="00F252A6" w:rsidRPr="00936958" w:rsidRDefault="00F252A6" w:rsidP="002F4DCD">
            <w:pPr>
              <w:spacing w:after="60"/>
              <w:rPr>
                <w:rFonts w:ascii="Verdana" w:hAnsi="Verdana" w:cs="Arial"/>
                <w:b/>
                <w:color w:val="366092"/>
                <w:sz w:val="18"/>
                <w:szCs w:val="18"/>
              </w:rPr>
            </w:pPr>
            <w:r w:rsidRPr="00936958">
              <w:rPr>
                <w:rFonts w:ascii="Verdana" w:hAnsi="Verdana" w:cs="Arial"/>
                <w:b/>
                <w:color w:val="366092"/>
                <w:sz w:val="18"/>
                <w:szCs w:val="18"/>
              </w:rPr>
              <w:t>Table</w:t>
            </w:r>
          </w:p>
        </w:tc>
        <w:tc>
          <w:tcPr>
            <w:tcW w:w="1144" w:type="dxa"/>
            <w:tcBorders>
              <w:top w:val="nil"/>
              <w:left w:val="nil"/>
              <w:bottom w:val="single" w:sz="4" w:space="0" w:color="366092"/>
              <w:right w:val="nil"/>
            </w:tcBorders>
            <w:vAlign w:val="center"/>
          </w:tcPr>
          <w:p w14:paraId="27D5C1B0" w14:textId="77777777" w:rsidR="00F252A6" w:rsidRPr="00936958"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4E745534" w14:textId="77777777" w:rsidR="00F252A6" w:rsidRPr="00936958"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5FF584AE" w14:textId="77777777" w:rsidR="00F252A6" w:rsidRPr="00936958"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68EFEA6A" w14:textId="77777777" w:rsidR="00F252A6" w:rsidRPr="00936958"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5700D13A" w14:textId="77777777" w:rsidR="00F252A6" w:rsidRPr="00936958" w:rsidRDefault="00F252A6" w:rsidP="002F4DCD">
            <w:pPr>
              <w:spacing w:after="60"/>
              <w:jc w:val="center"/>
              <w:rPr>
                <w:rFonts w:ascii="Verdana" w:hAnsi="Verdana" w:cs="Arial"/>
                <w:b/>
                <w:color w:val="366092"/>
                <w:sz w:val="18"/>
                <w:szCs w:val="18"/>
              </w:rPr>
            </w:pPr>
          </w:p>
        </w:tc>
      </w:tr>
      <w:tr w:rsidR="00936958" w:rsidRPr="00936958" w14:paraId="248D9F8E" w14:textId="77777777" w:rsidTr="00936958">
        <w:trPr>
          <w:trHeight w:val="447"/>
        </w:trPr>
        <w:tc>
          <w:tcPr>
            <w:tcW w:w="3858" w:type="dxa"/>
            <w:tcBorders>
              <w:top w:val="single" w:sz="4" w:space="0" w:color="366092"/>
              <w:left w:val="nil"/>
              <w:bottom w:val="single" w:sz="4" w:space="0" w:color="366092"/>
              <w:right w:val="nil"/>
            </w:tcBorders>
            <w:vAlign w:val="center"/>
          </w:tcPr>
          <w:p w14:paraId="00A8F234" w14:textId="77777777" w:rsidR="00595BC6" w:rsidRPr="00936958" w:rsidRDefault="00595BC6" w:rsidP="00595BC6">
            <w:pPr>
              <w:spacing w:after="60"/>
              <w:rPr>
                <w:rFonts w:ascii="Verdana" w:hAnsi="Verdana" w:cs="Arial"/>
                <w:b/>
                <w:color w:val="366092"/>
                <w:sz w:val="18"/>
                <w:szCs w:val="18"/>
              </w:rPr>
            </w:pPr>
          </w:p>
        </w:tc>
        <w:tc>
          <w:tcPr>
            <w:tcW w:w="1144" w:type="dxa"/>
            <w:tcBorders>
              <w:top w:val="single" w:sz="4" w:space="0" w:color="366092"/>
              <w:left w:val="nil"/>
              <w:bottom w:val="single" w:sz="4" w:space="0" w:color="366092"/>
              <w:right w:val="nil"/>
            </w:tcBorders>
            <w:vAlign w:val="center"/>
          </w:tcPr>
          <w:p w14:paraId="5ACE1D5C" w14:textId="77777777"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Q2</w:t>
            </w:r>
          </w:p>
          <w:p w14:paraId="4A798559" w14:textId="30493840"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2024</w:t>
            </w:r>
          </w:p>
        </w:tc>
        <w:tc>
          <w:tcPr>
            <w:tcW w:w="1145" w:type="dxa"/>
            <w:tcBorders>
              <w:top w:val="single" w:sz="4" w:space="0" w:color="366092"/>
              <w:left w:val="nil"/>
              <w:bottom w:val="single" w:sz="4" w:space="0" w:color="366092"/>
              <w:right w:val="nil"/>
            </w:tcBorders>
            <w:vAlign w:val="center"/>
          </w:tcPr>
          <w:p w14:paraId="05F4F2FD" w14:textId="77777777"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Q3</w:t>
            </w:r>
          </w:p>
          <w:p w14:paraId="3FF5A1D1" w14:textId="211A915B"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2024</w:t>
            </w:r>
          </w:p>
        </w:tc>
        <w:tc>
          <w:tcPr>
            <w:tcW w:w="1145" w:type="dxa"/>
            <w:tcBorders>
              <w:top w:val="single" w:sz="4" w:space="0" w:color="366092"/>
              <w:left w:val="nil"/>
              <w:bottom w:val="single" w:sz="4" w:space="0" w:color="366092"/>
              <w:right w:val="nil"/>
            </w:tcBorders>
            <w:vAlign w:val="center"/>
          </w:tcPr>
          <w:p w14:paraId="260EF410" w14:textId="77777777"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Q4</w:t>
            </w:r>
          </w:p>
          <w:p w14:paraId="34B556E1" w14:textId="26B5E381"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2024</w:t>
            </w:r>
          </w:p>
        </w:tc>
        <w:tc>
          <w:tcPr>
            <w:tcW w:w="1145" w:type="dxa"/>
            <w:tcBorders>
              <w:top w:val="single" w:sz="4" w:space="0" w:color="366092"/>
              <w:left w:val="nil"/>
              <w:bottom w:val="single" w:sz="4" w:space="0" w:color="366092"/>
              <w:right w:val="nil"/>
            </w:tcBorders>
            <w:vAlign w:val="center"/>
          </w:tcPr>
          <w:p w14:paraId="43C2C237" w14:textId="77777777" w:rsidR="00595BC6" w:rsidRPr="00936958" w:rsidRDefault="00595BC6" w:rsidP="00595BC6">
            <w:pPr>
              <w:spacing w:after="60"/>
              <w:jc w:val="center"/>
              <w:rPr>
                <w:rFonts w:ascii="Verdana" w:hAnsi="Verdana" w:cs="Arial"/>
                <w:b/>
                <w:color w:val="366092"/>
                <w:sz w:val="18"/>
                <w:szCs w:val="18"/>
                <w:lang w:val="el-GR"/>
              </w:rPr>
            </w:pPr>
            <w:r w:rsidRPr="00936958">
              <w:rPr>
                <w:rFonts w:ascii="Verdana" w:hAnsi="Verdana" w:cs="Arial"/>
                <w:b/>
                <w:color w:val="366092"/>
                <w:sz w:val="18"/>
                <w:szCs w:val="18"/>
              </w:rPr>
              <w:t>Q</w:t>
            </w:r>
            <w:r w:rsidRPr="00936958">
              <w:rPr>
                <w:rFonts w:ascii="Verdana" w:hAnsi="Verdana" w:cs="Arial"/>
                <w:b/>
                <w:color w:val="366092"/>
                <w:sz w:val="18"/>
                <w:szCs w:val="18"/>
                <w:lang w:val="el-GR"/>
              </w:rPr>
              <w:t>1</w:t>
            </w:r>
          </w:p>
          <w:p w14:paraId="50EDF863" w14:textId="21A18575" w:rsidR="00595BC6" w:rsidRPr="00936958" w:rsidRDefault="00595BC6" w:rsidP="00595BC6">
            <w:pPr>
              <w:spacing w:after="60"/>
              <w:jc w:val="center"/>
              <w:rPr>
                <w:rFonts w:ascii="Verdana" w:hAnsi="Verdana" w:cs="Arial"/>
                <w:b/>
                <w:color w:val="366092"/>
                <w:sz w:val="18"/>
                <w:szCs w:val="18"/>
              </w:rPr>
            </w:pPr>
            <w:r w:rsidRPr="00936958">
              <w:rPr>
                <w:rFonts w:ascii="Verdana" w:hAnsi="Verdana" w:cs="Arial"/>
                <w:b/>
                <w:color w:val="366092"/>
                <w:sz w:val="18"/>
                <w:szCs w:val="18"/>
              </w:rPr>
              <w:t>202</w:t>
            </w:r>
            <w:r w:rsidRPr="00936958">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545EC51B" w14:textId="41B19F44" w:rsidR="00595BC6" w:rsidRPr="00936958" w:rsidRDefault="00595BC6" w:rsidP="00595BC6">
            <w:pPr>
              <w:spacing w:after="60"/>
              <w:jc w:val="center"/>
              <w:rPr>
                <w:rFonts w:ascii="Verdana" w:hAnsi="Verdana" w:cs="Arial"/>
                <w:b/>
                <w:color w:val="366092"/>
                <w:sz w:val="18"/>
                <w:szCs w:val="18"/>
                <w:lang w:val="el-GR"/>
              </w:rPr>
            </w:pPr>
            <w:r w:rsidRPr="00936958">
              <w:rPr>
                <w:rFonts w:ascii="Verdana" w:hAnsi="Verdana" w:cs="Arial"/>
                <w:b/>
                <w:color w:val="366092"/>
                <w:sz w:val="18"/>
                <w:szCs w:val="18"/>
              </w:rPr>
              <w:t>Q2</w:t>
            </w:r>
          </w:p>
          <w:p w14:paraId="52BC802A" w14:textId="7997F1D9" w:rsidR="00595BC6" w:rsidRPr="00936958" w:rsidRDefault="00595BC6" w:rsidP="00595BC6">
            <w:pPr>
              <w:spacing w:after="60"/>
              <w:jc w:val="center"/>
              <w:rPr>
                <w:rFonts w:ascii="Verdana" w:hAnsi="Verdana" w:cs="Arial"/>
                <w:b/>
                <w:color w:val="366092"/>
                <w:sz w:val="18"/>
                <w:szCs w:val="18"/>
                <w:lang w:val="el-GR"/>
              </w:rPr>
            </w:pPr>
            <w:r w:rsidRPr="00936958">
              <w:rPr>
                <w:rFonts w:ascii="Verdana" w:hAnsi="Verdana" w:cs="Arial"/>
                <w:b/>
                <w:color w:val="366092"/>
                <w:sz w:val="18"/>
                <w:szCs w:val="18"/>
              </w:rPr>
              <w:t>202</w:t>
            </w:r>
            <w:r w:rsidRPr="00936958">
              <w:rPr>
                <w:rFonts w:ascii="Verdana" w:hAnsi="Verdana" w:cs="Arial"/>
                <w:b/>
                <w:color w:val="366092"/>
                <w:sz w:val="18"/>
                <w:szCs w:val="18"/>
                <w:lang w:val="el-GR"/>
              </w:rPr>
              <w:t>5</w:t>
            </w:r>
          </w:p>
        </w:tc>
      </w:tr>
      <w:tr w:rsidR="00936958" w:rsidRPr="00936958" w14:paraId="6C32AF55" w14:textId="77777777" w:rsidTr="00936958">
        <w:trPr>
          <w:trHeight w:val="533"/>
        </w:trPr>
        <w:tc>
          <w:tcPr>
            <w:tcW w:w="3858" w:type="dxa"/>
            <w:tcBorders>
              <w:top w:val="single" w:sz="4" w:space="0" w:color="366092"/>
              <w:left w:val="nil"/>
              <w:bottom w:val="nil"/>
              <w:right w:val="nil"/>
            </w:tcBorders>
            <w:vAlign w:val="center"/>
          </w:tcPr>
          <w:p w14:paraId="682ECB52" w14:textId="17883F96" w:rsidR="009623F6" w:rsidRPr="00936958" w:rsidRDefault="009623F6" w:rsidP="009623F6">
            <w:pPr>
              <w:spacing w:after="60"/>
              <w:ind w:right="-108"/>
              <w:rPr>
                <w:rFonts w:ascii="Verdana" w:hAnsi="Verdana" w:cs="Arial"/>
                <w:b/>
                <w:color w:val="366092"/>
                <w:sz w:val="18"/>
                <w:szCs w:val="18"/>
                <w:lang w:val="el-GR"/>
              </w:rPr>
            </w:pPr>
            <w:r w:rsidRPr="00936958">
              <w:rPr>
                <w:rFonts w:ascii="Verdana" w:hAnsi="Verdana" w:cs="Arial"/>
                <w:b/>
                <w:color w:val="366092"/>
                <w:sz w:val="18"/>
                <w:szCs w:val="18"/>
              </w:rPr>
              <w:t>HPI (</w:t>
            </w:r>
            <w:r w:rsidRPr="00936958">
              <w:rPr>
                <w:rFonts w:ascii="Verdana" w:hAnsi="Verdana" w:cs="Arial"/>
                <w:b/>
                <w:color w:val="366092"/>
                <w:sz w:val="18"/>
                <w:szCs w:val="18"/>
                <w:lang w:val="el-GR"/>
              </w:rPr>
              <w:t>201</w:t>
            </w:r>
            <w:r w:rsidRPr="00936958">
              <w:rPr>
                <w:rFonts w:ascii="Verdana" w:hAnsi="Verdana" w:cs="Arial"/>
                <w:b/>
                <w:color w:val="366092"/>
                <w:sz w:val="18"/>
                <w:szCs w:val="18"/>
              </w:rPr>
              <w:t>5</w:t>
            </w:r>
            <w:r w:rsidRPr="00936958">
              <w:rPr>
                <w:rFonts w:ascii="Verdana" w:hAnsi="Verdana" w:cs="Arial"/>
                <w:b/>
                <w:color w:val="366092"/>
                <w:sz w:val="18"/>
                <w:szCs w:val="18"/>
                <w:lang w:val="el-GR"/>
              </w:rPr>
              <w:t>=100)</w:t>
            </w:r>
          </w:p>
        </w:tc>
        <w:tc>
          <w:tcPr>
            <w:tcW w:w="1144" w:type="dxa"/>
            <w:tcBorders>
              <w:top w:val="single" w:sz="4" w:space="0" w:color="366092"/>
              <w:left w:val="nil"/>
              <w:bottom w:val="nil"/>
              <w:right w:val="nil"/>
            </w:tcBorders>
            <w:vAlign w:val="center"/>
          </w:tcPr>
          <w:p w14:paraId="663B0697" w14:textId="4FA4B089"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rPr>
              <w:t>1</w:t>
            </w:r>
            <w:r w:rsidRPr="00936958">
              <w:rPr>
                <w:rFonts w:ascii="Verdana" w:hAnsi="Verdana" w:cs="Arial"/>
                <w:color w:val="366092"/>
                <w:sz w:val="18"/>
                <w:szCs w:val="18"/>
                <w:lang w:val="el-GR"/>
              </w:rPr>
              <w:t>43</w:t>
            </w:r>
            <w:r w:rsidRPr="00936958">
              <w:rPr>
                <w:rFonts w:ascii="Verdana" w:hAnsi="Verdana" w:cs="Arial"/>
                <w:color w:val="366092"/>
                <w:sz w:val="18"/>
                <w:szCs w:val="18"/>
              </w:rPr>
              <w:t>,</w:t>
            </w:r>
            <w:r w:rsidRPr="00936958">
              <w:rPr>
                <w:rFonts w:ascii="Verdana" w:hAnsi="Verdana" w:cs="Arial"/>
                <w:color w:val="366092"/>
                <w:sz w:val="18"/>
                <w:szCs w:val="18"/>
                <w:lang w:val="el-GR"/>
              </w:rPr>
              <w:t>34</w:t>
            </w:r>
          </w:p>
        </w:tc>
        <w:tc>
          <w:tcPr>
            <w:tcW w:w="1145" w:type="dxa"/>
            <w:tcBorders>
              <w:top w:val="single" w:sz="4" w:space="0" w:color="366092"/>
              <w:left w:val="nil"/>
              <w:bottom w:val="nil"/>
              <w:right w:val="nil"/>
            </w:tcBorders>
            <w:vAlign w:val="center"/>
          </w:tcPr>
          <w:p w14:paraId="0178CE16" w14:textId="5BEAFCAF"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rPr>
              <w:t>1</w:t>
            </w:r>
            <w:r w:rsidRPr="00936958">
              <w:rPr>
                <w:rFonts w:ascii="Verdana" w:hAnsi="Verdana" w:cs="Arial"/>
                <w:color w:val="366092"/>
                <w:sz w:val="18"/>
                <w:szCs w:val="18"/>
                <w:lang w:val="el-GR"/>
              </w:rPr>
              <w:t>46</w:t>
            </w:r>
            <w:r w:rsidRPr="00936958">
              <w:rPr>
                <w:rFonts w:ascii="Verdana" w:hAnsi="Verdana" w:cs="Arial"/>
                <w:color w:val="366092"/>
                <w:sz w:val="18"/>
                <w:szCs w:val="18"/>
              </w:rPr>
              <w:t>,</w:t>
            </w:r>
            <w:r w:rsidRPr="00936958">
              <w:rPr>
                <w:rFonts w:ascii="Verdana" w:hAnsi="Verdana" w:cs="Arial"/>
                <w:color w:val="366092"/>
                <w:sz w:val="18"/>
                <w:szCs w:val="18"/>
                <w:lang w:val="el-GR"/>
              </w:rPr>
              <w:t>76</w:t>
            </w:r>
          </w:p>
        </w:tc>
        <w:tc>
          <w:tcPr>
            <w:tcW w:w="1145" w:type="dxa"/>
            <w:tcBorders>
              <w:top w:val="single" w:sz="4" w:space="0" w:color="366092"/>
              <w:left w:val="nil"/>
              <w:bottom w:val="nil"/>
              <w:right w:val="nil"/>
            </w:tcBorders>
            <w:vAlign w:val="center"/>
          </w:tcPr>
          <w:p w14:paraId="1286E5CE" w14:textId="71D769BA" w:rsidR="009623F6" w:rsidRPr="00936958" w:rsidRDefault="009623F6" w:rsidP="009623F6">
            <w:pPr>
              <w:ind w:right="227"/>
              <w:jc w:val="right"/>
              <w:rPr>
                <w:rFonts w:ascii="Verdana" w:hAnsi="Verdana" w:cs="Arial"/>
                <w:color w:val="366092"/>
                <w:sz w:val="18"/>
                <w:szCs w:val="18"/>
              </w:rPr>
            </w:pPr>
            <w:r w:rsidRPr="00936958">
              <w:rPr>
                <w:rFonts w:ascii="Verdana" w:hAnsi="Verdana" w:cs="Arial"/>
                <w:color w:val="366092"/>
                <w:sz w:val="18"/>
                <w:szCs w:val="18"/>
              </w:rPr>
              <w:t>1</w:t>
            </w:r>
            <w:r w:rsidRPr="00936958">
              <w:rPr>
                <w:rFonts w:ascii="Verdana" w:hAnsi="Verdana" w:cs="Arial"/>
                <w:color w:val="366092"/>
                <w:sz w:val="18"/>
                <w:szCs w:val="18"/>
                <w:lang w:val="el-GR"/>
              </w:rPr>
              <w:t>44</w:t>
            </w:r>
            <w:r w:rsidRPr="00936958">
              <w:rPr>
                <w:rFonts w:ascii="Verdana" w:hAnsi="Verdana" w:cs="Arial"/>
                <w:color w:val="366092"/>
                <w:sz w:val="18"/>
                <w:szCs w:val="18"/>
              </w:rPr>
              <w:t>,</w:t>
            </w:r>
            <w:r w:rsidRPr="00936958">
              <w:rPr>
                <w:rFonts w:ascii="Verdana" w:hAnsi="Verdana" w:cs="Arial"/>
                <w:color w:val="366092"/>
                <w:sz w:val="18"/>
                <w:szCs w:val="18"/>
                <w:lang w:val="el-GR"/>
              </w:rPr>
              <w:t>20</w:t>
            </w:r>
          </w:p>
        </w:tc>
        <w:tc>
          <w:tcPr>
            <w:tcW w:w="1145" w:type="dxa"/>
            <w:tcBorders>
              <w:top w:val="single" w:sz="4" w:space="0" w:color="366092"/>
              <w:left w:val="nil"/>
              <w:bottom w:val="nil"/>
              <w:right w:val="nil"/>
            </w:tcBorders>
            <w:vAlign w:val="center"/>
          </w:tcPr>
          <w:p w14:paraId="5C2AD213" w14:textId="4AB5BDD5"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rPr>
              <w:t>1</w:t>
            </w:r>
            <w:r w:rsidRPr="00936958">
              <w:rPr>
                <w:rFonts w:ascii="Verdana" w:hAnsi="Verdana" w:cs="Arial"/>
                <w:color w:val="366092"/>
                <w:sz w:val="18"/>
                <w:szCs w:val="18"/>
                <w:lang w:val="el-GR"/>
              </w:rPr>
              <w:t>50</w:t>
            </w:r>
            <w:r w:rsidRPr="00936958">
              <w:rPr>
                <w:rFonts w:ascii="Verdana" w:hAnsi="Verdana" w:cs="Arial"/>
                <w:color w:val="366092"/>
                <w:sz w:val="18"/>
                <w:szCs w:val="18"/>
              </w:rPr>
              <w:t>,</w:t>
            </w:r>
            <w:r w:rsidRPr="00936958">
              <w:rPr>
                <w:rFonts w:ascii="Verdana" w:hAnsi="Verdana" w:cs="Arial"/>
                <w:color w:val="366092"/>
                <w:sz w:val="18"/>
                <w:szCs w:val="18"/>
                <w:lang w:val="el-GR"/>
              </w:rPr>
              <w:t>04</w:t>
            </w:r>
          </w:p>
        </w:tc>
        <w:tc>
          <w:tcPr>
            <w:tcW w:w="1145" w:type="dxa"/>
            <w:tcBorders>
              <w:top w:val="single" w:sz="4" w:space="0" w:color="366092"/>
              <w:left w:val="nil"/>
              <w:bottom w:val="nil"/>
              <w:right w:val="nil"/>
            </w:tcBorders>
            <w:vAlign w:val="center"/>
          </w:tcPr>
          <w:p w14:paraId="71C9F7C2" w14:textId="795DDA2A" w:rsidR="009623F6" w:rsidRPr="00936958" w:rsidRDefault="009623F6" w:rsidP="009623F6">
            <w:pPr>
              <w:ind w:right="227"/>
              <w:jc w:val="right"/>
              <w:rPr>
                <w:rFonts w:ascii="Verdana" w:hAnsi="Verdana" w:cs="Arial"/>
                <w:color w:val="366092"/>
                <w:sz w:val="18"/>
                <w:szCs w:val="18"/>
              </w:rPr>
            </w:pPr>
            <w:r w:rsidRPr="00936958">
              <w:rPr>
                <w:rFonts w:ascii="Verdana" w:hAnsi="Verdana" w:cs="Arial"/>
                <w:color w:val="366092"/>
                <w:sz w:val="18"/>
                <w:szCs w:val="18"/>
              </w:rPr>
              <w:t>1</w:t>
            </w:r>
            <w:r w:rsidRPr="00936958">
              <w:rPr>
                <w:rFonts w:ascii="Verdana" w:hAnsi="Verdana" w:cs="Arial"/>
                <w:color w:val="366092"/>
                <w:sz w:val="18"/>
                <w:szCs w:val="18"/>
                <w:lang w:val="el-GR"/>
              </w:rPr>
              <w:t>47</w:t>
            </w:r>
            <w:r w:rsidRPr="00936958">
              <w:rPr>
                <w:rFonts w:ascii="Verdana" w:hAnsi="Verdana" w:cs="Arial"/>
                <w:color w:val="366092"/>
                <w:sz w:val="18"/>
                <w:szCs w:val="18"/>
              </w:rPr>
              <w:t>,</w:t>
            </w:r>
            <w:r w:rsidRPr="00936958">
              <w:rPr>
                <w:rFonts w:ascii="Verdana" w:hAnsi="Verdana" w:cs="Arial"/>
                <w:color w:val="366092"/>
                <w:sz w:val="18"/>
                <w:szCs w:val="18"/>
                <w:lang w:val="el-GR"/>
              </w:rPr>
              <w:t>24</w:t>
            </w:r>
          </w:p>
        </w:tc>
      </w:tr>
      <w:tr w:rsidR="00936958" w:rsidRPr="00936958" w14:paraId="7E849B2F" w14:textId="77777777" w:rsidTr="00936958">
        <w:trPr>
          <w:trHeight w:val="543"/>
        </w:trPr>
        <w:tc>
          <w:tcPr>
            <w:tcW w:w="3858" w:type="dxa"/>
            <w:tcBorders>
              <w:top w:val="nil"/>
              <w:left w:val="nil"/>
              <w:bottom w:val="nil"/>
              <w:right w:val="nil"/>
            </w:tcBorders>
            <w:vAlign w:val="center"/>
          </w:tcPr>
          <w:p w14:paraId="6F7D3268" w14:textId="77777777" w:rsidR="009623F6" w:rsidRPr="00936958" w:rsidRDefault="009623F6" w:rsidP="009623F6">
            <w:pPr>
              <w:spacing w:after="60"/>
              <w:rPr>
                <w:rFonts w:ascii="Verdana" w:hAnsi="Verdana" w:cs="Arial"/>
                <w:b/>
                <w:color w:val="366092"/>
                <w:sz w:val="18"/>
                <w:szCs w:val="18"/>
              </w:rPr>
            </w:pPr>
            <w:r w:rsidRPr="00936958">
              <w:rPr>
                <w:rFonts w:ascii="Verdana" w:hAnsi="Verdana" w:cs="Arial"/>
                <w:b/>
                <w:color w:val="366092"/>
                <w:sz w:val="18"/>
                <w:szCs w:val="18"/>
              </w:rPr>
              <w:t xml:space="preserve">Quarterly change </w:t>
            </w:r>
            <w:r w:rsidRPr="00936958">
              <w:rPr>
                <w:rFonts w:ascii="Verdana" w:hAnsi="Verdana" w:cs="Arial"/>
                <w:b/>
                <w:color w:val="366092"/>
                <w:sz w:val="18"/>
                <w:szCs w:val="18"/>
                <w:lang w:val="el-GR"/>
              </w:rPr>
              <w:t>(%)</w:t>
            </w:r>
          </w:p>
        </w:tc>
        <w:tc>
          <w:tcPr>
            <w:tcW w:w="1144" w:type="dxa"/>
            <w:tcBorders>
              <w:top w:val="nil"/>
              <w:left w:val="nil"/>
              <w:bottom w:val="nil"/>
              <w:right w:val="nil"/>
            </w:tcBorders>
            <w:vAlign w:val="center"/>
          </w:tcPr>
          <w:p w14:paraId="3103BA97" w14:textId="09D65EC1"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-0</w:t>
            </w:r>
            <w:r w:rsidRPr="00936958">
              <w:rPr>
                <w:rFonts w:ascii="Verdana" w:hAnsi="Verdana" w:cs="Arial"/>
                <w:color w:val="366092"/>
                <w:sz w:val="18"/>
                <w:szCs w:val="18"/>
              </w:rPr>
              <w:t>,</w:t>
            </w:r>
            <w:r w:rsidRPr="00936958">
              <w:rPr>
                <w:rFonts w:ascii="Verdana" w:hAnsi="Verdana" w:cs="Arial"/>
                <w:color w:val="366092"/>
                <w:sz w:val="18"/>
                <w:szCs w:val="18"/>
                <w:lang w:val="el-GR"/>
              </w:rPr>
              <w:t>1</w:t>
            </w:r>
          </w:p>
        </w:tc>
        <w:tc>
          <w:tcPr>
            <w:tcW w:w="1145" w:type="dxa"/>
            <w:tcBorders>
              <w:top w:val="nil"/>
              <w:left w:val="nil"/>
              <w:bottom w:val="nil"/>
              <w:right w:val="nil"/>
            </w:tcBorders>
            <w:vAlign w:val="center"/>
          </w:tcPr>
          <w:p w14:paraId="771A019A" w14:textId="466999D4"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2</w:t>
            </w:r>
            <w:r w:rsidRPr="00936958">
              <w:rPr>
                <w:rFonts w:ascii="Verdana" w:hAnsi="Verdana" w:cs="Arial"/>
                <w:color w:val="366092"/>
                <w:sz w:val="18"/>
                <w:szCs w:val="18"/>
              </w:rPr>
              <w:t>,</w:t>
            </w:r>
            <w:r w:rsidRPr="00936958">
              <w:rPr>
                <w:rFonts w:ascii="Verdana" w:hAnsi="Verdana" w:cs="Arial"/>
                <w:color w:val="366092"/>
                <w:sz w:val="18"/>
                <w:szCs w:val="18"/>
                <w:lang w:val="el-GR"/>
              </w:rPr>
              <w:t>4</w:t>
            </w:r>
          </w:p>
        </w:tc>
        <w:tc>
          <w:tcPr>
            <w:tcW w:w="1145" w:type="dxa"/>
            <w:tcBorders>
              <w:top w:val="nil"/>
              <w:left w:val="nil"/>
              <w:bottom w:val="nil"/>
              <w:right w:val="nil"/>
            </w:tcBorders>
            <w:vAlign w:val="center"/>
          </w:tcPr>
          <w:p w14:paraId="3BBC6D7A" w14:textId="7F536EA0"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-1</w:t>
            </w:r>
            <w:r w:rsidRPr="00936958">
              <w:rPr>
                <w:rFonts w:ascii="Verdana" w:hAnsi="Verdana" w:cs="Arial"/>
                <w:color w:val="366092"/>
                <w:sz w:val="18"/>
                <w:szCs w:val="18"/>
              </w:rPr>
              <w:t>,</w:t>
            </w:r>
            <w:r w:rsidRPr="00936958">
              <w:rPr>
                <w:rFonts w:ascii="Verdana" w:hAnsi="Verdana" w:cs="Arial"/>
                <w:color w:val="366092"/>
                <w:sz w:val="18"/>
                <w:szCs w:val="18"/>
                <w:lang w:val="el-GR"/>
              </w:rPr>
              <w:t>7</w:t>
            </w:r>
          </w:p>
        </w:tc>
        <w:tc>
          <w:tcPr>
            <w:tcW w:w="1145" w:type="dxa"/>
            <w:tcBorders>
              <w:top w:val="nil"/>
              <w:left w:val="nil"/>
              <w:bottom w:val="nil"/>
              <w:right w:val="nil"/>
            </w:tcBorders>
            <w:vAlign w:val="center"/>
          </w:tcPr>
          <w:p w14:paraId="46C0B6F7" w14:textId="154AB010"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4</w:t>
            </w:r>
            <w:r w:rsidRPr="00936958">
              <w:rPr>
                <w:rFonts w:ascii="Verdana" w:hAnsi="Verdana" w:cs="Arial"/>
                <w:color w:val="366092"/>
                <w:sz w:val="18"/>
                <w:szCs w:val="18"/>
              </w:rPr>
              <w:t>,1</w:t>
            </w:r>
          </w:p>
        </w:tc>
        <w:tc>
          <w:tcPr>
            <w:tcW w:w="1145" w:type="dxa"/>
            <w:tcBorders>
              <w:top w:val="nil"/>
              <w:left w:val="nil"/>
              <w:bottom w:val="nil"/>
              <w:right w:val="nil"/>
            </w:tcBorders>
            <w:vAlign w:val="center"/>
          </w:tcPr>
          <w:p w14:paraId="6A37ECCE" w14:textId="587F51D2" w:rsidR="009623F6" w:rsidRPr="00936958" w:rsidRDefault="009623F6" w:rsidP="009623F6">
            <w:pPr>
              <w:ind w:right="227"/>
              <w:jc w:val="right"/>
              <w:rPr>
                <w:rFonts w:ascii="Verdana" w:hAnsi="Verdana" w:cs="Arial"/>
                <w:color w:val="366092"/>
                <w:sz w:val="18"/>
                <w:szCs w:val="18"/>
              </w:rPr>
            </w:pPr>
            <w:r w:rsidRPr="00936958">
              <w:rPr>
                <w:rFonts w:ascii="Verdana" w:hAnsi="Verdana" w:cs="Arial"/>
                <w:color w:val="366092"/>
                <w:sz w:val="18"/>
                <w:szCs w:val="18"/>
                <w:lang w:val="el-GR"/>
              </w:rPr>
              <w:t>-1</w:t>
            </w:r>
            <w:r w:rsidRPr="00936958">
              <w:rPr>
                <w:rFonts w:ascii="Verdana" w:hAnsi="Verdana" w:cs="Arial"/>
                <w:color w:val="366092"/>
                <w:sz w:val="18"/>
                <w:szCs w:val="18"/>
              </w:rPr>
              <w:t>,</w:t>
            </w:r>
            <w:r w:rsidRPr="00936958">
              <w:rPr>
                <w:rFonts w:ascii="Verdana" w:hAnsi="Verdana" w:cs="Arial"/>
                <w:color w:val="366092"/>
                <w:sz w:val="18"/>
                <w:szCs w:val="18"/>
                <w:lang w:val="el-GR"/>
              </w:rPr>
              <w:t>9</w:t>
            </w:r>
          </w:p>
        </w:tc>
      </w:tr>
      <w:tr w:rsidR="00936958" w:rsidRPr="00936958" w14:paraId="5BC85512" w14:textId="77777777" w:rsidTr="00936958">
        <w:trPr>
          <w:trHeight w:val="525"/>
        </w:trPr>
        <w:tc>
          <w:tcPr>
            <w:tcW w:w="3858" w:type="dxa"/>
            <w:tcBorders>
              <w:top w:val="nil"/>
              <w:left w:val="nil"/>
              <w:bottom w:val="single" w:sz="4" w:space="0" w:color="366092"/>
              <w:right w:val="nil"/>
            </w:tcBorders>
            <w:vAlign w:val="center"/>
          </w:tcPr>
          <w:p w14:paraId="4042600C" w14:textId="77777777" w:rsidR="009623F6" w:rsidRPr="00936958" w:rsidRDefault="009623F6" w:rsidP="009623F6">
            <w:pPr>
              <w:spacing w:after="60"/>
              <w:rPr>
                <w:rFonts w:ascii="Verdana" w:hAnsi="Verdana" w:cs="Arial"/>
                <w:b/>
                <w:color w:val="366092"/>
                <w:sz w:val="18"/>
                <w:szCs w:val="18"/>
              </w:rPr>
            </w:pPr>
            <w:r w:rsidRPr="00936958">
              <w:rPr>
                <w:rFonts w:ascii="Verdana" w:hAnsi="Verdana" w:cs="Arial"/>
                <w:b/>
                <w:color w:val="366092"/>
                <w:sz w:val="18"/>
                <w:szCs w:val="18"/>
              </w:rPr>
              <w:t>Annual change</w:t>
            </w:r>
            <w:r w:rsidRPr="00936958">
              <w:rPr>
                <w:rFonts w:ascii="Verdana" w:hAnsi="Verdana" w:cs="Arial"/>
                <w:b/>
                <w:color w:val="366092"/>
                <w:sz w:val="18"/>
                <w:szCs w:val="18"/>
                <w:vertAlign w:val="superscript"/>
              </w:rPr>
              <w:t>1</w:t>
            </w:r>
            <w:r w:rsidRPr="00936958">
              <w:rPr>
                <w:rFonts w:ascii="Verdana" w:hAnsi="Verdana" w:cs="Arial"/>
                <w:b/>
                <w:color w:val="366092"/>
                <w:sz w:val="18"/>
                <w:szCs w:val="18"/>
              </w:rPr>
              <w:t xml:space="preserve"> </w:t>
            </w:r>
            <w:r w:rsidRPr="00936958">
              <w:rPr>
                <w:rFonts w:ascii="Verdana" w:hAnsi="Verdana" w:cs="Arial"/>
                <w:b/>
                <w:color w:val="366092"/>
                <w:sz w:val="18"/>
                <w:szCs w:val="18"/>
                <w:lang w:val="el-GR"/>
              </w:rPr>
              <w:t>(%)</w:t>
            </w:r>
          </w:p>
        </w:tc>
        <w:tc>
          <w:tcPr>
            <w:tcW w:w="1144" w:type="dxa"/>
            <w:tcBorders>
              <w:top w:val="nil"/>
              <w:left w:val="nil"/>
              <w:bottom w:val="single" w:sz="4" w:space="0" w:color="366092"/>
              <w:right w:val="nil"/>
            </w:tcBorders>
            <w:vAlign w:val="center"/>
          </w:tcPr>
          <w:p w14:paraId="4D6B7D82" w14:textId="7B2EC339"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8</w:t>
            </w:r>
            <w:r w:rsidRPr="00936958">
              <w:rPr>
                <w:rFonts w:ascii="Verdana" w:hAnsi="Verdana" w:cs="Arial"/>
                <w:color w:val="366092"/>
                <w:sz w:val="18"/>
                <w:szCs w:val="18"/>
              </w:rPr>
              <w:t>,</w:t>
            </w:r>
            <w:r w:rsidRPr="00936958">
              <w:rPr>
                <w:rFonts w:ascii="Verdana" w:hAnsi="Verdana" w:cs="Arial"/>
                <w:color w:val="366092"/>
                <w:sz w:val="18"/>
                <w:szCs w:val="18"/>
                <w:lang w:val="el-GR"/>
              </w:rPr>
              <w:t>4</w:t>
            </w:r>
          </w:p>
        </w:tc>
        <w:tc>
          <w:tcPr>
            <w:tcW w:w="1145" w:type="dxa"/>
            <w:tcBorders>
              <w:top w:val="nil"/>
              <w:left w:val="nil"/>
              <w:bottom w:val="single" w:sz="4" w:space="0" w:color="366092"/>
              <w:right w:val="nil"/>
            </w:tcBorders>
            <w:vAlign w:val="center"/>
          </w:tcPr>
          <w:p w14:paraId="2FBAB334" w14:textId="5C9D96E0"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7</w:t>
            </w:r>
            <w:r w:rsidRPr="00936958">
              <w:rPr>
                <w:rFonts w:ascii="Verdana" w:hAnsi="Verdana" w:cs="Arial"/>
                <w:color w:val="366092"/>
                <w:sz w:val="18"/>
                <w:szCs w:val="18"/>
              </w:rPr>
              <w:t>,</w:t>
            </w:r>
            <w:r w:rsidRPr="00936958">
              <w:rPr>
                <w:rFonts w:ascii="Verdana" w:hAnsi="Verdana" w:cs="Arial"/>
                <w:color w:val="366092"/>
                <w:sz w:val="18"/>
                <w:szCs w:val="18"/>
                <w:lang w:val="el-GR"/>
              </w:rPr>
              <w:t>5</w:t>
            </w:r>
          </w:p>
        </w:tc>
        <w:tc>
          <w:tcPr>
            <w:tcW w:w="1145" w:type="dxa"/>
            <w:tcBorders>
              <w:top w:val="nil"/>
              <w:left w:val="nil"/>
              <w:bottom w:val="single" w:sz="4" w:space="0" w:color="366092"/>
              <w:right w:val="nil"/>
            </w:tcBorders>
            <w:vAlign w:val="center"/>
          </w:tcPr>
          <w:p w14:paraId="2879969A" w14:textId="5C1B28CF" w:rsidR="009623F6" w:rsidRPr="00936958" w:rsidRDefault="009623F6" w:rsidP="009623F6">
            <w:pPr>
              <w:ind w:right="227"/>
              <w:jc w:val="right"/>
              <w:rPr>
                <w:rFonts w:ascii="Verdana" w:hAnsi="Verdana" w:cs="Arial"/>
                <w:color w:val="366092"/>
                <w:sz w:val="18"/>
                <w:szCs w:val="18"/>
                <w:lang w:val="el-GR"/>
              </w:rPr>
            </w:pPr>
            <w:r w:rsidRPr="00936958">
              <w:rPr>
                <w:rFonts w:ascii="Verdana" w:hAnsi="Verdana" w:cs="Arial"/>
                <w:color w:val="366092"/>
                <w:sz w:val="18"/>
                <w:szCs w:val="18"/>
                <w:lang w:val="el-GR"/>
              </w:rPr>
              <w:t>4</w:t>
            </w:r>
            <w:r w:rsidRPr="00936958">
              <w:rPr>
                <w:rFonts w:ascii="Verdana" w:hAnsi="Verdana" w:cs="Arial"/>
                <w:color w:val="366092"/>
                <w:sz w:val="18"/>
                <w:szCs w:val="18"/>
              </w:rPr>
              <w:t>,</w:t>
            </w:r>
            <w:r w:rsidRPr="00936958">
              <w:rPr>
                <w:rFonts w:ascii="Verdana" w:hAnsi="Verdana" w:cs="Arial"/>
                <w:color w:val="366092"/>
                <w:sz w:val="18"/>
                <w:szCs w:val="18"/>
                <w:lang w:val="el-GR"/>
              </w:rPr>
              <w:t>5</w:t>
            </w:r>
          </w:p>
        </w:tc>
        <w:tc>
          <w:tcPr>
            <w:tcW w:w="1145" w:type="dxa"/>
            <w:tcBorders>
              <w:top w:val="nil"/>
              <w:left w:val="nil"/>
              <w:bottom w:val="single" w:sz="4" w:space="0" w:color="366092"/>
              <w:right w:val="nil"/>
            </w:tcBorders>
            <w:vAlign w:val="center"/>
          </w:tcPr>
          <w:p w14:paraId="5B935B13" w14:textId="363CF66A" w:rsidR="009623F6" w:rsidRPr="00936958" w:rsidRDefault="009623F6" w:rsidP="009623F6">
            <w:pPr>
              <w:ind w:right="227"/>
              <w:jc w:val="right"/>
              <w:rPr>
                <w:rFonts w:ascii="Verdana" w:hAnsi="Verdana" w:cs="Arial"/>
                <w:color w:val="366092"/>
                <w:sz w:val="18"/>
                <w:szCs w:val="18"/>
              </w:rPr>
            </w:pPr>
            <w:r w:rsidRPr="00936958">
              <w:rPr>
                <w:rFonts w:ascii="Verdana" w:hAnsi="Verdana" w:cs="Arial"/>
                <w:color w:val="366092"/>
                <w:sz w:val="18"/>
                <w:szCs w:val="18"/>
                <w:lang w:val="el-GR"/>
              </w:rPr>
              <w:t>4</w:t>
            </w:r>
            <w:r w:rsidRPr="00936958">
              <w:rPr>
                <w:rFonts w:ascii="Verdana" w:hAnsi="Verdana" w:cs="Arial"/>
                <w:color w:val="366092"/>
                <w:sz w:val="18"/>
                <w:szCs w:val="18"/>
              </w:rPr>
              <w:t>,</w:t>
            </w:r>
            <w:r w:rsidRPr="00936958">
              <w:rPr>
                <w:rFonts w:ascii="Verdana" w:hAnsi="Verdana" w:cs="Arial"/>
                <w:color w:val="366092"/>
                <w:sz w:val="18"/>
                <w:szCs w:val="18"/>
                <w:lang w:val="el-GR"/>
              </w:rPr>
              <w:t>5</w:t>
            </w:r>
          </w:p>
        </w:tc>
        <w:tc>
          <w:tcPr>
            <w:tcW w:w="1145" w:type="dxa"/>
            <w:tcBorders>
              <w:top w:val="nil"/>
              <w:left w:val="nil"/>
              <w:bottom w:val="single" w:sz="4" w:space="0" w:color="366092"/>
              <w:right w:val="nil"/>
            </w:tcBorders>
            <w:vAlign w:val="center"/>
          </w:tcPr>
          <w:p w14:paraId="3F19CC88" w14:textId="5721DA34" w:rsidR="009623F6" w:rsidRPr="00936958" w:rsidRDefault="009623F6" w:rsidP="009623F6">
            <w:pPr>
              <w:ind w:right="227"/>
              <w:jc w:val="right"/>
              <w:rPr>
                <w:rFonts w:ascii="Verdana" w:hAnsi="Verdana" w:cs="Arial"/>
                <w:color w:val="366092"/>
                <w:sz w:val="18"/>
                <w:szCs w:val="18"/>
              </w:rPr>
            </w:pPr>
            <w:r w:rsidRPr="00936958">
              <w:rPr>
                <w:rFonts w:ascii="Verdana" w:hAnsi="Verdana" w:cs="Arial"/>
                <w:color w:val="366092"/>
                <w:sz w:val="18"/>
                <w:szCs w:val="18"/>
                <w:lang w:val="el-GR"/>
              </w:rPr>
              <w:t>2</w:t>
            </w:r>
            <w:r w:rsidRPr="00936958">
              <w:rPr>
                <w:rFonts w:ascii="Verdana" w:hAnsi="Verdana" w:cs="Arial"/>
                <w:color w:val="366092"/>
                <w:sz w:val="18"/>
                <w:szCs w:val="18"/>
              </w:rPr>
              <w:t>,</w:t>
            </w:r>
            <w:r w:rsidRPr="00936958">
              <w:rPr>
                <w:rFonts w:ascii="Verdana" w:hAnsi="Verdana" w:cs="Arial"/>
                <w:color w:val="366092"/>
                <w:sz w:val="18"/>
                <w:szCs w:val="18"/>
                <w:lang w:val="el-GR"/>
              </w:rPr>
              <w:t>7</w:t>
            </w:r>
          </w:p>
        </w:tc>
      </w:tr>
    </w:tbl>
    <w:p w14:paraId="2F74814F" w14:textId="77777777" w:rsidR="00F252A6" w:rsidRDefault="00F252A6" w:rsidP="00992F76">
      <w:pPr>
        <w:tabs>
          <w:tab w:val="left" w:pos="1260"/>
          <w:tab w:val="left" w:pos="6840"/>
        </w:tabs>
        <w:ind w:right="284"/>
        <w:contextualSpacing/>
        <w:rPr>
          <w:rFonts w:ascii="Verdana" w:hAnsi="Verdana" w:cs="Arial"/>
          <w:b/>
          <w:color w:val="365F91"/>
          <w:sz w:val="10"/>
          <w:szCs w:val="10"/>
        </w:rPr>
      </w:pPr>
    </w:p>
    <w:p w14:paraId="23919183" w14:textId="77777777" w:rsidR="00F252A6" w:rsidRPr="00F252A6" w:rsidRDefault="00F252A6" w:rsidP="00992F76">
      <w:pPr>
        <w:tabs>
          <w:tab w:val="left" w:pos="1260"/>
          <w:tab w:val="left" w:pos="6840"/>
        </w:tabs>
        <w:ind w:right="284"/>
        <w:contextualSpacing/>
        <w:rPr>
          <w:rFonts w:ascii="Verdana" w:hAnsi="Verdana" w:cs="Arial"/>
          <w:b/>
          <w:color w:val="365F91"/>
          <w:sz w:val="10"/>
          <w:szCs w:val="10"/>
        </w:rPr>
      </w:pPr>
    </w:p>
    <w:p w14:paraId="228811F4" w14:textId="77777777" w:rsidR="00992F76" w:rsidRPr="00936958" w:rsidRDefault="00992F76" w:rsidP="00992F76">
      <w:pPr>
        <w:tabs>
          <w:tab w:val="left" w:pos="1260"/>
          <w:tab w:val="left" w:pos="6840"/>
        </w:tabs>
        <w:ind w:right="284"/>
        <w:contextualSpacing/>
        <w:rPr>
          <w:rFonts w:ascii="Verdana" w:eastAsia="Malgun Gothic" w:hAnsi="Verdana" w:cs="Arial"/>
          <w:color w:val="366092"/>
          <w:sz w:val="16"/>
          <w:szCs w:val="16"/>
        </w:rPr>
      </w:pPr>
      <w:r>
        <w:rPr>
          <w:rFonts w:ascii="Verdana" w:hAnsi="Verdana" w:cs="Arial"/>
          <w:b/>
          <w:color w:val="365F91"/>
          <w:sz w:val="18"/>
          <w:szCs w:val="18"/>
        </w:rPr>
        <w:t xml:space="preserve"> </w:t>
      </w:r>
      <w:r w:rsidRPr="00936958">
        <w:rPr>
          <w:rFonts w:ascii="Verdana" w:hAnsi="Verdana" w:cs="Arial"/>
          <w:b/>
          <w:color w:val="366092"/>
          <w:sz w:val="18"/>
          <w:szCs w:val="18"/>
          <w:vertAlign w:val="superscript"/>
        </w:rPr>
        <w:t xml:space="preserve">1 </w:t>
      </w:r>
      <w:r w:rsidRPr="00936958">
        <w:rPr>
          <w:rFonts w:ascii="Verdana" w:eastAsia="Malgun Gothic" w:hAnsi="Verdana" w:cs="Arial"/>
          <w:color w:val="366092"/>
          <w:sz w:val="16"/>
          <w:szCs w:val="16"/>
        </w:rPr>
        <w:t>Compared with the same quarter of the previous year.</w:t>
      </w:r>
    </w:p>
    <w:p w14:paraId="59257C6E" w14:textId="77777777" w:rsidR="00992F76" w:rsidRPr="00922CED" w:rsidRDefault="00992F76" w:rsidP="00F252A6">
      <w:pPr>
        <w:pStyle w:val="ListParagraph"/>
        <w:tabs>
          <w:tab w:val="left" w:pos="1080"/>
          <w:tab w:val="left" w:pos="6840"/>
        </w:tabs>
        <w:ind w:left="0"/>
        <w:rPr>
          <w:rFonts w:ascii="Verdana" w:eastAsia="Malgun Gothic" w:hAnsi="Verdana" w:cs="Arial"/>
          <w:color w:val="365F91"/>
          <w:sz w:val="16"/>
          <w:szCs w:val="16"/>
        </w:rPr>
      </w:pPr>
    </w:p>
    <w:p w14:paraId="4F5393A2" w14:textId="77777777" w:rsidR="009623F6" w:rsidRPr="00D86BD1" w:rsidRDefault="009623F6" w:rsidP="009623F6">
      <w:pPr>
        <w:spacing w:after="60"/>
        <w:jc w:val="both"/>
        <w:rPr>
          <w:rFonts w:ascii="Verdana" w:hAnsi="Verdana"/>
          <w:sz w:val="18"/>
          <w:szCs w:val="18"/>
        </w:rPr>
      </w:pPr>
    </w:p>
    <w:p w14:paraId="5D808B0F" w14:textId="02C8B507" w:rsidR="00CC3512" w:rsidRDefault="009623F6" w:rsidP="00CC3512">
      <w:pPr>
        <w:spacing w:after="60"/>
        <w:jc w:val="both"/>
      </w:pPr>
      <w:r w:rsidRPr="00D86BD1">
        <w:rPr>
          <w:rFonts w:ascii="Verdana" w:hAnsi="Verdana"/>
          <w:sz w:val="18"/>
          <w:szCs w:val="18"/>
        </w:rPr>
        <w:t xml:space="preserve">On the occasion of the revision, the Statistical Service announces the publication of the report “House Price Index 2015–2024”, which provides detailed information </w:t>
      </w:r>
      <w:r w:rsidR="00C8774A" w:rsidRPr="00D86BD1">
        <w:rPr>
          <w:rFonts w:ascii="Verdana" w:hAnsi="Verdana"/>
          <w:sz w:val="18"/>
          <w:szCs w:val="18"/>
        </w:rPr>
        <w:t>for</w:t>
      </w:r>
      <w:r w:rsidRPr="00D86BD1">
        <w:rPr>
          <w:rFonts w:ascii="Verdana" w:hAnsi="Verdana"/>
          <w:sz w:val="18"/>
          <w:szCs w:val="18"/>
        </w:rPr>
        <w:t xml:space="preserve"> the revised HPI </w:t>
      </w:r>
      <w:r w:rsidR="00B43AE4" w:rsidRPr="00D86BD1">
        <w:rPr>
          <w:rFonts w:ascii="Verdana" w:hAnsi="Verdana"/>
          <w:sz w:val="18"/>
          <w:szCs w:val="18"/>
        </w:rPr>
        <w:t>and</w:t>
      </w:r>
      <w:r w:rsidR="00C8774A" w:rsidRPr="00D86BD1">
        <w:rPr>
          <w:rFonts w:ascii="Verdana" w:hAnsi="Verdana"/>
          <w:sz w:val="18"/>
          <w:szCs w:val="18"/>
        </w:rPr>
        <w:t xml:space="preserve"> </w:t>
      </w:r>
      <w:proofErr w:type="gramStart"/>
      <w:r w:rsidR="00E07525" w:rsidRPr="00D86BD1">
        <w:rPr>
          <w:rFonts w:ascii="Verdana" w:hAnsi="Verdana"/>
          <w:sz w:val="18"/>
          <w:szCs w:val="18"/>
        </w:rPr>
        <w:t>it’s</w:t>
      </w:r>
      <w:proofErr w:type="gramEnd"/>
      <w:r w:rsidR="00E07525" w:rsidRPr="00D86BD1">
        <w:rPr>
          <w:rFonts w:ascii="Verdana" w:hAnsi="Verdana"/>
          <w:sz w:val="18"/>
          <w:szCs w:val="18"/>
        </w:rPr>
        <w:t xml:space="preserve"> </w:t>
      </w:r>
      <w:r w:rsidRPr="00D86BD1">
        <w:rPr>
          <w:rFonts w:ascii="Verdana" w:hAnsi="Verdana"/>
          <w:sz w:val="18"/>
          <w:szCs w:val="18"/>
        </w:rPr>
        <w:t>sub-indices</w:t>
      </w:r>
      <w:r w:rsidR="00E33279" w:rsidRPr="00D86BD1">
        <w:rPr>
          <w:rFonts w:ascii="Verdana" w:hAnsi="Verdana"/>
          <w:sz w:val="18"/>
          <w:szCs w:val="18"/>
        </w:rPr>
        <w:t xml:space="preserve"> (New and Existing Dwellings)</w:t>
      </w:r>
      <w:r w:rsidRPr="00D86BD1">
        <w:rPr>
          <w:rFonts w:ascii="Verdana" w:hAnsi="Verdana"/>
          <w:sz w:val="18"/>
          <w:szCs w:val="18"/>
        </w:rPr>
        <w:t xml:space="preserve">. The </w:t>
      </w:r>
      <w:hyperlink r:id="rId8" w:history="1">
        <w:r w:rsidRPr="00D86BD1">
          <w:rPr>
            <w:rStyle w:val="Hyperlink"/>
            <w:rFonts w:ascii="Verdana" w:hAnsi="Verdana"/>
            <w:sz w:val="18"/>
            <w:szCs w:val="18"/>
          </w:rPr>
          <w:t>report</w:t>
        </w:r>
      </w:hyperlink>
      <w:r w:rsidRPr="00D86BD1">
        <w:rPr>
          <w:rFonts w:ascii="Verdana" w:hAnsi="Verdana"/>
          <w:sz w:val="18"/>
          <w:szCs w:val="18"/>
        </w:rPr>
        <w:t xml:space="preserve"> is available on the Statistical Service’s </w:t>
      </w:r>
      <w:r w:rsidR="00E33279" w:rsidRPr="00D86BD1">
        <w:rPr>
          <w:rFonts w:ascii="Verdana" w:hAnsi="Verdana"/>
          <w:sz w:val="18"/>
          <w:szCs w:val="18"/>
        </w:rPr>
        <w:t>web</w:t>
      </w:r>
      <w:r w:rsidRPr="00D86BD1">
        <w:rPr>
          <w:rFonts w:ascii="Verdana" w:hAnsi="Verdana"/>
          <w:sz w:val="18"/>
          <w:szCs w:val="18"/>
        </w:rPr>
        <w:t xml:space="preserve"> portal and is attached to the present press release.</w:t>
      </w:r>
      <w:r w:rsidR="00F252A6" w:rsidRPr="009623F6">
        <w:br w:type="page"/>
      </w:r>
    </w:p>
    <w:p w14:paraId="0E236A0C" w14:textId="2B22D0F3" w:rsidR="00992F76" w:rsidRPr="00C03E6F" w:rsidRDefault="00CC3512" w:rsidP="00CC3512">
      <w:pPr>
        <w:spacing w:after="60"/>
        <w:ind w:left="1440" w:firstLine="720"/>
        <w:rPr>
          <w:rStyle w:val="Hyperlink"/>
          <w:rFonts w:ascii="Verdana" w:hAnsi="Verdana" w:cs="Arial"/>
          <w:b/>
          <w:color w:val="auto"/>
          <w:position w:val="6"/>
        </w:rPr>
      </w:pPr>
      <w:r>
        <w:lastRenderedPageBreak/>
        <w:t xml:space="preserve">           </w:t>
      </w:r>
      <w:r w:rsidR="00992F76" w:rsidRPr="00C03E6F">
        <w:rPr>
          <w:rStyle w:val="Hyperlink"/>
          <w:rFonts w:ascii="Verdana" w:hAnsi="Verdana" w:cs="Arial"/>
          <w:b/>
          <w:color w:val="auto"/>
          <w:position w:val="6"/>
        </w:rPr>
        <w:t xml:space="preserve">METHODOLOGICAL </w:t>
      </w:r>
      <w:r w:rsidR="00760F1D">
        <w:rPr>
          <w:rStyle w:val="Hyperlink"/>
          <w:rFonts w:ascii="Verdana" w:hAnsi="Verdana" w:cs="Arial"/>
          <w:b/>
          <w:color w:val="auto"/>
          <w:position w:val="6"/>
        </w:rPr>
        <w:t>INFORMATION</w:t>
      </w:r>
    </w:p>
    <w:p w14:paraId="7FA7F8EA" w14:textId="77777777" w:rsidR="00CB66BF" w:rsidRPr="00CB66BF" w:rsidRDefault="00CB66BF" w:rsidP="00F252A6">
      <w:pPr>
        <w:jc w:val="center"/>
        <w:rPr>
          <w:rStyle w:val="Hyperlink"/>
          <w:rFonts w:ascii="Verdana" w:hAnsi="Verdana" w:cs="Arial"/>
          <w:b/>
          <w:color w:val="auto"/>
          <w:position w:val="6"/>
          <w:sz w:val="18"/>
          <w:szCs w:val="18"/>
        </w:rPr>
      </w:pPr>
    </w:p>
    <w:p w14:paraId="6A052FCD" w14:textId="77777777" w:rsidR="00992F76" w:rsidRPr="00713717" w:rsidRDefault="00992F76" w:rsidP="00992F76">
      <w:pPr>
        <w:tabs>
          <w:tab w:val="left" w:pos="1080"/>
          <w:tab w:val="left" w:pos="6840"/>
        </w:tabs>
        <w:rPr>
          <w:rFonts w:ascii="Verdana" w:eastAsia="Malgun Gothic" w:hAnsi="Verdana" w:cs="Arial"/>
          <w:b/>
          <w:sz w:val="18"/>
          <w:szCs w:val="18"/>
          <w:u w:val="single"/>
        </w:rPr>
      </w:pPr>
      <w:r>
        <w:rPr>
          <w:rFonts w:ascii="Verdana" w:eastAsia="Malgun Gothic" w:hAnsi="Verdana" w:cs="Arial"/>
          <w:b/>
          <w:sz w:val="18"/>
          <w:szCs w:val="18"/>
          <w:u w:val="single"/>
        </w:rPr>
        <w:t>Definition</w:t>
      </w:r>
    </w:p>
    <w:p w14:paraId="6407C2FB" w14:textId="77777777" w:rsidR="00992F76" w:rsidRPr="009D37FE" w:rsidRDefault="00992F76" w:rsidP="00992F76">
      <w:pPr>
        <w:tabs>
          <w:tab w:val="left" w:pos="1080"/>
          <w:tab w:val="left" w:pos="6840"/>
        </w:tabs>
        <w:rPr>
          <w:rFonts w:ascii="Verdana" w:eastAsia="Malgun Gothic" w:hAnsi="Verdana" w:cs="Arial"/>
          <w:b/>
          <w:sz w:val="18"/>
          <w:szCs w:val="18"/>
          <w:u w:val="single"/>
        </w:rPr>
      </w:pPr>
    </w:p>
    <w:p w14:paraId="18D00C86" w14:textId="0E701FA0" w:rsidR="00992F76" w:rsidRPr="00713717" w:rsidRDefault="00992F76" w:rsidP="00992F76">
      <w:pPr>
        <w:tabs>
          <w:tab w:val="left" w:pos="945"/>
        </w:tabs>
        <w:ind w:right="229"/>
        <w:jc w:val="both"/>
        <w:rPr>
          <w:rFonts w:ascii="Verdana" w:eastAsia="Malgun Gothic" w:hAnsi="Verdana" w:cs="Arial"/>
          <w:sz w:val="18"/>
          <w:szCs w:val="18"/>
        </w:rPr>
      </w:pPr>
      <w:r w:rsidRPr="00713717">
        <w:rPr>
          <w:rFonts w:ascii="Verdana" w:eastAsia="Malgun Gothic" w:hAnsi="Verdana" w:cs="Arial"/>
          <w:b/>
          <w:sz w:val="18"/>
          <w:szCs w:val="18"/>
        </w:rPr>
        <w:t xml:space="preserve">House Price Index (HPI) </w:t>
      </w:r>
      <w:r w:rsidRPr="00713717">
        <w:rPr>
          <w:rFonts w:ascii="Verdana" w:eastAsia="Malgun Gothic" w:hAnsi="Verdana" w:cs="Arial"/>
          <w:sz w:val="18"/>
          <w:szCs w:val="18"/>
        </w:rPr>
        <w:t>is a quarterly index which measures the change in the average price of residential dwellings. It captures all types of residential properties, both new and existing. The land component of the residential property is included.</w:t>
      </w:r>
    </w:p>
    <w:p w14:paraId="007D3565" w14:textId="77777777" w:rsidR="00992F76" w:rsidRPr="00713717" w:rsidRDefault="00992F76" w:rsidP="00992F76">
      <w:pPr>
        <w:tabs>
          <w:tab w:val="left" w:pos="945"/>
        </w:tabs>
        <w:jc w:val="both"/>
        <w:rPr>
          <w:rFonts w:ascii="Verdana" w:eastAsia="Malgun Gothic" w:hAnsi="Verdana" w:cs="Arial"/>
          <w:sz w:val="18"/>
          <w:szCs w:val="18"/>
        </w:rPr>
      </w:pPr>
    </w:p>
    <w:p w14:paraId="5E760675" w14:textId="77777777" w:rsidR="00992F76" w:rsidRPr="00713717" w:rsidRDefault="00992F76" w:rsidP="00992F7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S</w:t>
      </w:r>
      <w:r>
        <w:rPr>
          <w:rFonts w:ascii="Verdana" w:eastAsia="Malgun Gothic" w:hAnsi="Verdana" w:cs="Arial"/>
          <w:b/>
          <w:sz w:val="18"/>
          <w:szCs w:val="18"/>
          <w:u w:val="single"/>
        </w:rPr>
        <w:t>ource</w:t>
      </w:r>
    </w:p>
    <w:p w14:paraId="70E29B22" w14:textId="77777777" w:rsidR="00992F76" w:rsidRDefault="00992F76" w:rsidP="00992F76">
      <w:pPr>
        <w:jc w:val="both"/>
        <w:rPr>
          <w:rFonts w:ascii="Verdana" w:eastAsia="Malgun Gothic" w:hAnsi="Verdana" w:cs="Arial"/>
          <w:sz w:val="18"/>
          <w:szCs w:val="18"/>
        </w:rPr>
      </w:pPr>
    </w:p>
    <w:p w14:paraId="40664A7B" w14:textId="77777777" w:rsidR="00992F76" w:rsidRDefault="00992F76" w:rsidP="00992F76">
      <w:pPr>
        <w:ind w:right="229"/>
        <w:jc w:val="both"/>
        <w:rPr>
          <w:rFonts w:ascii="Verdana" w:eastAsia="Malgun Gothic" w:hAnsi="Verdana" w:cs="Arial"/>
          <w:sz w:val="18"/>
          <w:szCs w:val="18"/>
        </w:rPr>
      </w:pPr>
      <w:r w:rsidRPr="00713717">
        <w:rPr>
          <w:rFonts w:ascii="Verdana" w:eastAsia="Malgun Gothic" w:hAnsi="Verdana" w:cs="Arial"/>
          <w:sz w:val="18"/>
          <w:szCs w:val="18"/>
        </w:rPr>
        <w:t>The data source used for both</w:t>
      </w:r>
      <w:r>
        <w:rPr>
          <w:rFonts w:ascii="Verdana" w:eastAsia="Malgun Gothic" w:hAnsi="Verdana" w:cs="Arial"/>
          <w:sz w:val="18"/>
          <w:szCs w:val="18"/>
        </w:rPr>
        <w:t>, indices</w:t>
      </w:r>
      <w:r w:rsidRPr="00713717">
        <w:rPr>
          <w:rFonts w:ascii="Verdana" w:eastAsia="Malgun Gothic" w:hAnsi="Verdana" w:cs="Arial"/>
          <w:sz w:val="18"/>
          <w:szCs w:val="18"/>
        </w:rPr>
        <w:t xml:space="preserve"> and weights</w:t>
      </w:r>
      <w:r>
        <w:rPr>
          <w:rFonts w:ascii="Verdana" w:eastAsia="Malgun Gothic" w:hAnsi="Verdana" w:cs="Arial"/>
          <w:sz w:val="18"/>
          <w:szCs w:val="18"/>
        </w:rPr>
        <w:t>,</w:t>
      </w:r>
      <w:r w:rsidRPr="00713717">
        <w:rPr>
          <w:rFonts w:ascii="Verdana" w:eastAsia="Malgun Gothic" w:hAnsi="Verdana" w:cs="Arial"/>
          <w:sz w:val="18"/>
          <w:szCs w:val="18"/>
        </w:rPr>
        <w:t xml:space="preserve"> is the Department of Lands and Surveys, Ministry of Interior. </w:t>
      </w:r>
      <w:r w:rsidRPr="002F7288">
        <w:rPr>
          <w:rFonts w:ascii="Verdana" w:eastAsia="Malgun Gothic" w:hAnsi="Verdana" w:cs="Arial"/>
          <w:sz w:val="18"/>
          <w:szCs w:val="18"/>
        </w:rPr>
        <w:t xml:space="preserve">The data cover all areas which are under the control of the government of the Republic of Cyprus. </w:t>
      </w:r>
    </w:p>
    <w:p w14:paraId="2F443683" w14:textId="77777777" w:rsidR="00992F76" w:rsidRPr="002F7288" w:rsidRDefault="00992F76" w:rsidP="00992F76">
      <w:pPr>
        <w:jc w:val="both"/>
        <w:rPr>
          <w:rFonts w:ascii="Verdana" w:eastAsia="Malgun Gothic" w:hAnsi="Verdana" w:cs="Arial"/>
          <w:sz w:val="18"/>
          <w:szCs w:val="18"/>
        </w:rPr>
      </w:pPr>
    </w:p>
    <w:p w14:paraId="66EC13A8" w14:textId="77777777" w:rsidR="00992F76" w:rsidRPr="009C46AF" w:rsidRDefault="00992F76" w:rsidP="00992F7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C</w:t>
      </w:r>
      <w:r>
        <w:rPr>
          <w:rFonts w:ascii="Verdana" w:eastAsia="Malgun Gothic" w:hAnsi="Verdana" w:cs="Arial"/>
          <w:b/>
          <w:sz w:val="18"/>
          <w:szCs w:val="18"/>
          <w:u w:val="single"/>
        </w:rPr>
        <w:t>ompilation</w:t>
      </w:r>
    </w:p>
    <w:p w14:paraId="09BB0C98" w14:textId="77777777" w:rsidR="00992F76" w:rsidRPr="00544EBD" w:rsidRDefault="00992F76" w:rsidP="00992F76">
      <w:pPr>
        <w:tabs>
          <w:tab w:val="left" w:pos="1080"/>
          <w:tab w:val="left" w:pos="6840"/>
        </w:tabs>
        <w:jc w:val="both"/>
        <w:rPr>
          <w:rFonts w:ascii="Verdana" w:eastAsia="Malgun Gothic" w:hAnsi="Verdana" w:cs="Arial"/>
          <w:b/>
          <w:sz w:val="18"/>
          <w:szCs w:val="18"/>
          <w:u w:val="single"/>
        </w:rPr>
      </w:pPr>
    </w:p>
    <w:p w14:paraId="746E966F" w14:textId="5B04B696" w:rsidR="00524985" w:rsidRPr="00D14856" w:rsidRDefault="00524985" w:rsidP="00D14856">
      <w:pPr>
        <w:spacing w:after="60"/>
        <w:jc w:val="both"/>
        <w:rPr>
          <w:rFonts w:ascii="Verdana" w:hAnsi="Verdana"/>
          <w:sz w:val="18"/>
          <w:szCs w:val="18"/>
        </w:rPr>
      </w:pPr>
      <w:r w:rsidRPr="00524985">
        <w:rPr>
          <w:rFonts w:ascii="Verdana" w:hAnsi="Verdana"/>
          <w:sz w:val="18"/>
          <w:szCs w:val="18"/>
        </w:rPr>
        <w:t xml:space="preserve">The data are </w:t>
      </w:r>
      <w:r w:rsidRPr="002F7288">
        <w:rPr>
          <w:rFonts w:ascii="Verdana" w:eastAsia="Malgun Gothic" w:hAnsi="Verdana" w:cs="Arial"/>
          <w:sz w:val="18"/>
          <w:szCs w:val="18"/>
        </w:rPr>
        <w:t xml:space="preserve">stratified </w:t>
      </w:r>
      <w:r w:rsidRPr="00524985">
        <w:rPr>
          <w:rFonts w:ascii="Verdana" w:hAnsi="Verdana"/>
          <w:sz w:val="18"/>
          <w:szCs w:val="18"/>
        </w:rPr>
        <w:t>into two strata</w:t>
      </w:r>
      <w:r w:rsidR="00851CAC" w:rsidRPr="00851CAC">
        <w:rPr>
          <w:rFonts w:ascii="Verdana" w:hAnsi="Verdana"/>
          <w:sz w:val="18"/>
          <w:szCs w:val="18"/>
        </w:rPr>
        <w:t>(</w:t>
      </w:r>
      <w:r w:rsidR="00851CAC" w:rsidRPr="00524985">
        <w:rPr>
          <w:rFonts w:ascii="Verdana" w:hAnsi="Verdana"/>
          <w:sz w:val="18"/>
          <w:szCs w:val="18"/>
        </w:rPr>
        <w:t>sub-indices</w:t>
      </w:r>
      <w:r w:rsidR="00851CAC" w:rsidRPr="00851CAC">
        <w:rPr>
          <w:rFonts w:ascii="Verdana" w:hAnsi="Verdana"/>
          <w:sz w:val="18"/>
          <w:szCs w:val="18"/>
        </w:rPr>
        <w:t>)</w:t>
      </w:r>
      <w:r>
        <w:rPr>
          <w:rFonts w:ascii="Verdana" w:hAnsi="Verdana"/>
          <w:sz w:val="18"/>
          <w:szCs w:val="18"/>
        </w:rPr>
        <w:t>;</w:t>
      </w:r>
      <w:r w:rsidRPr="00524985">
        <w:rPr>
          <w:rFonts w:ascii="Verdana" w:hAnsi="Verdana"/>
          <w:sz w:val="18"/>
          <w:szCs w:val="18"/>
        </w:rPr>
        <w:t xml:space="preserve"> existing and new dwellings. For each stratum, the Rolling Window Hedonic Regression methodology is applied, using a rolling window of four quarters</w:t>
      </w:r>
      <w:r w:rsidR="0000776C">
        <w:rPr>
          <w:rFonts w:ascii="Verdana" w:hAnsi="Verdana"/>
          <w:sz w:val="18"/>
          <w:szCs w:val="18"/>
        </w:rPr>
        <w:t>.</w:t>
      </w:r>
      <w:r w:rsidRPr="00524985">
        <w:rPr>
          <w:rFonts w:ascii="Verdana" w:hAnsi="Verdana"/>
          <w:sz w:val="18"/>
          <w:szCs w:val="18"/>
        </w:rPr>
        <w:t xml:space="preserve"> </w:t>
      </w:r>
      <w:r w:rsidR="00640AB3">
        <w:rPr>
          <w:rFonts w:ascii="Verdana" w:hAnsi="Verdana"/>
          <w:sz w:val="18"/>
          <w:szCs w:val="18"/>
        </w:rPr>
        <w:t>Then</w:t>
      </w:r>
      <w:r w:rsidRPr="00524985">
        <w:rPr>
          <w:rFonts w:ascii="Verdana" w:hAnsi="Verdana"/>
          <w:sz w:val="18"/>
          <w:szCs w:val="18"/>
        </w:rPr>
        <w:t>, the sub-indices are weighted</w:t>
      </w:r>
      <w:r w:rsidR="00DB547F">
        <w:rPr>
          <w:rFonts w:ascii="Verdana" w:hAnsi="Verdana"/>
          <w:sz w:val="18"/>
          <w:szCs w:val="18"/>
        </w:rPr>
        <w:t xml:space="preserve"> based</w:t>
      </w:r>
      <w:r w:rsidRPr="00524985">
        <w:rPr>
          <w:rFonts w:ascii="Verdana" w:hAnsi="Verdana"/>
          <w:sz w:val="18"/>
          <w:szCs w:val="18"/>
        </w:rPr>
        <w:t xml:space="preserve"> of the total value of properties in each stratum during the previous year, resulting in the overall HPI</w:t>
      </w:r>
      <w:r w:rsidR="00D14856" w:rsidRPr="00D14856">
        <w:rPr>
          <w:rFonts w:ascii="Verdana" w:hAnsi="Verdana"/>
          <w:sz w:val="18"/>
          <w:szCs w:val="18"/>
        </w:rPr>
        <w:t xml:space="preserve">. </w:t>
      </w:r>
      <w:r w:rsidR="00D14856">
        <w:rPr>
          <w:rFonts w:ascii="Verdana" w:hAnsi="Verdana"/>
          <w:sz w:val="18"/>
          <w:szCs w:val="18"/>
        </w:rPr>
        <w:t>For the compilation of the revised HPI</w:t>
      </w:r>
      <w:r w:rsidR="0000776C">
        <w:rPr>
          <w:rFonts w:ascii="Verdana" w:hAnsi="Verdana"/>
          <w:sz w:val="18"/>
          <w:szCs w:val="18"/>
        </w:rPr>
        <w:t>,</w:t>
      </w:r>
      <w:r w:rsidR="00D14856">
        <w:rPr>
          <w:rFonts w:ascii="Verdana" w:hAnsi="Verdana"/>
          <w:sz w:val="18"/>
          <w:szCs w:val="18"/>
        </w:rPr>
        <w:t xml:space="preserve"> the following characteristics of the dwellings were used: covered floor space (in </w:t>
      </w:r>
      <w:proofErr w:type="spellStart"/>
      <w:r w:rsidR="00D14856">
        <w:rPr>
          <w:rFonts w:ascii="Verdana" w:hAnsi="Verdana"/>
          <w:sz w:val="18"/>
          <w:szCs w:val="18"/>
        </w:rPr>
        <w:t>sq.m</w:t>
      </w:r>
      <w:proofErr w:type="spellEnd"/>
      <w:r w:rsidR="00D14856">
        <w:rPr>
          <w:rFonts w:ascii="Verdana" w:hAnsi="Verdana"/>
          <w:sz w:val="18"/>
          <w:szCs w:val="18"/>
        </w:rPr>
        <w:t xml:space="preserve">.), covered terrace (in </w:t>
      </w:r>
      <w:proofErr w:type="spellStart"/>
      <w:r w:rsidR="00D14856">
        <w:rPr>
          <w:rFonts w:ascii="Verdana" w:hAnsi="Verdana"/>
          <w:sz w:val="18"/>
          <w:szCs w:val="18"/>
        </w:rPr>
        <w:t>sq.m</w:t>
      </w:r>
      <w:proofErr w:type="spellEnd"/>
      <w:r w:rsidR="00D14856">
        <w:rPr>
          <w:rFonts w:ascii="Verdana" w:hAnsi="Verdana"/>
          <w:sz w:val="18"/>
          <w:szCs w:val="18"/>
        </w:rPr>
        <w:t xml:space="preserve">.), district, quarter, type of dwelling (house or flat), buyer nationality (Cypriot or foreigner), </w:t>
      </w:r>
      <w:r w:rsidR="00D14856" w:rsidRPr="00D14856">
        <w:rPr>
          <w:rFonts w:ascii="Verdana" w:hAnsi="Verdana"/>
          <w:sz w:val="18"/>
          <w:szCs w:val="18"/>
        </w:rPr>
        <w:t>Luxury classification</w:t>
      </w:r>
      <w:r w:rsidR="00D14856">
        <w:rPr>
          <w:rFonts w:ascii="Verdana" w:hAnsi="Verdana"/>
          <w:sz w:val="18"/>
          <w:szCs w:val="18"/>
        </w:rPr>
        <w:t>, age of the dwelling (only for existing dwelling</w:t>
      </w:r>
      <w:r w:rsidR="000B63DC">
        <w:rPr>
          <w:rFonts w:ascii="Verdana" w:hAnsi="Verdana"/>
          <w:sz w:val="18"/>
          <w:szCs w:val="18"/>
        </w:rPr>
        <w:t>s</w:t>
      </w:r>
      <w:r w:rsidR="00D14856">
        <w:rPr>
          <w:rFonts w:ascii="Verdana" w:hAnsi="Verdana"/>
          <w:sz w:val="18"/>
          <w:szCs w:val="18"/>
        </w:rPr>
        <w:t xml:space="preserve">),       </w:t>
      </w:r>
    </w:p>
    <w:p w14:paraId="6C165FF6" w14:textId="77777777" w:rsidR="00D14856" w:rsidRPr="000B63DC" w:rsidRDefault="00D14856" w:rsidP="00992F76">
      <w:pPr>
        <w:spacing w:after="60"/>
        <w:jc w:val="both"/>
        <w:rPr>
          <w:rFonts w:ascii="Verdana" w:hAnsi="Verdana"/>
          <w:sz w:val="18"/>
          <w:szCs w:val="18"/>
        </w:rPr>
      </w:pPr>
    </w:p>
    <w:p w14:paraId="5BAF8C17" w14:textId="77777777" w:rsidR="00992F76" w:rsidRPr="00555B02" w:rsidRDefault="00992F76" w:rsidP="00992F76">
      <w:pPr>
        <w:pStyle w:val="Normal13pt"/>
        <w:spacing w:line="240" w:lineRule="auto"/>
        <w:ind w:left="0"/>
        <w:rPr>
          <w:rFonts w:ascii="Verdana" w:eastAsia="Malgun Gothic" w:hAnsi="Verdana" w:cs="Arial"/>
          <w:sz w:val="18"/>
          <w:szCs w:val="18"/>
          <w:lang w:val="en-US"/>
        </w:rPr>
      </w:pPr>
      <w:r>
        <w:rPr>
          <w:rFonts w:ascii="Verdana" w:eastAsia="Malgun Gothic" w:hAnsi="Verdana" w:cs="Arial"/>
          <w:sz w:val="18"/>
          <w:szCs w:val="18"/>
          <w:lang w:val="en-US"/>
        </w:rPr>
        <w:t xml:space="preserve">Base </w:t>
      </w:r>
      <w:r w:rsidR="008253EE">
        <w:rPr>
          <w:rFonts w:ascii="Verdana" w:eastAsia="Malgun Gothic" w:hAnsi="Verdana" w:cs="Arial"/>
          <w:sz w:val="18"/>
          <w:szCs w:val="18"/>
          <w:lang w:val="en-US"/>
        </w:rPr>
        <w:t>Y</w:t>
      </w:r>
      <w:r>
        <w:rPr>
          <w:rFonts w:ascii="Verdana" w:eastAsia="Malgun Gothic" w:hAnsi="Verdana" w:cs="Arial"/>
          <w:sz w:val="18"/>
          <w:szCs w:val="18"/>
          <w:lang w:val="en-US"/>
        </w:rPr>
        <w:t>ear</w:t>
      </w:r>
    </w:p>
    <w:p w14:paraId="789E2831" w14:textId="77777777" w:rsidR="00992F76" w:rsidRPr="00555B02" w:rsidRDefault="00992F76" w:rsidP="00992F76">
      <w:pPr>
        <w:tabs>
          <w:tab w:val="left" w:pos="945"/>
        </w:tabs>
        <w:rPr>
          <w:rFonts w:ascii="Verdana" w:eastAsia="Malgun Gothic" w:hAnsi="Verdana" w:cs="Arial"/>
          <w:sz w:val="18"/>
          <w:szCs w:val="18"/>
        </w:rPr>
      </w:pPr>
    </w:p>
    <w:p w14:paraId="6678D7D5" w14:textId="77777777" w:rsidR="00992F76" w:rsidRDefault="00992F76" w:rsidP="00992F76">
      <w:pPr>
        <w:rPr>
          <w:rFonts w:ascii="Verdana" w:eastAsia="Malgun Gothic" w:hAnsi="Verdana" w:cs="Arial"/>
          <w:sz w:val="18"/>
          <w:szCs w:val="18"/>
        </w:rPr>
      </w:pPr>
      <w:r w:rsidRPr="005E42D5">
        <w:rPr>
          <w:rFonts w:ascii="Verdana" w:eastAsia="Malgun Gothic" w:hAnsi="Verdana" w:cs="Arial"/>
          <w:sz w:val="18"/>
          <w:szCs w:val="18"/>
        </w:rPr>
        <w:t>The base year is 2015=100.</w:t>
      </w:r>
    </w:p>
    <w:p w14:paraId="44FD0648" w14:textId="77777777" w:rsidR="00992F76" w:rsidRPr="00555B02" w:rsidRDefault="00992F76" w:rsidP="00992F76">
      <w:pPr>
        <w:rPr>
          <w:rFonts w:ascii="Verdana" w:eastAsia="Malgun Gothic" w:hAnsi="Verdana" w:cs="Arial"/>
          <w:sz w:val="18"/>
          <w:szCs w:val="18"/>
        </w:rPr>
      </w:pPr>
    </w:p>
    <w:p w14:paraId="391D6D52" w14:textId="77777777" w:rsidR="00992F76" w:rsidRDefault="00992F76" w:rsidP="00992F76">
      <w:pPr>
        <w:rPr>
          <w:rFonts w:ascii="Verdana" w:eastAsia="Malgun Gothic" w:hAnsi="Verdana" w:cs="Arial"/>
          <w:sz w:val="18"/>
          <w:szCs w:val="18"/>
        </w:rPr>
      </w:pPr>
    </w:p>
    <w:p w14:paraId="38F7BC2E" w14:textId="77777777" w:rsidR="00992F76" w:rsidRDefault="00992F76" w:rsidP="00992F76">
      <w:pPr>
        <w:rPr>
          <w:rFonts w:ascii="Verdana" w:hAnsi="Verdana"/>
          <w:b/>
          <w:bCs/>
          <w:i/>
          <w:iCs/>
          <w:sz w:val="18"/>
          <w:szCs w:val="18"/>
          <w:lang w:val="en-GB"/>
        </w:rPr>
      </w:pPr>
      <w:r>
        <w:rPr>
          <w:rFonts w:ascii="Verdana" w:hAnsi="Verdana"/>
          <w:b/>
          <w:bCs/>
          <w:i/>
          <w:iCs/>
          <w:sz w:val="18"/>
          <w:szCs w:val="18"/>
          <w:lang w:val="en-GB"/>
        </w:rPr>
        <w:t xml:space="preserve">For more information: </w:t>
      </w:r>
    </w:p>
    <w:p w14:paraId="12FAFEF0" w14:textId="77777777" w:rsidR="00992F76" w:rsidRDefault="00992F76" w:rsidP="00992F76">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Price Indices</w:t>
        </w:r>
      </w:hyperlink>
    </w:p>
    <w:p w14:paraId="421308F1" w14:textId="6AB5C7E6" w:rsidR="00992F76" w:rsidRPr="00AC12CE" w:rsidRDefault="00992F76" w:rsidP="00992F76">
      <w:pPr>
        <w:rPr>
          <w:rFonts w:ascii="Verdana" w:hAnsi="Verdana"/>
          <w:sz w:val="18"/>
          <w:szCs w:val="18"/>
        </w:rPr>
      </w:pPr>
      <w:hyperlink r:id="rId10" w:history="1">
        <w:r>
          <w:rPr>
            <w:rStyle w:val="Hyperlink"/>
            <w:rFonts w:ascii="Verdana" w:hAnsi="Verdana"/>
            <w:sz w:val="18"/>
            <w:szCs w:val="18"/>
          </w:rPr>
          <w:t>CYSTAT-DB</w:t>
        </w:r>
      </w:hyperlink>
      <w:r w:rsidRPr="00AC12CE">
        <w:rPr>
          <w:rFonts w:ascii="Verdana" w:hAnsi="Verdana"/>
          <w:sz w:val="18"/>
          <w:szCs w:val="18"/>
        </w:rPr>
        <w:t xml:space="preserve"> </w:t>
      </w:r>
      <w:r>
        <w:rPr>
          <w:rFonts w:ascii="Verdana" w:hAnsi="Verdana"/>
          <w:sz w:val="18"/>
          <w:szCs w:val="18"/>
        </w:rPr>
        <w:t>(Online Database)</w:t>
      </w:r>
    </w:p>
    <w:p w14:paraId="70B2685C" w14:textId="77777777" w:rsidR="00C40E0D" w:rsidRPr="00C42917" w:rsidRDefault="00C40E0D" w:rsidP="00992F76">
      <w:pPr>
        <w:jc w:val="both"/>
        <w:rPr>
          <w:rFonts w:ascii="Verdana" w:hAnsi="Verdana"/>
          <w:sz w:val="18"/>
          <w:szCs w:val="18"/>
        </w:rPr>
      </w:pPr>
    </w:p>
    <w:p w14:paraId="6E72A2E9" w14:textId="77777777" w:rsidR="00CB66BF" w:rsidRPr="00CB66BF" w:rsidRDefault="00CB66BF" w:rsidP="00992F76">
      <w:pPr>
        <w:jc w:val="both"/>
        <w:rPr>
          <w:rFonts w:ascii="Verdana" w:eastAsia="Malgun Gothic" w:hAnsi="Verdana" w:cs="Arial"/>
          <w:i/>
          <w:iCs/>
          <w:sz w:val="18"/>
          <w:szCs w:val="18"/>
          <w:u w:val="single"/>
        </w:rPr>
      </w:pPr>
      <w:r w:rsidRPr="00CB66BF">
        <w:rPr>
          <w:rFonts w:ascii="Verdana" w:eastAsia="Malgun Gothic" w:hAnsi="Verdana" w:cs="Arial"/>
          <w:i/>
          <w:iCs/>
          <w:sz w:val="18"/>
          <w:szCs w:val="18"/>
          <w:u w:val="single"/>
        </w:rPr>
        <w:t>C</w:t>
      </w:r>
      <w:r>
        <w:rPr>
          <w:rFonts w:ascii="Verdana" w:eastAsia="Malgun Gothic" w:hAnsi="Verdana" w:cs="Arial"/>
          <w:i/>
          <w:iCs/>
          <w:sz w:val="18"/>
          <w:szCs w:val="18"/>
          <w:u w:val="single"/>
        </w:rPr>
        <w:t>ontact</w:t>
      </w:r>
      <w:r w:rsidRPr="00CB66BF">
        <w:rPr>
          <w:rFonts w:ascii="Verdana" w:eastAsia="Malgun Gothic" w:hAnsi="Verdana" w:cs="Arial"/>
          <w:i/>
          <w:iCs/>
          <w:sz w:val="18"/>
          <w:szCs w:val="18"/>
          <w:u w:val="single"/>
        </w:rPr>
        <w:t>:</w:t>
      </w:r>
    </w:p>
    <w:p w14:paraId="3EE0B1F7" w14:textId="1285BC35" w:rsidR="00CB66BF" w:rsidRPr="000F51AC" w:rsidRDefault="00CB66BF" w:rsidP="00EB2B7C">
      <w:pPr>
        <w:rPr>
          <w:rFonts w:ascii="Verdana" w:eastAsia="Malgun Gothic" w:hAnsi="Verdana" w:cs="Arial"/>
          <w:sz w:val="18"/>
          <w:szCs w:val="18"/>
        </w:rPr>
      </w:pPr>
      <w:r w:rsidRPr="000F51AC">
        <w:rPr>
          <w:rFonts w:ascii="Verdana" w:eastAsia="Malgun Gothic" w:hAnsi="Verdana" w:cs="Arial"/>
          <w:sz w:val="18"/>
          <w:szCs w:val="18"/>
        </w:rPr>
        <w:t>Filippos Kakoutsis</w:t>
      </w:r>
      <w:r w:rsidR="00EB2B7C">
        <w:rPr>
          <w:rFonts w:ascii="Verdana" w:eastAsia="Malgun Gothic" w:hAnsi="Verdana" w:cs="Arial"/>
          <w:sz w:val="18"/>
          <w:szCs w:val="18"/>
        </w:rPr>
        <w:t>:</w:t>
      </w:r>
      <w:r w:rsidRPr="000F51AC">
        <w:rPr>
          <w:rFonts w:ascii="Verdana" w:eastAsia="Malgun Gothic" w:hAnsi="Verdana" w:cs="Arial"/>
          <w:sz w:val="18"/>
          <w:szCs w:val="18"/>
        </w:rPr>
        <w:t xml:space="preserve"> Tel:</w:t>
      </w:r>
      <w:r w:rsidR="00EB2B7C">
        <w:rPr>
          <w:rFonts w:ascii="Verdana" w:eastAsia="Malgun Gothic" w:hAnsi="Verdana" w:cs="Arial"/>
          <w:sz w:val="18"/>
          <w:szCs w:val="18"/>
        </w:rPr>
        <w:t xml:space="preserve"> </w:t>
      </w:r>
      <w:r w:rsidRPr="000F51AC">
        <w:rPr>
          <w:rFonts w:ascii="Verdana" w:eastAsia="Malgun Gothic" w:hAnsi="Verdana" w:cs="Arial"/>
          <w:sz w:val="18"/>
          <w:szCs w:val="18"/>
        </w:rPr>
        <w:t xml:space="preserve">22605149, Email: </w:t>
      </w:r>
      <w:hyperlink r:id="rId11" w:history="1">
        <w:r w:rsidRPr="000F51AC">
          <w:rPr>
            <w:rFonts w:ascii="Verdana" w:hAnsi="Verdana"/>
            <w:color w:val="0000FF"/>
            <w:sz w:val="18"/>
            <w:szCs w:val="18"/>
          </w:rPr>
          <w:t>fkakoutsis@cystat.mof.gov.cy</w:t>
        </w:r>
      </w:hyperlink>
    </w:p>
    <w:p w14:paraId="333CF3AD" w14:textId="77777777" w:rsidR="00992F76" w:rsidRPr="00F95968" w:rsidRDefault="00992F76" w:rsidP="00EB2B7C">
      <w:pPr>
        <w:rPr>
          <w:rFonts w:ascii="Verdana" w:eastAsia="Malgun Gothic" w:hAnsi="Verdana" w:cs="Arial"/>
          <w:sz w:val="18"/>
          <w:szCs w:val="18"/>
        </w:rPr>
      </w:pPr>
    </w:p>
    <w:p w14:paraId="41A0A213" w14:textId="77777777" w:rsidR="00992F76" w:rsidRPr="00F95968" w:rsidRDefault="00992F76" w:rsidP="00992F76">
      <w:pPr>
        <w:jc w:val="both"/>
        <w:rPr>
          <w:rFonts w:ascii="Verdana" w:eastAsia="Malgun Gothic" w:hAnsi="Verdana" w:cs="Arial"/>
          <w:sz w:val="18"/>
          <w:szCs w:val="18"/>
        </w:rPr>
      </w:pPr>
    </w:p>
    <w:p w14:paraId="4A7688D8" w14:textId="77777777" w:rsidR="007437AB" w:rsidRPr="00F95968" w:rsidRDefault="007437AB" w:rsidP="006F1E66">
      <w:pPr>
        <w:jc w:val="both"/>
        <w:rPr>
          <w:rFonts w:ascii="Verdana" w:hAnsi="Verdana" w:cs="Arial"/>
          <w:sz w:val="18"/>
          <w:szCs w:val="18"/>
        </w:rPr>
      </w:pPr>
    </w:p>
    <w:p w14:paraId="406CAD6C" w14:textId="77777777" w:rsidR="00972CA0" w:rsidRPr="00F95968" w:rsidRDefault="00463214" w:rsidP="00C26329">
      <w:pPr>
        <w:jc w:val="both"/>
        <w:rPr>
          <w:rFonts w:ascii="Verdana" w:eastAsia="Malgun Gothic" w:hAnsi="Verdana" w:cs="Arial"/>
          <w:sz w:val="18"/>
          <w:szCs w:val="18"/>
        </w:rPr>
      </w:pPr>
      <w:r w:rsidRPr="00F95968">
        <w:rPr>
          <w:rFonts w:ascii="Arial" w:hAnsi="Arial" w:cs="Arial"/>
          <w:sz w:val="20"/>
          <w:szCs w:val="20"/>
        </w:rPr>
        <w:tab/>
      </w:r>
      <w:r w:rsidRPr="00F95968">
        <w:rPr>
          <w:rFonts w:ascii="Arial" w:hAnsi="Arial" w:cs="Arial"/>
          <w:sz w:val="18"/>
          <w:szCs w:val="18"/>
        </w:rPr>
        <w:tab/>
      </w:r>
    </w:p>
    <w:p w14:paraId="2445D1BE" w14:textId="77777777" w:rsidR="00972CA0" w:rsidRPr="00F95968" w:rsidRDefault="00972CA0" w:rsidP="00072754">
      <w:pPr>
        <w:jc w:val="both"/>
        <w:rPr>
          <w:rFonts w:ascii="Verdana" w:eastAsia="Malgun Gothic" w:hAnsi="Verdana" w:cs="Arial"/>
          <w:sz w:val="18"/>
          <w:szCs w:val="18"/>
        </w:rPr>
      </w:pPr>
    </w:p>
    <w:sectPr w:rsidR="00972CA0" w:rsidRPr="00F95968" w:rsidSect="00722A0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C984" w14:textId="77777777" w:rsidR="0042677B" w:rsidRDefault="0042677B" w:rsidP="00FB398F">
      <w:r>
        <w:separator/>
      </w:r>
    </w:p>
  </w:endnote>
  <w:endnote w:type="continuationSeparator" w:id="0">
    <w:p w14:paraId="655DC798" w14:textId="77777777" w:rsidR="0042677B" w:rsidRDefault="0042677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12A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B6B" w14:textId="40FC37F1" w:rsidR="0060256A" w:rsidRPr="00D86BD1" w:rsidRDefault="0060256A" w:rsidP="0060256A">
    <w:pPr>
      <w:pStyle w:val="Footer"/>
      <w:pBdr>
        <w:top w:val="single" w:sz="4" w:space="1" w:color="auto"/>
      </w:pBdr>
      <w:tabs>
        <w:tab w:val="left" w:pos="4500"/>
      </w:tabs>
      <w:jc w:val="center"/>
      <w:rPr>
        <w:rFonts w:ascii="Verdana" w:hAnsi="Verdana" w:cs="Arial"/>
        <w:sz w:val="16"/>
        <w:szCs w:val="16"/>
      </w:rPr>
    </w:pPr>
    <w:r w:rsidRPr="00D86BD1">
      <w:rPr>
        <w:rFonts w:ascii="Verdana" w:hAnsi="Verdana" w:cs="Arial"/>
        <w:sz w:val="16"/>
        <w:szCs w:val="16"/>
      </w:rPr>
      <w:t>Address: Micha</w:t>
    </w:r>
    <w:r w:rsidR="00EF6A66" w:rsidRPr="00D86BD1">
      <w:rPr>
        <w:rFonts w:ascii="Verdana" w:hAnsi="Verdana" w:cs="Arial"/>
        <w:sz w:val="16"/>
        <w:szCs w:val="16"/>
      </w:rPr>
      <w:t>el</w:t>
    </w:r>
    <w:r w:rsidRPr="00D86BD1">
      <w:rPr>
        <w:rFonts w:ascii="Verdana" w:hAnsi="Verdana" w:cs="Arial"/>
        <w:sz w:val="16"/>
        <w:szCs w:val="16"/>
      </w:rPr>
      <w:t xml:space="preserve"> Karaoli Str., 1444 Nicosia, Cyprus</w:t>
    </w:r>
  </w:p>
  <w:p w14:paraId="142DB660" w14:textId="1336D7E0" w:rsidR="00D86BD1" w:rsidRPr="00D86BD1" w:rsidRDefault="00122143" w:rsidP="0060256A">
    <w:pPr>
      <w:pStyle w:val="Footer"/>
      <w:tabs>
        <w:tab w:val="left" w:pos="4500"/>
      </w:tabs>
      <w:jc w:val="center"/>
      <w:rPr>
        <w:rFonts w:ascii="Verdana" w:hAnsi="Verdana" w:cs="Arial"/>
        <w:sz w:val="16"/>
        <w:szCs w:val="16"/>
        <w:lang w:val="pt-PT"/>
      </w:rPr>
    </w:pPr>
    <w:r w:rsidRPr="00D86BD1">
      <w:rPr>
        <w:rFonts w:ascii="Verdana" w:hAnsi="Verdana" w:cs="Arial"/>
        <w:sz w:val="16"/>
        <w:szCs w:val="16"/>
        <w:lang w:val="pt-PT"/>
      </w:rPr>
      <w:t>Tel.: 22 602129,</w:t>
    </w:r>
    <w:r w:rsidR="0060256A" w:rsidRPr="00D86BD1">
      <w:rPr>
        <w:rFonts w:ascii="Verdana" w:hAnsi="Verdana" w:cs="Arial"/>
        <w:sz w:val="16"/>
        <w:szCs w:val="16"/>
        <w:lang w:val="pt-PT"/>
      </w:rPr>
      <w:t xml:space="preserve"> E-mail: </w:t>
    </w:r>
    <w:hyperlink r:id="rId1" w:history="1">
      <w:r w:rsidR="00D86BD1" w:rsidRPr="00856FD9">
        <w:rPr>
          <w:rStyle w:val="Hyperlink"/>
          <w:rFonts w:ascii="Verdana" w:hAnsi="Verdana" w:cs="Arial"/>
          <w:sz w:val="16"/>
          <w:szCs w:val="16"/>
          <w:lang w:val="pt-PT"/>
        </w:rPr>
        <w:t>enquiries@cystat.mof.gov.cy</w:t>
      </w:r>
    </w:hyperlink>
  </w:p>
  <w:p w14:paraId="3B2E54CE" w14:textId="6EEE2487" w:rsidR="00D86BD1" w:rsidRPr="00D86BD1" w:rsidRDefault="0060256A" w:rsidP="0060256A">
    <w:pPr>
      <w:pStyle w:val="Footer"/>
      <w:tabs>
        <w:tab w:val="left" w:pos="4500"/>
      </w:tabs>
      <w:jc w:val="center"/>
      <w:rPr>
        <w:rFonts w:ascii="Verdana" w:hAnsi="Verdana" w:cs="Arial"/>
        <w:sz w:val="16"/>
        <w:szCs w:val="16"/>
      </w:rPr>
    </w:pPr>
    <w:r w:rsidRPr="00D86BD1">
      <w:rPr>
        <w:rFonts w:ascii="Verdana" w:hAnsi="Verdana" w:cs="Arial"/>
        <w:sz w:val="16"/>
        <w:szCs w:val="16"/>
      </w:rPr>
      <w:t xml:space="preserve">Web </w:t>
    </w:r>
    <w:r w:rsidR="00D86BD1">
      <w:rPr>
        <w:rFonts w:ascii="Verdana" w:hAnsi="Verdana" w:cs="Arial"/>
        <w:sz w:val="16"/>
        <w:szCs w:val="16"/>
      </w:rPr>
      <w:t>Portal</w:t>
    </w:r>
    <w:r w:rsidRPr="00D86BD1">
      <w:rPr>
        <w:rFonts w:ascii="Verdana" w:hAnsi="Verdana" w:cs="Arial"/>
        <w:sz w:val="16"/>
        <w:szCs w:val="16"/>
      </w:rPr>
      <w:t xml:space="preserve">: </w:t>
    </w:r>
    <w:hyperlink r:id="rId2" w:history="1">
      <w:r w:rsidRPr="00D86BD1">
        <w:rPr>
          <w:rStyle w:val="Hyperlink"/>
          <w:rFonts w:ascii="Verdana" w:hAnsi="Verdana" w:cs="Arial"/>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A144" w14:textId="77777777" w:rsidR="0042677B" w:rsidRDefault="0042677B" w:rsidP="00FB398F">
      <w:r>
        <w:separator/>
      </w:r>
    </w:p>
  </w:footnote>
  <w:footnote w:type="continuationSeparator" w:id="0">
    <w:p w14:paraId="5E599109" w14:textId="77777777" w:rsidR="0042677B" w:rsidRDefault="0042677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24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BEAB" w14:textId="3D150A6F" w:rsidR="004E4F42" w:rsidRDefault="00F57AD3"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7FDCC28C" wp14:editId="338CD6B1">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320648A" wp14:editId="107C9D51">
              <wp:simplePos x="0" y="0"/>
              <wp:positionH relativeFrom="column">
                <wp:posOffset>4772660</wp:posOffset>
              </wp:positionH>
              <wp:positionV relativeFrom="paragraph">
                <wp:posOffset>-69215</wp:posOffset>
              </wp:positionV>
              <wp:extent cx="1287780" cy="1047750"/>
              <wp:effectExtent l="0" t="0" r="8255" b="0"/>
              <wp:wrapNone/>
              <wp:docPr id="688855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0648A"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BDE51E" wp14:editId="5B2752D6">
              <wp:simplePos x="0" y="0"/>
              <wp:positionH relativeFrom="column">
                <wp:posOffset>3439160</wp:posOffset>
              </wp:positionH>
              <wp:positionV relativeFrom="paragraph">
                <wp:posOffset>-221615</wp:posOffset>
              </wp:positionV>
              <wp:extent cx="1468755" cy="1200150"/>
              <wp:effectExtent l="0" t="0" r="0" b="0"/>
              <wp:wrapNone/>
              <wp:docPr id="144376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E51E"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E294FC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1E6853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90AB54"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0097907"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674E543" w14:textId="3C47495F" w:rsidR="00364377" w:rsidRPr="00D86BD1" w:rsidRDefault="00F57AD3"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3C0B615A" wp14:editId="6C830A5F">
              <wp:simplePos x="0" y="0"/>
              <wp:positionH relativeFrom="column">
                <wp:posOffset>4102100</wp:posOffset>
              </wp:positionH>
              <wp:positionV relativeFrom="paragraph">
                <wp:posOffset>-140335</wp:posOffset>
              </wp:positionV>
              <wp:extent cx="1828800" cy="533400"/>
              <wp:effectExtent l="0" t="0" r="0" b="0"/>
              <wp:wrapNone/>
              <wp:docPr id="29164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19586669" w14:textId="77777777" w:rsidR="0060256A" w:rsidRPr="00D86BD1" w:rsidRDefault="0060256A" w:rsidP="0060256A">
                          <w:pPr>
                            <w:jc w:val="center"/>
                            <w:rPr>
                              <w:rFonts w:ascii="Verdana" w:hAnsi="Verdana" w:cs="Arial"/>
                              <w:b/>
                              <w:sz w:val="20"/>
                              <w:szCs w:val="20"/>
                            </w:rPr>
                          </w:pPr>
                          <w:r w:rsidRPr="00D86BD1">
                            <w:rPr>
                              <w:rFonts w:ascii="Verdana" w:hAnsi="Verdana" w:cs="Arial"/>
                              <w:b/>
                              <w:sz w:val="20"/>
                              <w:szCs w:val="20"/>
                            </w:rPr>
                            <w:t>STATISTICAL SERVICE</w:t>
                          </w:r>
                        </w:p>
                        <w:p w14:paraId="6FE2B75B" w14:textId="77777777" w:rsidR="0060256A" w:rsidRPr="00D86BD1" w:rsidRDefault="0060256A" w:rsidP="0060256A">
                          <w:pPr>
                            <w:jc w:val="center"/>
                            <w:rPr>
                              <w:rFonts w:ascii="Verdana" w:hAnsi="Verdana" w:cs="Arial"/>
                              <w:sz w:val="20"/>
                              <w:szCs w:val="20"/>
                            </w:rPr>
                          </w:pPr>
                          <w:r w:rsidRPr="00D86BD1">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B615A"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19586669" w14:textId="77777777" w:rsidR="0060256A" w:rsidRPr="00D86BD1" w:rsidRDefault="0060256A" w:rsidP="0060256A">
                    <w:pPr>
                      <w:jc w:val="center"/>
                      <w:rPr>
                        <w:rFonts w:ascii="Verdana" w:hAnsi="Verdana" w:cs="Arial"/>
                        <w:b/>
                        <w:sz w:val="20"/>
                        <w:szCs w:val="20"/>
                      </w:rPr>
                    </w:pPr>
                    <w:r w:rsidRPr="00D86BD1">
                      <w:rPr>
                        <w:rFonts w:ascii="Verdana" w:hAnsi="Verdana" w:cs="Arial"/>
                        <w:b/>
                        <w:sz w:val="20"/>
                        <w:szCs w:val="20"/>
                      </w:rPr>
                      <w:t>STATISTICAL SERVICE</w:t>
                    </w:r>
                  </w:p>
                  <w:p w14:paraId="6FE2B75B" w14:textId="77777777" w:rsidR="0060256A" w:rsidRPr="00D86BD1" w:rsidRDefault="0060256A" w:rsidP="0060256A">
                    <w:pPr>
                      <w:jc w:val="center"/>
                      <w:rPr>
                        <w:rFonts w:ascii="Verdana" w:hAnsi="Verdana" w:cs="Arial"/>
                        <w:sz w:val="20"/>
                        <w:szCs w:val="20"/>
                      </w:rPr>
                    </w:pPr>
                    <w:r w:rsidRPr="00D86BD1">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D86BD1">
      <w:rPr>
        <w:rFonts w:ascii="Verdana" w:hAnsi="Verdana" w:cs="Arial"/>
        <w:bCs/>
        <w:sz w:val="20"/>
        <w:szCs w:val="20"/>
        <w:lang w:val="en-US"/>
      </w:rPr>
      <w:t>REPUBLIC OF CYPRUS</w:t>
    </w:r>
    <w:r w:rsidR="00364377" w:rsidRPr="00D86BD1">
      <w:rPr>
        <w:rFonts w:ascii="Verdana" w:hAnsi="Verdana"/>
        <w:b/>
        <w:bCs/>
        <w:sz w:val="20"/>
        <w:szCs w:val="20"/>
        <w:lang w:val="en-US"/>
      </w:rPr>
      <w:t xml:space="preserve"> </w:t>
    </w:r>
    <w:r w:rsidR="00364377" w:rsidRPr="00D86BD1">
      <w:rPr>
        <w:rFonts w:ascii="Verdana" w:hAnsi="Verdana"/>
        <w:b/>
        <w:bCs/>
        <w:sz w:val="20"/>
        <w:szCs w:val="20"/>
        <w:lang w:val="en-US"/>
      </w:rPr>
      <w:tab/>
    </w:r>
  </w:p>
  <w:p w14:paraId="2D8C2331"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42EDF32"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40991200">
    <w:abstractNumId w:val="4"/>
  </w:num>
  <w:num w:numId="2" w16cid:durableId="1519078583">
    <w:abstractNumId w:val="1"/>
  </w:num>
  <w:num w:numId="3" w16cid:durableId="1307319992">
    <w:abstractNumId w:val="2"/>
  </w:num>
  <w:num w:numId="4" w16cid:durableId="812063793">
    <w:abstractNumId w:val="3"/>
  </w:num>
  <w:num w:numId="5" w16cid:durableId="730888958">
    <w:abstractNumId w:val="0"/>
  </w:num>
  <w:num w:numId="6" w16cid:durableId="1887138226">
    <w:abstractNumId w:val="5"/>
  </w:num>
  <w:num w:numId="7" w16cid:durableId="2094665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F9A"/>
    <w:rsid w:val="00004F86"/>
    <w:rsid w:val="0000542E"/>
    <w:rsid w:val="0000776C"/>
    <w:rsid w:val="00010EA5"/>
    <w:rsid w:val="00013E40"/>
    <w:rsid w:val="000161B1"/>
    <w:rsid w:val="00025A39"/>
    <w:rsid w:val="00027853"/>
    <w:rsid w:val="00030E18"/>
    <w:rsid w:val="00031D32"/>
    <w:rsid w:val="000323FA"/>
    <w:rsid w:val="00034E13"/>
    <w:rsid w:val="00035C99"/>
    <w:rsid w:val="0003603D"/>
    <w:rsid w:val="00036FA9"/>
    <w:rsid w:val="00037806"/>
    <w:rsid w:val="00045088"/>
    <w:rsid w:val="0004544F"/>
    <w:rsid w:val="00045A06"/>
    <w:rsid w:val="00047EA3"/>
    <w:rsid w:val="00050391"/>
    <w:rsid w:val="00055291"/>
    <w:rsid w:val="000563D3"/>
    <w:rsid w:val="00057E44"/>
    <w:rsid w:val="00061299"/>
    <w:rsid w:val="00066B22"/>
    <w:rsid w:val="00070576"/>
    <w:rsid w:val="00072754"/>
    <w:rsid w:val="000752BB"/>
    <w:rsid w:val="00076942"/>
    <w:rsid w:val="00077540"/>
    <w:rsid w:val="00081ADF"/>
    <w:rsid w:val="00084A02"/>
    <w:rsid w:val="00084BF7"/>
    <w:rsid w:val="000870E9"/>
    <w:rsid w:val="000932CF"/>
    <w:rsid w:val="00096ED8"/>
    <w:rsid w:val="000A1082"/>
    <w:rsid w:val="000A108C"/>
    <w:rsid w:val="000A1A88"/>
    <w:rsid w:val="000A2B5C"/>
    <w:rsid w:val="000A3601"/>
    <w:rsid w:val="000A6BBC"/>
    <w:rsid w:val="000A6FA8"/>
    <w:rsid w:val="000B42FA"/>
    <w:rsid w:val="000B63DC"/>
    <w:rsid w:val="000B6F3B"/>
    <w:rsid w:val="000C4E72"/>
    <w:rsid w:val="000D1E7A"/>
    <w:rsid w:val="000E24B1"/>
    <w:rsid w:val="000E2735"/>
    <w:rsid w:val="000E32D6"/>
    <w:rsid w:val="000E4155"/>
    <w:rsid w:val="000E57F2"/>
    <w:rsid w:val="000E72A7"/>
    <w:rsid w:val="000F1162"/>
    <w:rsid w:val="000F3467"/>
    <w:rsid w:val="000F38DE"/>
    <w:rsid w:val="000F4A8F"/>
    <w:rsid w:val="000F51AC"/>
    <w:rsid w:val="000F5D6C"/>
    <w:rsid w:val="00103B59"/>
    <w:rsid w:val="00106852"/>
    <w:rsid w:val="00110F9D"/>
    <w:rsid w:val="00114A67"/>
    <w:rsid w:val="00122143"/>
    <w:rsid w:val="001253B6"/>
    <w:rsid w:val="00127320"/>
    <w:rsid w:val="00127456"/>
    <w:rsid w:val="001312D8"/>
    <w:rsid w:val="0013137B"/>
    <w:rsid w:val="0015118B"/>
    <w:rsid w:val="001519CE"/>
    <w:rsid w:val="001609F4"/>
    <w:rsid w:val="00161CF3"/>
    <w:rsid w:val="00162C00"/>
    <w:rsid w:val="001639EF"/>
    <w:rsid w:val="00163A5E"/>
    <w:rsid w:val="0016589F"/>
    <w:rsid w:val="00166FC4"/>
    <w:rsid w:val="00167FE2"/>
    <w:rsid w:val="001718F2"/>
    <w:rsid w:val="00176558"/>
    <w:rsid w:val="0017756A"/>
    <w:rsid w:val="0017769A"/>
    <w:rsid w:val="00183DFC"/>
    <w:rsid w:val="00184384"/>
    <w:rsid w:val="001849E1"/>
    <w:rsid w:val="001854BD"/>
    <w:rsid w:val="00186717"/>
    <w:rsid w:val="0018766A"/>
    <w:rsid w:val="00187FFC"/>
    <w:rsid w:val="00194AFD"/>
    <w:rsid w:val="001A2018"/>
    <w:rsid w:val="001A3DD4"/>
    <w:rsid w:val="001A5ADA"/>
    <w:rsid w:val="001B2C39"/>
    <w:rsid w:val="001B3675"/>
    <w:rsid w:val="001B54AB"/>
    <w:rsid w:val="001B5E10"/>
    <w:rsid w:val="001B6AB3"/>
    <w:rsid w:val="001B73D5"/>
    <w:rsid w:val="001C0681"/>
    <w:rsid w:val="001C14B9"/>
    <w:rsid w:val="001C62B3"/>
    <w:rsid w:val="001C7C8C"/>
    <w:rsid w:val="001D0D6A"/>
    <w:rsid w:val="001D1087"/>
    <w:rsid w:val="001D20A4"/>
    <w:rsid w:val="001E00D1"/>
    <w:rsid w:val="001E0E58"/>
    <w:rsid w:val="001E14F3"/>
    <w:rsid w:val="001E15ED"/>
    <w:rsid w:val="001E2529"/>
    <w:rsid w:val="001E307E"/>
    <w:rsid w:val="001E61AA"/>
    <w:rsid w:val="001E7D09"/>
    <w:rsid w:val="0020309E"/>
    <w:rsid w:val="00205BA0"/>
    <w:rsid w:val="00210B58"/>
    <w:rsid w:val="00222423"/>
    <w:rsid w:val="00225B28"/>
    <w:rsid w:val="002313AC"/>
    <w:rsid w:val="00235FB2"/>
    <w:rsid w:val="00237BC1"/>
    <w:rsid w:val="002430B4"/>
    <w:rsid w:val="002447D0"/>
    <w:rsid w:val="002454C5"/>
    <w:rsid w:val="00245E19"/>
    <w:rsid w:val="0024685F"/>
    <w:rsid w:val="00246AEB"/>
    <w:rsid w:val="00247A00"/>
    <w:rsid w:val="00250005"/>
    <w:rsid w:val="0025254F"/>
    <w:rsid w:val="0025566D"/>
    <w:rsid w:val="0025595C"/>
    <w:rsid w:val="00257149"/>
    <w:rsid w:val="002576E7"/>
    <w:rsid w:val="0025790D"/>
    <w:rsid w:val="00260357"/>
    <w:rsid w:val="00261A19"/>
    <w:rsid w:val="00262554"/>
    <w:rsid w:val="00264F04"/>
    <w:rsid w:val="00266BC7"/>
    <w:rsid w:val="00266F1B"/>
    <w:rsid w:val="00267554"/>
    <w:rsid w:val="002704C5"/>
    <w:rsid w:val="0027122D"/>
    <w:rsid w:val="00273DF1"/>
    <w:rsid w:val="00274A30"/>
    <w:rsid w:val="0028338F"/>
    <w:rsid w:val="00285C24"/>
    <w:rsid w:val="002915C4"/>
    <w:rsid w:val="002A1D1C"/>
    <w:rsid w:val="002A4D64"/>
    <w:rsid w:val="002B6554"/>
    <w:rsid w:val="002D05F0"/>
    <w:rsid w:val="002D7D4A"/>
    <w:rsid w:val="002E1906"/>
    <w:rsid w:val="002E3846"/>
    <w:rsid w:val="002E3F78"/>
    <w:rsid w:val="002F400C"/>
    <w:rsid w:val="002F4D76"/>
    <w:rsid w:val="002F4DCD"/>
    <w:rsid w:val="002F6D26"/>
    <w:rsid w:val="0030231E"/>
    <w:rsid w:val="003042C4"/>
    <w:rsid w:val="00304CB4"/>
    <w:rsid w:val="00313F37"/>
    <w:rsid w:val="003141D0"/>
    <w:rsid w:val="003168C1"/>
    <w:rsid w:val="00322FBE"/>
    <w:rsid w:val="00325632"/>
    <w:rsid w:val="00327549"/>
    <w:rsid w:val="003342A5"/>
    <w:rsid w:val="003356BE"/>
    <w:rsid w:val="00336C36"/>
    <w:rsid w:val="00343815"/>
    <w:rsid w:val="003522BB"/>
    <w:rsid w:val="00352F6C"/>
    <w:rsid w:val="003556EA"/>
    <w:rsid w:val="00364377"/>
    <w:rsid w:val="00377ABB"/>
    <w:rsid w:val="00383CFB"/>
    <w:rsid w:val="003854F5"/>
    <w:rsid w:val="00386FC7"/>
    <w:rsid w:val="00390A32"/>
    <w:rsid w:val="00396C89"/>
    <w:rsid w:val="003A1287"/>
    <w:rsid w:val="003A40F2"/>
    <w:rsid w:val="003A50D1"/>
    <w:rsid w:val="003B196D"/>
    <w:rsid w:val="003B2710"/>
    <w:rsid w:val="003B4608"/>
    <w:rsid w:val="003B56D3"/>
    <w:rsid w:val="003C1B8E"/>
    <w:rsid w:val="003C2392"/>
    <w:rsid w:val="003C5174"/>
    <w:rsid w:val="003C5240"/>
    <w:rsid w:val="003D14E0"/>
    <w:rsid w:val="003D1EA5"/>
    <w:rsid w:val="003D3348"/>
    <w:rsid w:val="003D6822"/>
    <w:rsid w:val="003D724C"/>
    <w:rsid w:val="003E0CE2"/>
    <w:rsid w:val="003F49E4"/>
    <w:rsid w:val="003F4D2F"/>
    <w:rsid w:val="003F5E32"/>
    <w:rsid w:val="003F75F6"/>
    <w:rsid w:val="00404670"/>
    <w:rsid w:val="00414CA0"/>
    <w:rsid w:val="00422F54"/>
    <w:rsid w:val="0042677B"/>
    <w:rsid w:val="00431516"/>
    <w:rsid w:val="004361B3"/>
    <w:rsid w:val="0044249D"/>
    <w:rsid w:val="0044379F"/>
    <w:rsid w:val="00446FB1"/>
    <w:rsid w:val="0046078F"/>
    <w:rsid w:val="00463214"/>
    <w:rsid w:val="0046420D"/>
    <w:rsid w:val="0046434D"/>
    <w:rsid w:val="00464F2B"/>
    <w:rsid w:val="004656FA"/>
    <w:rsid w:val="00466CD9"/>
    <w:rsid w:val="00470574"/>
    <w:rsid w:val="00471B21"/>
    <w:rsid w:val="00471D77"/>
    <w:rsid w:val="00475587"/>
    <w:rsid w:val="00480BC2"/>
    <w:rsid w:val="00481930"/>
    <w:rsid w:val="00485743"/>
    <w:rsid w:val="004929C2"/>
    <w:rsid w:val="00493FDD"/>
    <w:rsid w:val="0049586B"/>
    <w:rsid w:val="00497546"/>
    <w:rsid w:val="004A0654"/>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E67CB"/>
    <w:rsid w:val="004F03FD"/>
    <w:rsid w:val="004F4C9C"/>
    <w:rsid w:val="004F4DC9"/>
    <w:rsid w:val="004F52F0"/>
    <w:rsid w:val="004F6250"/>
    <w:rsid w:val="004F677C"/>
    <w:rsid w:val="004F6D8F"/>
    <w:rsid w:val="00505503"/>
    <w:rsid w:val="0051107B"/>
    <w:rsid w:val="00512F9C"/>
    <w:rsid w:val="00514172"/>
    <w:rsid w:val="00524985"/>
    <w:rsid w:val="00527CDB"/>
    <w:rsid w:val="005317FB"/>
    <w:rsid w:val="005341C9"/>
    <w:rsid w:val="005369CA"/>
    <w:rsid w:val="00536DE9"/>
    <w:rsid w:val="00540668"/>
    <w:rsid w:val="00541E08"/>
    <w:rsid w:val="00543CDE"/>
    <w:rsid w:val="00555B24"/>
    <w:rsid w:val="005574EB"/>
    <w:rsid w:val="0055789A"/>
    <w:rsid w:val="00561E4D"/>
    <w:rsid w:val="005652D1"/>
    <w:rsid w:val="005660A0"/>
    <w:rsid w:val="00566A4F"/>
    <w:rsid w:val="00567D64"/>
    <w:rsid w:val="00572BC2"/>
    <w:rsid w:val="00587F7A"/>
    <w:rsid w:val="005938ED"/>
    <w:rsid w:val="00593F3F"/>
    <w:rsid w:val="0059478C"/>
    <w:rsid w:val="00595BC6"/>
    <w:rsid w:val="0059660F"/>
    <w:rsid w:val="005978D4"/>
    <w:rsid w:val="005B2A67"/>
    <w:rsid w:val="005B3DCD"/>
    <w:rsid w:val="005B4AD4"/>
    <w:rsid w:val="005B5CC7"/>
    <w:rsid w:val="005C196D"/>
    <w:rsid w:val="005C2798"/>
    <w:rsid w:val="005C36C3"/>
    <w:rsid w:val="005C4E0A"/>
    <w:rsid w:val="005C56EE"/>
    <w:rsid w:val="005C5D4B"/>
    <w:rsid w:val="005C761E"/>
    <w:rsid w:val="005D1293"/>
    <w:rsid w:val="005D1714"/>
    <w:rsid w:val="005D2D39"/>
    <w:rsid w:val="005D7638"/>
    <w:rsid w:val="005F12F5"/>
    <w:rsid w:val="005F32BD"/>
    <w:rsid w:val="005F4B4F"/>
    <w:rsid w:val="005F7AD6"/>
    <w:rsid w:val="005F7C7D"/>
    <w:rsid w:val="0060256A"/>
    <w:rsid w:val="006044B7"/>
    <w:rsid w:val="006071CE"/>
    <w:rsid w:val="006075B5"/>
    <w:rsid w:val="0061018C"/>
    <w:rsid w:val="0061094E"/>
    <w:rsid w:val="00613440"/>
    <w:rsid w:val="00613BE3"/>
    <w:rsid w:val="0062327B"/>
    <w:rsid w:val="00624820"/>
    <w:rsid w:val="00632777"/>
    <w:rsid w:val="00633750"/>
    <w:rsid w:val="00634491"/>
    <w:rsid w:val="00634E06"/>
    <w:rsid w:val="0063679C"/>
    <w:rsid w:val="00637055"/>
    <w:rsid w:val="00640AB3"/>
    <w:rsid w:val="00641D59"/>
    <w:rsid w:val="00644507"/>
    <w:rsid w:val="00646880"/>
    <w:rsid w:val="00646DE2"/>
    <w:rsid w:val="00647D2A"/>
    <w:rsid w:val="006520D5"/>
    <w:rsid w:val="00652392"/>
    <w:rsid w:val="006537BB"/>
    <w:rsid w:val="0065711B"/>
    <w:rsid w:val="00661386"/>
    <w:rsid w:val="00671785"/>
    <w:rsid w:val="00672BA9"/>
    <w:rsid w:val="00673005"/>
    <w:rsid w:val="006804BE"/>
    <w:rsid w:val="0069008E"/>
    <w:rsid w:val="0069087E"/>
    <w:rsid w:val="00691191"/>
    <w:rsid w:val="006925C4"/>
    <w:rsid w:val="0069309C"/>
    <w:rsid w:val="006A02B7"/>
    <w:rsid w:val="006A6241"/>
    <w:rsid w:val="006B46D5"/>
    <w:rsid w:val="006B46F4"/>
    <w:rsid w:val="006C7AF3"/>
    <w:rsid w:val="006D6548"/>
    <w:rsid w:val="006E0E20"/>
    <w:rsid w:val="006E4256"/>
    <w:rsid w:val="006E4BBA"/>
    <w:rsid w:val="006E5F43"/>
    <w:rsid w:val="006E60A6"/>
    <w:rsid w:val="006F00A0"/>
    <w:rsid w:val="006F0F69"/>
    <w:rsid w:val="006F116B"/>
    <w:rsid w:val="006F117F"/>
    <w:rsid w:val="006F13DF"/>
    <w:rsid w:val="006F1E66"/>
    <w:rsid w:val="00702F26"/>
    <w:rsid w:val="0070313E"/>
    <w:rsid w:val="00703799"/>
    <w:rsid w:val="00705C5C"/>
    <w:rsid w:val="00711475"/>
    <w:rsid w:val="00722A0D"/>
    <w:rsid w:val="00723D88"/>
    <w:rsid w:val="0072548A"/>
    <w:rsid w:val="007277A6"/>
    <w:rsid w:val="0073283C"/>
    <w:rsid w:val="00736BDF"/>
    <w:rsid w:val="00737A15"/>
    <w:rsid w:val="007437AB"/>
    <w:rsid w:val="00750171"/>
    <w:rsid w:val="007534F8"/>
    <w:rsid w:val="007545AD"/>
    <w:rsid w:val="00760F1D"/>
    <w:rsid w:val="00763722"/>
    <w:rsid w:val="00764BC1"/>
    <w:rsid w:val="00770869"/>
    <w:rsid w:val="007738AA"/>
    <w:rsid w:val="00780A62"/>
    <w:rsid w:val="00783241"/>
    <w:rsid w:val="007838EC"/>
    <w:rsid w:val="00784BDC"/>
    <w:rsid w:val="007902EB"/>
    <w:rsid w:val="00792F28"/>
    <w:rsid w:val="0079543F"/>
    <w:rsid w:val="00795880"/>
    <w:rsid w:val="00796B8E"/>
    <w:rsid w:val="007A4367"/>
    <w:rsid w:val="007A69E1"/>
    <w:rsid w:val="007B0867"/>
    <w:rsid w:val="007B1AC1"/>
    <w:rsid w:val="007B31B6"/>
    <w:rsid w:val="007B5A08"/>
    <w:rsid w:val="007B693D"/>
    <w:rsid w:val="007D0338"/>
    <w:rsid w:val="007D5CAC"/>
    <w:rsid w:val="007E041B"/>
    <w:rsid w:val="007E199A"/>
    <w:rsid w:val="007E2415"/>
    <w:rsid w:val="007E39F3"/>
    <w:rsid w:val="007E68F4"/>
    <w:rsid w:val="007F31BA"/>
    <w:rsid w:val="007F4078"/>
    <w:rsid w:val="0080014B"/>
    <w:rsid w:val="00801793"/>
    <w:rsid w:val="00803642"/>
    <w:rsid w:val="00806EA2"/>
    <w:rsid w:val="00812A2B"/>
    <w:rsid w:val="00813626"/>
    <w:rsid w:val="00814A4C"/>
    <w:rsid w:val="008253EE"/>
    <w:rsid w:val="00831AAB"/>
    <w:rsid w:val="00834B06"/>
    <w:rsid w:val="0083574E"/>
    <w:rsid w:val="0083640C"/>
    <w:rsid w:val="00836BBF"/>
    <w:rsid w:val="0084157B"/>
    <w:rsid w:val="00842BFB"/>
    <w:rsid w:val="00846B85"/>
    <w:rsid w:val="00847DC3"/>
    <w:rsid w:val="00847F49"/>
    <w:rsid w:val="00851CAC"/>
    <w:rsid w:val="008535C5"/>
    <w:rsid w:val="00853765"/>
    <w:rsid w:val="0085516F"/>
    <w:rsid w:val="00861278"/>
    <w:rsid w:val="008628B9"/>
    <w:rsid w:val="0086693C"/>
    <w:rsid w:val="00867186"/>
    <w:rsid w:val="00870AF6"/>
    <w:rsid w:val="00881268"/>
    <w:rsid w:val="0088394A"/>
    <w:rsid w:val="008860BD"/>
    <w:rsid w:val="00887399"/>
    <w:rsid w:val="0088779E"/>
    <w:rsid w:val="008912AF"/>
    <w:rsid w:val="00891C7C"/>
    <w:rsid w:val="00892114"/>
    <w:rsid w:val="00892CB9"/>
    <w:rsid w:val="00893278"/>
    <w:rsid w:val="008935CB"/>
    <w:rsid w:val="008A1F6A"/>
    <w:rsid w:val="008B0E7E"/>
    <w:rsid w:val="008B5FF0"/>
    <w:rsid w:val="008B65BD"/>
    <w:rsid w:val="008B7900"/>
    <w:rsid w:val="008C71BF"/>
    <w:rsid w:val="008C7FE0"/>
    <w:rsid w:val="008D5717"/>
    <w:rsid w:val="008E3067"/>
    <w:rsid w:val="008E44A9"/>
    <w:rsid w:val="008E6B4D"/>
    <w:rsid w:val="008E6BFF"/>
    <w:rsid w:val="008F21AF"/>
    <w:rsid w:val="008F22ED"/>
    <w:rsid w:val="008F2400"/>
    <w:rsid w:val="008F61BA"/>
    <w:rsid w:val="008F6E3C"/>
    <w:rsid w:val="008F7C55"/>
    <w:rsid w:val="0090338C"/>
    <w:rsid w:val="00914A23"/>
    <w:rsid w:val="00930754"/>
    <w:rsid w:val="00931164"/>
    <w:rsid w:val="009346B9"/>
    <w:rsid w:val="00934E6B"/>
    <w:rsid w:val="00934F68"/>
    <w:rsid w:val="009355AC"/>
    <w:rsid w:val="00935F38"/>
    <w:rsid w:val="00936958"/>
    <w:rsid w:val="00937586"/>
    <w:rsid w:val="00947889"/>
    <w:rsid w:val="0095405B"/>
    <w:rsid w:val="00960E98"/>
    <w:rsid w:val="009623F6"/>
    <w:rsid w:val="00963A82"/>
    <w:rsid w:val="00964B2C"/>
    <w:rsid w:val="00972912"/>
    <w:rsid w:val="00972CA0"/>
    <w:rsid w:val="00976D1F"/>
    <w:rsid w:val="00981C81"/>
    <w:rsid w:val="00986A08"/>
    <w:rsid w:val="009915DA"/>
    <w:rsid w:val="00992209"/>
    <w:rsid w:val="00992F76"/>
    <w:rsid w:val="00993174"/>
    <w:rsid w:val="009A2874"/>
    <w:rsid w:val="009A2D24"/>
    <w:rsid w:val="009A456C"/>
    <w:rsid w:val="009A4B24"/>
    <w:rsid w:val="009B00E0"/>
    <w:rsid w:val="009B292A"/>
    <w:rsid w:val="009B39D0"/>
    <w:rsid w:val="009B76D5"/>
    <w:rsid w:val="009C165D"/>
    <w:rsid w:val="009C37F7"/>
    <w:rsid w:val="009C3CEA"/>
    <w:rsid w:val="009C583D"/>
    <w:rsid w:val="009D2611"/>
    <w:rsid w:val="009D79D2"/>
    <w:rsid w:val="009E247C"/>
    <w:rsid w:val="009E31BA"/>
    <w:rsid w:val="009E7F26"/>
    <w:rsid w:val="009F0528"/>
    <w:rsid w:val="009F0806"/>
    <w:rsid w:val="009F0B47"/>
    <w:rsid w:val="009F233B"/>
    <w:rsid w:val="00A007CD"/>
    <w:rsid w:val="00A05D16"/>
    <w:rsid w:val="00A0659F"/>
    <w:rsid w:val="00A071B0"/>
    <w:rsid w:val="00A079BA"/>
    <w:rsid w:val="00A23676"/>
    <w:rsid w:val="00A258C1"/>
    <w:rsid w:val="00A25BF6"/>
    <w:rsid w:val="00A33875"/>
    <w:rsid w:val="00A341D6"/>
    <w:rsid w:val="00A360A1"/>
    <w:rsid w:val="00A402B3"/>
    <w:rsid w:val="00A42F9C"/>
    <w:rsid w:val="00A46275"/>
    <w:rsid w:val="00A51EC6"/>
    <w:rsid w:val="00A544B7"/>
    <w:rsid w:val="00A618CF"/>
    <w:rsid w:val="00A62770"/>
    <w:rsid w:val="00A62D94"/>
    <w:rsid w:val="00A62EEB"/>
    <w:rsid w:val="00A660FF"/>
    <w:rsid w:val="00A6625A"/>
    <w:rsid w:val="00A66266"/>
    <w:rsid w:val="00A73395"/>
    <w:rsid w:val="00A7350C"/>
    <w:rsid w:val="00A82B4C"/>
    <w:rsid w:val="00A93A4C"/>
    <w:rsid w:val="00A94D5D"/>
    <w:rsid w:val="00AA1D9B"/>
    <w:rsid w:val="00AA2543"/>
    <w:rsid w:val="00AA3804"/>
    <w:rsid w:val="00AA55C2"/>
    <w:rsid w:val="00AB0ACA"/>
    <w:rsid w:val="00AB1D41"/>
    <w:rsid w:val="00AB270E"/>
    <w:rsid w:val="00AC5E9A"/>
    <w:rsid w:val="00AC704B"/>
    <w:rsid w:val="00AC7C37"/>
    <w:rsid w:val="00AD553E"/>
    <w:rsid w:val="00AD5848"/>
    <w:rsid w:val="00AE062A"/>
    <w:rsid w:val="00AE45A2"/>
    <w:rsid w:val="00AE5ADA"/>
    <w:rsid w:val="00AE7486"/>
    <w:rsid w:val="00AE7A60"/>
    <w:rsid w:val="00AF6145"/>
    <w:rsid w:val="00B01386"/>
    <w:rsid w:val="00B01A6B"/>
    <w:rsid w:val="00B01BB5"/>
    <w:rsid w:val="00B04AF4"/>
    <w:rsid w:val="00B04CAD"/>
    <w:rsid w:val="00B05214"/>
    <w:rsid w:val="00B060BE"/>
    <w:rsid w:val="00B0736F"/>
    <w:rsid w:val="00B11B7F"/>
    <w:rsid w:val="00B12479"/>
    <w:rsid w:val="00B26EC4"/>
    <w:rsid w:val="00B30D97"/>
    <w:rsid w:val="00B31738"/>
    <w:rsid w:val="00B3181A"/>
    <w:rsid w:val="00B35A7C"/>
    <w:rsid w:val="00B43AE4"/>
    <w:rsid w:val="00B450D1"/>
    <w:rsid w:val="00B53D47"/>
    <w:rsid w:val="00B54A25"/>
    <w:rsid w:val="00B618C3"/>
    <w:rsid w:val="00B63652"/>
    <w:rsid w:val="00B63B5B"/>
    <w:rsid w:val="00B668B0"/>
    <w:rsid w:val="00B70F5C"/>
    <w:rsid w:val="00B71873"/>
    <w:rsid w:val="00B75AE5"/>
    <w:rsid w:val="00B800C0"/>
    <w:rsid w:val="00B8132B"/>
    <w:rsid w:val="00B84C5A"/>
    <w:rsid w:val="00B858F5"/>
    <w:rsid w:val="00B85ADA"/>
    <w:rsid w:val="00B93668"/>
    <w:rsid w:val="00BA68C6"/>
    <w:rsid w:val="00BB12F1"/>
    <w:rsid w:val="00BB276E"/>
    <w:rsid w:val="00BB2A53"/>
    <w:rsid w:val="00BB3F11"/>
    <w:rsid w:val="00BB3FEE"/>
    <w:rsid w:val="00BB5EB0"/>
    <w:rsid w:val="00BB6DB4"/>
    <w:rsid w:val="00BB7A27"/>
    <w:rsid w:val="00BC245A"/>
    <w:rsid w:val="00BC340C"/>
    <w:rsid w:val="00BC5AC0"/>
    <w:rsid w:val="00BC6EDE"/>
    <w:rsid w:val="00BD16FA"/>
    <w:rsid w:val="00BD41C3"/>
    <w:rsid w:val="00BD488B"/>
    <w:rsid w:val="00BD7CCC"/>
    <w:rsid w:val="00BE002A"/>
    <w:rsid w:val="00BE1AC6"/>
    <w:rsid w:val="00BE1BC9"/>
    <w:rsid w:val="00BE5CDA"/>
    <w:rsid w:val="00BE608F"/>
    <w:rsid w:val="00BF23BB"/>
    <w:rsid w:val="00BF33DD"/>
    <w:rsid w:val="00BF5755"/>
    <w:rsid w:val="00BF684B"/>
    <w:rsid w:val="00C016F3"/>
    <w:rsid w:val="00C01987"/>
    <w:rsid w:val="00C106A7"/>
    <w:rsid w:val="00C133E4"/>
    <w:rsid w:val="00C15193"/>
    <w:rsid w:val="00C15609"/>
    <w:rsid w:val="00C15F6A"/>
    <w:rsid w:val="00C23EA7"/>
    <w:rsid w:val="00C256F3"/>
    <w:rsid w:val="00C26329"/>
    <w:rsid w:val="00C270A2"/>
    <w:rsid w:val="00C315B5"/>
    <w:rsid w:val="00C32D3A"/>
    <w:rsid w:val="00C35E28"/>
    <w:rsid w:val="00C40E0D"/>
    <w:rsid w:val="00C426AF"/>
    <w:rsid w:val="00C42917"/>
    <w:rsid w:val="00C434B6"/>
    <w:rsid w:val="00C469C1"/>
    <w:rsid w:val="00C46C7D"/>
    <w:rsid w:val="00C50659"/>
    <w:rsid w:val="00C51B39"/>
    <w:rsid w:val="00C5338A"/>
    <w:rsid w:val="00C54EF9"/>
    <w:rsid w:val="00C56BBF"/>
    <w:rsid w:val="00C572AA"/>
    <w:rsid w:val="00C57A9A"/>
    <w:rsid w:val="00C6016A"/>
    <w:rsid w:val="00C60B3F"/>
    <w:rsid w:val="00C623EB"/>
    <w:rsid w:val="00C6258A"/>
    <w:rsid w:val="00C64C6B"/>
    <w:rsid w:val="00C65138"/>
    <w:rsid w:val="00C65773"/>
    <w:rsid w:val="00C66F2E"/>
    <w:rsid w:val="00C6785C"/>
    <w:rsid w:val="00C7098B"/>
    <w:rsid w:val="00C70FD1"/>
    <w:rsid w:val="00C733AA"/>
    <w:rsid w:val="00C83027"/>
    <w:rsid w:val="00C84B8A"/>
    <w:rsid w:val="00C85E65"/>
    <w:rsid w:val="00C8774A"/>
    <w:rsid w:val="00C87CA1"/>
    <w:rsid w:val="00C90FD3"/>
    <w:rsid w:val="00C911B4"/>
    <w:rsid w:val="00C91B3B"/>
    <w:rsid w:val="00C94262"/>
    <w:rsid w:val="00C976E1"/>
    <w:rsid w:val="00CA148E"/>
    <w:rsid w:val="00CA3A9A"/>
    <w:rsid w:val="00CB0F48"/>
    <w:rsid w:val="00CB66BF"/>
    <w:rsid w:val="00CB6BC1"/>
    <w:rsid w:val="00CB7021"/>
    <w:rsid w:val="00CC3512"/>
    <w:rsid w:val="00CC4F39"/>
    <w:rsid w:val="00CD3294"/>
    <w:rsid w:val="00CD4524"/>
    <w:rsid w:val="00CD784D"/>
    <w:rsid w:val="00CD7DC1"/>
    <w:rsid w:val="00CE38A9"/>
    <w:rsid w:val="00CF40F8"/>
    <w:rsid w:val="00D008DA"/>
    <w:rsid w:val="00D0416F"/>
    <w:rsid w:val="00D05851"/>
    <w:rsid w:val="00D10FED"/>
    <w:rsid w:val="00D11736"/>
    <w:rsid w:val="00D12EE8"/>
    <w:rsid w:val="00D14856"/>
    <w:rsid w:val="00D15FF1"/>
    <w:rsid w:val="00D167F4"/>
    <w:rsid w:val="00D2092A"/>
    <w:rsid w:val="00D2216D"/>
    <w:rsid w:val="00D228BE"/>
    <w:rsid w:val="00D31A6F"/>
    <w:rsid w:val="00D33293"/>
    <w:rsid w:val="00D353D1"/>
    <w:rsid w:val="00D367DB"/>
    <w:rsid w:val="00D36E05"/>
    <w:rsid w:val="00D44F27"/>
    <w:rsid w:val="00D45304"/>
    <w:rsid w:val="00D461C7"/>
    <w:rsid w:val="00D50424"/>
    <w:rsid w:val="00D57D3E"/>
    <w:rsid w:val="00D843F4"/>
    <w:rsid w:val="00D86BD1"/>
    <w:rsid w:val="00D95C4A"/>
    <w:rsid w:val="00DB547F"/>
    <w:rsid w:val="00DC23CF"/>
    <w:rsid w:val="00DC6562"/>
    <w:rsid w:val="00DC66DA"/>
    <w:rsid w:val="00DD603D"/>
    <w:rsid w:val="00DE130D"/>
    <w:rsid w:val="00DE24CF"/>
    <w:rsid w:val="00DE2C8A"/>
    <w:rsid w:val="00DE407C"/>
    <w:rsid w:val="00DE7C7D"/>
    <w:rsid w:val="00DF2992"/>
    <w:rsid w:val="00DF2D0C"/>
    <w:rsid w:val="00E01B9D"/>
    <w:rsid w:val="00E04F5E"/>
    <w:rsid w:val="00E0522E"/>
    <w:rsid w:val="00E07525"/>
    <w:rsid w:val="00E120F4"/>
    <w:rsid w:val="00E153BB"/>
    <w:rsid w:val="00E155F9"/>
    <w:rsid w:val="00E17172"/>
    <w:rsid w:val="00E3181C"/>
    <w:rsid w:val="00E3280A"/>
    <w:rsid w:val="00E33279"/>
    <w:rsid w:val="00E372AF"/>
    <w:rsid w:val="00E37D68"/>
    <w:rsid w:val="00E40EAE"/>
    <w:rsid w:val="00E4181C"/>
    <w:rsid w:val="00E436AC"/>
    <w:rsid w:val="00E44FF8"/>
    <w:rsid w:val="00E45916"/>
    <w:rsid w:val="00E5066A"/>
    <w:rsid w:val="00E52CF9"/>
    <w:rsid w:val="00E63F34"/>
    <w:rsid w:val="00E6715A"/>
    <w:rsid w:val="00E75DC9"/>
    <w:rsid w:val="00E81610"/>
    <w:rsid w:val="00E84910"/>
    <w:rsid w:val="00E85B28"/>
    <w:rsid w:val="00E91976"/>
    <w:rsid w:val="00E947A6"/>
    <w:rsid w:val="00E97FC7"/>
    <w:rsid w:val="00EA0690"/>
    <w:rsid w:val="00EA3956"/>
    <w:rsid w:val="00EA5571"/>
    <w:rsid w:val="00EA7108"/>
    <w:rsid w:val="00EA73A9"/>
    <w:rsid w:val="00EB040E"/>
    <w:rsid w:val="00EB1FA0"/>
    <w:rsid w:val="00EB2B7C"/>
    <w:rsid w:val="00EC02A5"/>
    <w:rsid w:val="00EC176B"/>
    <w:rsid w:val="00EC33CD"/>
    <w:rsid w:val="00EC5BE5"/>
    <w:rsid w:val="00ED2650"/>
    <w:rsid w:val="00ED721A"/>
    <w:rsid w:val="00EE1F10"/>
    <w:rsid w:val="00EE2EC2"/>
    <w:rsid w:val="00EE393D"/>
    <w:rsid w:val="00EF01CF"/>
    <w:rsid w:val="00EF2E67"/>
    <w:rsid w:val="00EF6A66"/>
    <w:rsid w:val="00EF7AF9"/>
    <w:rsid w:val="00F01495"/>
    <w:rsid w:val="00F01EE6"/>
    <w:rsid w:val="00F10138"/>
    <w:rsid w:val="00F13F92"/>
    <w:rsid w:val="00F22ECA"/>
    <w:rsid w:val="00F240E8"/>
    <w:rsid w:val="00F244FA"/>
    <w:rsid w:val="00F252A6"/>
    <w:rsid w:val="00F3363A"/>
    <w:rsid w:val="00F3478F"/>
    <w:rsid w:val="00F366A2"/>
    <w:rsid w:val="00F44F43"/>
    <w:rsid w:val="00F450E1"/>
    <w:rsid w:val="00F50DF4"/>
    <w:rsid w:val="00F5434E"/>
    <w:rsid w:val="00F57AD3"/>
    <w:rsid w:val="00F57AFE"/>
    <w:rsid w:val="00F6278E"/>
    <w:rsid w:val="00F63370"/>
    <w:rsid w:val="00F63C41"/>
    <w:rsid w:val="00F63E96"/>
    <w:rsid w:val="00F701E3"/>
    <w:rsid w:val="00F71F8C"/>
    <w:rsid w:val="00F80362"/>
    <w:rsid w:val="00F8143B"/>
    <w:rsid w:val="00F86AD4"/>
    <w:rsid w:val="00F92EE4"/>
    <w:rsid w:val="00F95968"/>
    <w:rsid w:val="00FA0113"/>
    <w:rsid w:val="00FA12B2"/>
    <w:rsid w:val="00FA695E"/>
    <w:rsid w:val="00FA6E11"/>
    <w:rsid w:val="00FA7610"/>
    <w:rsid w:val="00FB02BD"/>
    <w:rsid w:val="00FB398F"/>
    <w:rsid w:val="00FB4EF8"/>
    <w:rsid w:val="00FB6692"/>
    <w:rsid w:val="00FB78DD"/>
    <w:rsid w:val="00FC125E"/>
    <w:rsid w:val="00FC2642"/>
    <w:rsid w:val="00FC3EF3"/>
    <w:rsid w:val="00FD2049"/>
    <w:rsid w:val="00FD2140"/>
    <w:rsid w:val="00FD5BDE"/>
    <w:rsid w:val="00FD68EC"/>
    <w:rsid w:val="00FE0476"/>
    <w:rsid w:val="00FE24A5"/>
    <w:rsid w:val="00FE31E5"/>
    <w:rsid w:val="00FF1168"/>
    <w:rsid w:val="00FF18EC"/>
    <w:rsid w:val="00FF19AD"/>
    <w:rsid w:val="00FF1EB5"/>
    <w:rsid w:val="00FF292D"/>
    <w:rsid w:val="00FF298D"/>
    <w:rsid w:val="00FF4B55"/>
    <w:rsid w:val="00FF5FA4"/>
    <w:rsid w:val="00FF6287"/>
    <w:rsid w:val="00FF6A74"/>
    <w:rsid w:val="00FF73FB"/>
    <w:rsid w:val="00FF7578"/>
    <w:rsid w:val="00FF76BA"/>
    <w:rsid w:val="00FF794B"/>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B6C1"/>
  <w15:chartTrackingRefBased/>
  <w15:docId w15:val="{A5BD3F0B-9C09-4314-9110-D4D278C4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3">
    <w:name w:val="heading 3"/>
    <w:basedOn w:val="Normal"/>
    <w:next w:val="Normal"/>
    <w:link w:val="Heading3Char"/>
    <w:uiPriority w:val="9"/>
    <w:semiHidden/>
    <w:unhideWhenUsed/>
    <w:qFormat/>
    <w:rsid w:val="001E307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3">
    <w:name w:val="Body Text 3"/>
    <w:basedOn w:val="Normal"/>
    <w:link w:val="BodyText3Char"/>
    <w:rsid w:val="00992F76"/>
    <w:pPr>
      <w:keepLines/>
      <w:spacing w:after="240"/>
      <w:jc w:val="center"/>
    </w:pPr>
    <w:rPr>
      <w:rFonts w:ascii="Arial" w:eastAsia="Times New Roman" w:hAnsi="Arial"/>
      <w:b/>
      <w:sz w:val="40"/>
      <w:szCs w:val="20"/>
      <w:lang w:val="en-GB" w:eastAsia="en-GB"/>
    </w:rPr>
  </w:style>
  <w:style w:type="character" w:customStyle="1" w:styleId="BodyText3Char">
    <w:name w:val="Body Text 3 Char"/>
    <w:link w:val="BodyText3"/>
    <w:rsid w:val="00992F76"/>
    <w:rPr>
      <w:rFonts w:ascii="Arial" w:eastAsia="Times New Roman" w:hAnsi="Arial"/>
      <w:b/>
      <w:sz w:val="40"/>
      <w:lang w:val="en-GB" w:eastAsia="en-GB"/>
    </w:rPr>
  </w:style>
  <w:style w:type="character" w:styleId="UnresolvedMention">
    <w:name w:val="Unresolved Mention"/>
    <w:uiPriority w:val="99"/>
    <w:semiHidden/>
    <w:unhideWhenUsed/>
    <w:rsid w:val="00CB66BF"/>
    <w:rPr>
      <w:color w:val="605E5C"/>
      <w:shd w:val="clear" w:color="auto" w:fill="E1DFDD"/>
    </w:rPr>
  </w:style>
  <w:style w:type="character" w:customStyle="1" w:styleId="Heading3Char">
    <w:name w:val="Heading 3 Char"/>
    <w:basedOn w:val="DefaultParagraphFont"/>
    <w:link w:val="Heading3"/>
    <w:uiPriority w:val="9"/>
    <w:semiHidden/>
    <w:rsid w:val="001E307E"/>
    <w:rPr>
      <w:rFonts w:asciiTheme="majorHAnsi" w:eastAsiaTheme="majorEastAsia" w:hAnsiTheme="majorHAnsi" w:cstheme="majorBidi"/>
      <w:color w:val="1F3763" w:themeColor="accent1" w:themeShade="7F"/>
      <w:sz w:val="24"/>
      <w:szCs w:val="24"/>
      <w:lang w:val="en-US" w:eastAsia="en-US"/>
    </w:rPr>
  </w:style>
  <w:style w:type="paragraph" w:styleId="Revision">
    <w:name w:val="Revision"/>
    <w:hidden/>
    <w:uiPriority w:val="99"/>
    <w:semiHidden/>
    <w:rsid w:val="00C8774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ystat.gov.cy/NEW/HPI-Report-EN-1812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akoutsis@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ystatdb23px.cystat.gov.cy/pxweb/en/8.CYSTAT-DB/8.CYSTAT-DB__Price%20Indices__House%20Price%20Index" TargetMode="Externa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0.emf"/><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3758</CharactersWithSpaces>
  <SharedDoc>false</SharedDoc>
  <HLinks>
    <vt:vector size="42" baseType="variant">
      <vt:variant>
        <vt:i4>2883594</vt:i4>
      </vt:variant>
      <vt:variant>
        <vt:i4>15</vt:i4>
      </vt:variant>
      <vt:variant>
        <vt:i4>0</vt:i4>
      </vt:variant>
      <vt:variant>
        <vt:i4>5</vt:i4>
      </vt:variant>
      <vt:variant>
        <vt:lpwstr>mailto:cpapageorgiou@cystat.mof.gov.cy</vt:lpwstr>
      </vt:variant>
      <vt:variant>
        <vt:lpwstr/>
      </vt:variant>
      <vt:variant>
        <vt:i4>5701728</vt:i4>
      </vt:variant>
      <vt:variant>
        <vt:i4>12</vt:i4>
      </vt:variant>
      <vt:variant>
        <vt:i4>0</vt:i4>
      </vt:variant>
      <vt:variant>
        <vt:i4>5</vt:i4>
      </vt:variant>
      <vt:variant>
        <vt:lpwstr>mailto:fkakoutsis@cystat.mof.gov.cy</vt:lpwstr>
      </vt:variant>
      <vt:variant>
        <vt:lpwstr/>
      </vt:variant>
      <vt:variant>
        <vt:i4>1048666</vt:i4>
      </vt:variant>
      <vt:variant>
        <vt:i4>9</vt:i4>
      </vt:variant>
      <vt:variant>
        <vt:i4>0</vt:i4>
      </vt:variant>
      <vt:variant>
        <vt:i4>5</vt:i4>
      </vt:variant>
      <vt:variant>
        <vt:lpwstr>https://www.cystat.gov.cy/en/MethodologicalDetails?m=2094</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20</cp:revision>
  <cp:lastPrinted>2025-12-17T05:51:00Z</cp:lastPrinted>
  <dcterms:created xsi:type="dcterms:W3CDTF">2025-12-17T18:13:00Z</dcterms:created>
  <dcterms:modified xsi:type="dcterms:W3CDTF">2025-12-18T13:24:00Z</dcterms:modified>
</cp:coreProperties>
</file>