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3C3F" w14:textId="77777777" w:rsidR="00AF5CC6" w:rsidRPr="000723AD" w:rsidRDefault="00AF5CC6" w:rsidP="00AF5CC6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68993345" w14:textId="77777777" w:rsidR="00AF5CC6" w:rsidRPr="00A12E81" w:rsidRDefault="00AF5CC6" w:rsidP="008A0596">
      <w:pPr>
        <w:jc w:val="right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850DDF8" w14:textId="13DEE692" w:rsidR="00AF5CC6" w:rsidRDefault="00E062A2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ED6AD3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C665A8" w:rsidRPr="00815439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6F790E" w:rsidRPr="002C338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100C7">
        <w:rPr>
          <w:rFonts w:ascii="Verdana" w:eastAsia="Malgun Gothic" w:hAnsi="Verdana" w:cs="Arial"/>
          <w:sz w:val="18"/>
          <w:szCs w:val="18"/>
          <w:lang w:val="el-GR"/>
        </w:rPr>
        <w:t>Ιανουαρίου</w:t>
      </w:r>
      <w:r w:rsidR="0079784F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AF5CC6" w:rsidRPr="0093673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F100C7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31604F42" w14:textId="77777777" w:rsidR="00AF5CC6" w:rsidRDefault="00AF5CC6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</w:p>
    <w:p w14:paraId="1F153A24" w14:textId="77777777" w:rsidR="00AF5CC6" w:rsidRPr="00F06A85" w:rsidRDefault="00AF5CC6" w:rsidP="00AF5CC6">
      <w:pPr>
        <w:jc w:val="center"/>
        <w:rPr>
          <w:rFonts w:ascii="Verdana" w:eastAsia="Malgun Gothic" w:hAnsi="Verdana" w:cs="Arial"/>
          <w:b/>
          <w:lang w:val="el-GR"/>
        </w:rPr>
      </w:pPr>
      <w:r w:rsidRPr="00936735">
        <w:rPr>
          <w:rFonts w:ascii="Verdana" w:eastAsia="Malgun Gothic" w:hAnsi="Verdana" w:cs="Arial"/>
          <w:b/>
          <w:sz w:val="24"/>
          <w:szCs w:val="24"/>
          <w:lang w:val="el-GR"/>
        </w:rPr>
        <w:t>ΔΕΛΤΙΟ</w:t>
      </w:r>
      <w:r w:rsidRPr="00F06A85">
        <w:rPr>
          <w:rFonts w:ascii="Verdana" w:eastAsia="Malgun Gothic" w:hAnsi="Verdana" w:cs="Arial"/>
          <w:b/>
          <w:lang w:val="el-GR"/>
        </w:rPr>
        <w:t xml:space="preserve"> </w:t>
      </w:r>
      <w:r w:rsidRPr="00B16700">
        <w:rPr>
          <w:rFonts w:ascii="Verdana" w:eastAsia="Malgun Gothic" w:hAnsi="Verdana" w:cs="Arial"/>
          <w:b/>
          <w:sz w:val="24"/>
          <w:szCs w:val="24"/>
          <w:lang w:val="el-GR"/>
        </w:rPr>
        <w:t>ΤΥΠΟΥ</w:t>
      </w:r>
    </w:p>
    <w:p w14:paraId="0C642A8F" w14:textId="77777777" w:rsidR="00AF5CC6" w:rsidRPr="00FE5DDC" w:rsidRDefault="00AF5CC6" w:rsidP="00AF5CC6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</w:p>
    <w:p w14:paraId="79C15B41" w14:textId="7FF04819" w:rsidR="00AF5CC6" w:rsidRPr="00FE5DDC" w:rsidRDefault="00AF5CC6" w:rsidP="00A77C83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  <w:r w:rsidRPr="00FE5DDC">
        <w:rPr>
          <w:rFonts w:ascii="Verdana" w:eastAsia="Malgun Gothic" w:hAnsi="Verdana" w:cs="Arial"/>
          <w:b w:val="0"/>
          <w:szCs w:val="22"/>
        </w:rPr>
        <w:t>ΕΝΑΡΜΟΝΙΣΜΕΝΟΣ ΔΕΙΚΤΗΣ ΤΙΜΩΝ ΚΑΤΑΝΑΛΩΤΗ</w:t>
      </w:r>
      <w:r w:rsidR="00970822" w:rsidRPr="00970822">
        <w:rPr>
          <w:rFonts w:ascii="Verdana" w:eastAsia="Malgun Gothic" w:hAnsi="Verdana" w:cs="Arial"/>
          <w:b w:val="0"/>
          <w:szCs w:val="22"/>
        </w:rPr>
        <w:t xml:space="preserve"> </w:t>
      </w:r>
      <w:r w:rsidRPr="00FE5DDC">
        <w:rPr>
          <w:rFonts w:ascii="Verdana" w:eastAsia="Malgun Gothic" w:hAnsi="Verdana" w:cs="Arial"/>
          <w:b w:val="0"/>
          <w:szCs w:val="22"/>
        </w:rPr>
        <w:t>(</w:t>
      </w:r>
      <w:proofErr w:type="spellStart"/>
      <w:r w:rsidRPr="00FE5DDC">
        <w:rPr>
          <w:rFonts w:ascii="Verdana" w:eastAsia="Malgun Gothic" w:hAnsi="Verdana" w:cs="Arial"/>
          <w:b w:val="0"/>
          <w:szCs w:val="22"/>
        </w:rPr>
        <w:t>ΕνΔΤΚ</w:t>
      </w:r>
      <w:proofErr w:type="spellEnd"/>
      <w:r w:rsidRPr="00FE5DDC">
        <w:rPr>
          <w:rFonts w:ascii="Verdana" w:eastAsia="Malgun Gothic" w:hAnsi="Verdana" w:cs="Arial"/>
          <w:b w:val="0"/>
          <w:szCs w:val="22"/>
        </w:rPr>
        <w:t>):</w:t>
      </w:r>
      <w:r w:rsidR="00B90663">
        <w:rPr>
          <w:rFonts w:ascii="Verdana" w:eastAsia="Malgun Gothic" w:hAnsi="Verdana" w:cs="Arial"/>
          <w:b w:val="0"/>
          <w:szCs w:val="22"/>
        </w:rPr>
        <w:t xml:space="preserve"> </w:t>
      </w:r>
      <w:r w:rsidR="00F100C7">
        <w:rPr>
          <w:rFonts w:ascii="Verdana" w:eastAsia="Malgun Gothic" w:hAnsi="Verdana" w:cs="Arial"/>
          <w:bCs w:val="0"/>
          <w:szCs w:val="22"/>
        </w:rPr>
        <w:t>Δεκέμβριος</w:t>
      </w:r>
      <w:r w:rsidR="002E590B">
        <w:rPr>
          <w:rFonts w:ascii="Verdana" w:eastAsia="Malgun Gothic" w:hAnsi="Verdana" w:cs="Arial"/>
          <w:bCs w:val="0"/>
          <w:szCs w:val="22"/>
        </w:rPr>
        <w:t xml:space="preserve"> </w:t>
      </w:r>
      <w:r w:rsidRPr="00FE5DDC">
        <w:rPr>
          <w:rFonts w:ascii="Verdana" w:eastAsia="Malgun Gothic" w:hAnsi="Verdana" w:cs="Arial"/>
          <w:szCs w:val="22"/>
        </w:rPr>
        <w:t>202</w:t>
      </w:r>
      <w:r w:rsidR="00043B1E">
        <w:rPr>
          <w:rFonts w:ascii="Verdana" w:eastAsia="Malgun Gothic" w:hAnsi="Verdana" w:cs="Arial"/>
          <w:szCs w:val="22"/>
        </w:rPr>
        <w:t>5</w:t>
      </w:r>
    </w:p>
    <w:p w14:paraId="09D6CC5F" w14:textId="77777777" w:rsidR="00AF5CC6" w:rsidRPr="00FE5DDC" w:rsidRDefault="00AF5CC6" w:rsidP="00AF5CC6">
      <w:pPr>
        <w:rPr>
          <w:rFonts w:ascii="Verdana" w:eastAsia="Malgun Gothic" w:hAnsi="Verdana" w:cs="Arial"/>
          <w:lang w:val="el-GR"/>
        </w:rPr>
      </w:pPr>
    </w:p>
    <w:p w14:paraId="106B0074" w14:textId="37AC0FBD" w:rsidR="00AF5CC6" w:rsidRPr="00FE5DDC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FE5DDC">
        <w:rPr>
          <w:rFonts w:ascii="Verdana" w:eastAsia="Malgun Gothic" w:hAnsi="Verdana" w:cs="Arial"/>
          <w:b/>
          <w:lang w:val="el-GR"/>
        </w:rPr>
        <w:t xml:space="preserve">Ετήσια Μεταβολή </w:t>
      </w:r>
      <w:r w:rsidR="0066107A" w:rsidRPr="0066107A">
        <w:rPr>
          <w:rFonts w:ascii="Verdana" w:eastAsia="Malgun Gothic" w:hAnsi="Verdana" w:cs="Arial"/>
          <w:b/>
          <w:lang w:val="el-GR"/>
        </w:rPr>
        <w:t>0</w:t>
      </w:r>
      <w:r w:rsidR="00A76595">
        <w:rPr>
          <w:rFonts w:ascii="Verdana" w:eastAsia="Malgun Gothic" w:hAnsi="Verdana" w:cs="Arial"/>
          <w:b/>
          <w:lang w:val="el-GR"/>
        </w:rPr>
        <w:t>,</w:t>
      </w:r>
      <w:r w:rsidR="00954A14">
        <w:rPr>
          <w:rFonts w:ascii="Verdana" w:eastAsia="Malgun Gothic" w:hAnsi="Verdana" w:cs="Arial"/>
          <w:b/>
          <w:lang w:val="el-GR"/>
        </w:rPr>
        <w:t>1</w:t>
      </w:r>
      <w:r w:rsidRPr="00FE5DDC">
        <w:rPr>
          <w:rFonts w:ascii="Verdana" w:eastAsia="Malgun Gothic" w:hAnsi="Verdana" w:cs="Arial"/>
          <w:b/>
          <w:lang w:val="el-GR"/>
        </w:rPr>
        <w:t>%</w:t>
      </w:r>
    </w:p>
    <w:p w14:paraId="73FD0E7F" w14:textId="77777777" w:rsidR="00871E9E" w:rsidRPr="00EB5A3F" w:rsidRDefault="00871E9E" w:rsidP="00AF5CC6">
      <w:pPr>
        <w:tabs>
          <w:tab w:val="left" w:pos="1080"/>
          <w:tab w:val="left" w:pos="6840"/>
        </w:tabs>
        <w:jc w:val="both"/>
        <w:rPr>
          <w:rFonts w:ascii="Verdana" w:hAnsi="Verdana" w:cs="Arial"/>
          <w:lang w:val="el-GR"/>
        </w:rPr>
      </w:pPr>
    </w:p>
    <w:p w14:paraId="29175F4F" w14:textId="04B65E62" w:rsidR="00EB5A3F" w:rsidRPr="00371971" w:rsidRDefault="00CB58F4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Ο Εναρμονισμένος Δείκτης Τιμών Καταναλωτή τον </w:t>
      </w:r>
      <w:r w:rsidR="00F100C7">
        <w:rPr>
          <w:rFonts w:ascii="Verdana" w:eastAsia="Malgun Gothic" w:hAnsi="Verdana" w:cs="Arial"/>
          <w:sz w:val="18"/>
          <w:szCs w:val="18"/>
          <w:lang w:val="el-GR"/>
        </w:rPr>
        <w:t>Δεκέμβριο</w:t>
      </w:r>
      <w:r w:rsidR="008B6EE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2025 </w:t>
      </w:r>
      <w:r w:rsidR="007538D6">
        <w:rPr>
          <w:rFonts w:ascii="Verdana" w:eastAsia="Malgun Gothic" w:hAnsi="Verdana" w:cs="Arial"/>
          <w:sz w:val="18"/>
          <w:szCs w:val="18"/>
          <w:lang w:val="el-GR"/>
        </w:rPr>
        <w:t>σημείωσε αύξηση 0,</w:t>
      </w:r>
      <w:r w:rsidR="00954A14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7538D6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1303FE">
        <w:rPr>
          <w:rFonts w:ascii="Verdana" w:eastAsia="Malgun Gothic" w:hAnsi="Verdana" w:cs="Arial"/>
          <w:sz w:val="18"/>
          <w:szCs w:val="18"/>
          <w:lang w:val="el-GR"/>
        </w:rPr>
        <w:t xml:space="preserve"> σ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ε σχέση με τον</w:t>
      </w:r>
      <w:r w:rsidR="00F100C7">
        <w:rPr>
          <w:rFonts w:ascii="Verdana" w:eastAsia="Malgun Gothic" w:hAnsi="Verdana" w:cs="Arial"/>
          <w:sz w:val="18"/>
          <w:szCs w:val="18"/>
          <w:lang w:val="el-GR"/>
        </w:rPr>
        <w:t xml:space="preserve"> Δεκέμβριο</w:t>
      </w:r>
      <w:r w:rsidR="008B6EE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του 2024 και</w:t>
      </w:r>
      <w:r w:rsidR="0064269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54A14">
        <w:rPr>
          <w:rFonts w:ascii="Verdana" w:eastAsia="Malgun Gothic" w:hAnsi="Verdana" w:cs="Arial"/>
          <w:sz w:val="18"/>
          <w:szCs w:val="18"/>
          <w:lang w:val="el-GR"/>
        </w:rPr>
        <w:t>μειώθηκε</w:t>
      </w:r>
      <w:r w:rsidR="001303FE">
        <w:rPr>
          <w:rFonts w:ascii="Verdana" w:eastAsia="Malgun Gothic" w:hAnsi="Verdana" w:cs="Arial"/>
          <w:sz w:val="18"/>
          <w:szCs w:val="18"/>
          <w:lang w:val="el-GR"/>
        </w:rPr>
        <w:t xml:space="preserve"> κατά </w:t>
      </w:r>
      <w:r w:rsidR="009323F2" w:rsidRPr="009323F2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765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323F2" w:rsidRPr="009323F2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% σε σχέση με τον </w:t>
      </w:r>
      <w:r w:rsidR="009323F2">
        <w:rPr>
          <w:rFonts w:ascii="Verdana" w:eastAsia="Malgun Gothic" w:hAnsi="Verdana" w:cs="Arial"/>
          <w:sz w:val="18"/>
          <w:szCs w:val="18"/>
          <w:lang w:val="el-GR"/>
        </w:rPr>
        <w:t>Νοέμβριο</w:t>
      </w:r>
      <w:r w:rsidR="00295FA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του 2025</w:t>
      </w:r>
      <w:r w:rsidR="00371971" w:rsidRPr="00371971">
        <w:rPr>
          <w:rFonts w:ascii="Verdana" w:eastAsia="Malgun Gothic" w:hAnsi="Verdana" w:cs="Arial"/>
          <w:sz w:val="18"/>
          <w:szCs w:val="18"/>
          <w:lang w:val="el-GR"/>
        </w:rPr>
        <w:t>. Για την περίοδο Ιανουαρίου – Δεκεμβρίου 2025, σημειώθηκε αύξηση 0,8% σε σχέση με την αντίστοιχη περσινή περίοδο.</w:t>
      </w:r>
      <w:r w:rsidR="006F3C1A" w:rsidRPr="006F3C1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371971" w:rsidRPr="00371971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7ADD205F" w14:textId="77777777" w:rsidR="003E561E" w:rsidRPr="001A7865" w:rsidRDefault="003E561E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9117644" w14:textId="0A875436" w:rsidR="00CB58F4" w:rsidRPr="00A46F61" w:rsidRDefault="00815439" w:rsidP="006F3C1A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34816CB4" wp14:editId="6BCCEDDA">
            <wp:extent cx="6191250" cy="4498975"/>
            <wp:effectExtent l="0" t="0" r="0" b="0"/>
            <wp:docPr id="10705879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49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E0D60" w14:textId="36492725" w:rsidR="00AF5CC6" w:rsidRPr="006F3C1A" w:rsidRDefault="00336AA4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366092"/>
          <w:sz w:val="16"/>
          <w:szCs w:val="16"/>
          <w:lang w:val="el-GR"/>
        </w:rPr>
      </w:pPr>
      <w:r w:rsidRPr="006F3C1A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</w:t>
      </w:r>
      <w:r w:rsidR="00AF5CC6" w:rsidRPr="006F3C1A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Σημείωση: Ο </w:t>
      </w:r>
      <w:proofErr w:type="spellStart"/>
      <w:r w:rsidR="00AF5CC6" w:rsidRPr="006F3C1A">
        <w:rPr>
          <w:rFonts w:ascii="Verdana" w:eastAsia="Malgun Gothic" w:hAnsi="Verdana" w:cs="Arial"/>
          <w:color w:val="366092"/>
          <w:sz w:val="16"/>
          <w:szCs w:val="16"/>
          <w:lang w:val="el-GR"/>
        </w:rPr>
        <w:t>ΕνΔΤΚ</w:t>
      </w:r>
      <w:proofErr w:type="spellEnd"/>
      <w:r w:rsidR="00AF5CC6" w:rsidRPr="006F3C1A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Ευρωζώνης για τον τελευταίο μήνα βασίζεται σε εκτίμηση της </w:t>
      </w:r>
      <w:r w:rsidR="00AF5CC6" w:rsidRPr="006F3C1A">
        <w:rPr>
          <w:rFonts w:ascii="Verdana" w:eastAsia="Malgun Gothic" w:hAnsi="Verdana" w:cs="Arial"/>
          <w:color w:val="366092"/>
          <w:sz w:val="16"/>
          <w:szCs w:val="16"/>
          <w:lang w:val="en-GB"/>
        </w:rPr>
        <w:t>EUROSTAT</w:t>
      </w:r>
      <w:r w:rsidR="00AF5CC6" w:rsidRPr="006F3C1A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(</w:t>
      </w:r>
      <w:r w:rsidR="00AF5CC6" w:rsidRPr="006F3C1A">
        <w:rPr>
          <w:rFonts w:ascii="Verdana" w:eastAsia="Malgun Gothic" w:hAnsi="Verdana" w:cs="Arial"/>
          <w:color w:val="366092"/>
          <w:sz w:val="16"/>
          <w:szCs w:val="16"/>
          <w:lang w:val="en-GB"/>
        </w:rPr>
        <w:t>flash</w:t>
      </w:r>
      <w:r w:rsidR="00AF5CC6" w:rsidRPr="006F3C1A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</w:t>
      </w:r>
      <w:r w:rsidR="00AF5CC6" w:rsidRPr="006F3C1A">
        <w:rPr>
          <w:rFonts w:ascii="Verdana" w:eastAsia="Malgun Gothic" w:hAnsi="Verdana" w:cs="Arial"/>
          <w:color w:val="366092"/>
          <w:sz w:val="16"/>
          <w:szCs w:val="16"/>
          <w:lang w:val="en-GB"/>
        </w:rPr>
        <w:t>estimate</w:t>
      </w:r>
      <w:r w:rsidR="00AF5CC6" w:rsidRPr="006F3C1A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). </w:t>
      </w:r>
    </w:p>
    <w:p w14:paraId="01F3CC95" w14:textId="77777777" w:rsidR="00AF5CC6" w:rsidRPr="006F3C1A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366092"/>
          <w:sz w:val="18"/>
          <w:szCs w:val="18"/>
          <w:lang w:val="el-GR"/>
        </w:rPr>
      </w:pPr>
    </w:p>
    <w:p w14:paraId="00FC2628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4507E95" w14:textId="77777777" w:rsidR="008C03B7" w:rsidRDefault="008C03B7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8E1F931" w14:textId="17D1A462" w:rsidR="00EB5A3F" w:rsidRDefault="00EB5A3F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09C07B6" w14:textId="77777777" w:rsidR="004C3FB1" w:rsidRDefault="004C3FB1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38A4FB4" w14:textId="77777777" w:rsidR="00EB5A3F" w:rsidRDefault="00EB5A3F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F1517D9" w14:textId="77777777" w:rsidR="008774AA" w:rsidRDefault="008774AA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C704E2C" w14:textId="4A9B9B18" w:rsidR="00AF5CC6" w:rsidRPr="00AB1744" w:rsidRDefault="00CB58F4" w:rsidP="00B3617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B58F4">
        <w:rPr>
          <w:rFonts w:ascii="Verdana" w:eastAsia="Malgun Gothic" w:hAnsi="Verdana" w:cs="Arial"/>
          <w:sz w:val="18"/>
          <w:szCs w:val="18"/>
          <w:lang w:val="el-GR"/>
        </w:rPr>
        <w:lastRenderedPageBreak/>
        <w:t xml:space="preserve">Σε σύγκριση με τον </w:t>
      </w:r>
      <w:r w:rsidR="009323F2">
        <w:rPr>
          <w:rFonts w:ascii="Verdana" w:eastAsia="Malgun Gothic" w:hAnsi="Verdana" w:cs="Arial"/>
          <w:sz w:val="18"/>
          <w:szCs w:val="18"/>
          <w:lang w:val="el-GR"/>
        </w:rPr>
        <w:t>Δεκέμβριο</w:t>
      </w:r>
      <w:r w:rsidR="0086675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του 2024, οι κατηγορίες </w:t>
      </w:r>
      <w:r w:rsidR="00F6058E" w:rsidRPr="00CB58F4">
        <w:rPr>
          <w:rFonts w:ascii="Verdana" w:eastAsia="Malgun Gothic" w:hAnsi="Verdana" w:cs="Arial"/>
          <w:i/>
          <w:iCs/>
          <w:sz w:val="18"/>
          <w:szCs w:val="18"/>
          <w:lang w:val="el-GR"/>
        </w:rPr>
        <w:t>Αναψυχή και Πολιτισμός</w:t>
      </w:r>
      <w:r w:rsidR="00F6058E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CF5831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F6058E" w:rsidRPr="00CB58F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A12FF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F6058E" w:rsidRPr="00CB58F4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CF5831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CF5831" w:rsidRPr="00CB58F4">
        <w:rPr>
          <w:rFonts w:ascii="Verdana" w:eastAsia="Malgun Gothic" w:hAnsi="Verdana" w:cs="Arial"/>
          <w:i/>
          <w:iCs/>
          <w:sz w:val="18"/>
          <w:szCs w:val="18"/>
          <w:lang w:val="el-GR"/>
        </w:rPr>
        <w:t>Εστιατόρια και Ξενοδοχεία</w:t>
      </w:r>
      <w:r w:rsidR="00CF5831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EA12FF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CF5831" w:rsidRPr="00CB58F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1D11F9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CF5831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="00F6058E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είχαν τη μεγαλύτερη θετική μεταβολή, ενώ </w:t>
      </w:r>
      <w:r w:rsidR="00F6058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F6058E">
        <w:rPr>
          <w:rFonts w:ascii="Verdana" w:eastAsia="Malgun Gothic" w:hAnsi="Verdana" w:cs="Arial"/>
          <w:sz w:val="18"/>
          <w:szCs w:val="18"/>
          <w:lang w:val="el-GR"/>
        </w:rPr>
        <w:t xml:space="preserve">ες </w:t>
      </w:r>
      <w:r w:rsidR="00AB1744" w:rsidRPr="00AB1744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EA12FF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1D11F9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F6058E">
        <w:rPr>
          <w:rFonts w:ascii="Verdana" w:eastAsia="Malgun Gothic" w:hAnsi="Verdana" w:cs="Arial"/>
          <w:sz w:val="18"/>
          <w:szCs w:val="18"/>
          <w:lang w:val="el-GR"/>
        </w:rPr>
        <w:t xml:space="preserve"> και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3617D" w:rsidRPr="00B3617D">
        <w:rPr>
          <w:rFonts w:ascii="Verdana" w:eastAsia="Malgun Gothic" w:hAnsi="Verdana" w:cs="Arial"/>
          <w:i/>
          <w:iCs/>
          <w:sz w:val="18"/>
          <w:szCs w:val="18"/>
          <w:lang w:val="el-GR"/>
        </w:rPr>
        <w:t>Στέγαση, Ύδρευση, Ηλεκτρισμός και Υγραέρι</w:t>
      </w:r>
      <w:r w:rsidR="00B3617D">
        <w:rPr>
          <w:rFonts w:ascii="Verdana" w:eastAsia="Malgun Gothic" w:hAnsi="Verdana" w:cs="Arial"/>
          <w:i/>
          <w:iCs/>
          <w:sz w:val="18"/>
          <w:szCs w:val="18"/>
          <w:lang w:val="el-GR"/>
        </w:rPr>
        <w:t>ο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B667D2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667D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παρουσίασ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τη μεγαλύτερη πτώση (Πίνακας 1).</w:t>
      </w:r>
    </w:p>
    <w:p w14:paraId="6B73C62C" w14:textId="77777777" w:rsidR="00AF5CC6" w:rsidRPr="00C23701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E812470" w14:textId="001EBEE2" w:rsidR="00CB58F4" w:rsidRDefault="00CB58F4" w:rsidP="00CB58F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E7266"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667D2">
        <w:rPr>
          <w:rFonts w:ascii="Verdana" w:eastAsia="Malgun Gothic" w:hAnsi="Verdana" w:cs="Arial"/>
          <w:sz w:val="18"/>
          <w:szCs w:val="18"/>
          <w:lang w:val="el-GR"/>
        </w:rPr>
        <w:t>Νοέμβριο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E7266">
        <w:rPr>
          <w:rFonts w:ascii="Verdana" w:eastAsia="Malgun Gothic" w:hAnsi="Verdana" w:cs="Arial"/>
          <w:sz w:val="18"/>
          <w:szCs w:val="18"/>
          <w:lang w:val="el-GR"/>
        </w:rPr>
        <w:t>του 2025, οι μεγαλύτερες μεταβολές παρατηρήθηκαν στις κατηγορίες</w:t>
      </w:r>
      <w:r w:rsidR="00E65431" w:rsidRPr="00E65431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667D2" w:rsidRPr="00B667D2">
        <w:rPr>
          <w:rFonts w:ascii="Verdana" w:eastAsia="Malgun Gothic" w:hAnsi="Verdana" w:cs="Arial"/>
          <w:i/>
          <w:iCs/>
          <w:sz w:val="18"/>
          <w:szCs w:val="18"/>
          <w:lang w:val="el-GR"/>
        </w:rPr>
        <w:t>Μεταφορές</w:t>
      </w:r>
      <w:r w:rsidR="00B667D2">
        <w:rPr>
          <w:rFonts w:ascii="Verdana" w:eastAsia="Malgun Gothic" w:hAnsi="Verdana" w:cs="Arial"/>
          <w:sz w:val="18"/>
          <w:szCs w:val="18"/>
          <w:lang w:val="el-GR"/>
        </w:rPr>
        <w:t xml:space="preserve"> (-1,7%) και </w:t>
      </w:r>
      <w:r w:rsidR="00EA12FF" w:rsidRPr="00F46205">
        <w:rPr>
          <w:rFonts w:ascii="Verdana" w:eastAsia="Malgun Gothic" w:hAnsi="Verdana" w:cs="Arial"/>
          <w:i/>
          <w:iCs/>
          <w:sz w:val="18"/>
          <w:szCs w:val="18"/>
          <w:lang w:val="el-GR"/>
        </w:rPr>
        <w:t>Εστιατόρια και Ξενοδοχεία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EA12FF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B667D2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667D2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8A214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E7266">
        <w:rPr>
          <w:rFonts w:ascii="Verdana" w:eastAsia="Malgun Gothic" w:hAnsi="Verdana" w:cs="Arial"/>
          <w:sz w:val="18"/>
          <w:szCs w:val="18"/>
          <w:lang w:val="el-GR"/>
        </w:rPr>
        <w:t>(Πίνακας 1).</w:t>
      </w:r>
    </w:p>
    <w:p w14:paraId="69A31EF2" w14:textId="6FEB481E" w:rsidR="007B2DD9" w:rsidRDefault="007B2DD9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56FDFD8" w14:textId="5FA9E1F5" w:rsidR="00E10309" w:rsidRPr="001A7865" w:rsidRDefault="00CB58F4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Για την περίοδο Ιανουαρίου </w:t>
      </w:r>
      <w:r w:rsidR="00A2575E">
        <w:rPr>
          <w:rFonts w:ascii="Verdana" w:eastAsia="Malgun Gothic" w:hAnsi="Verdana" w:cs="Arial"/>
          <w:sz w:val="18"/>
          <w:szCs w:val="18"/>
          <w:lang w:val="el-GR"/>
        </w:rPr>
        <w:t>–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878CD">
        <w:rPr>
          <w:rFonts w:ascii="Verdana" w:eastAsia="Malgun Gothic" w:hAnsi="Verdana" w:cs="Arial"/>
          <w:sz w:val="18"/>
          <w:szCs w:val="18"/>
          <w:lang w:val="el-GR"/>
        </w:rPr>
        <w:t>Δεκεμβρίου</w:t>
      </w:r>
      <w:r w:rsidR="00D701F3" w:rsidRPr="0011170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2025, σε σύγκριση με την αντίστοιχη περίοδο του προηγούμενου έτους, οι μεγαλύτερες μεταβολές σημειώθηκαν στις κατηγορίες </w:t>
      </w:r>
      <w:r w:rsidR="00F878CD" w:rsidRPr="00B84B59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F878CD" w:rsidRPr="00B84B59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F878CD">
        <w:rPr>
          <w:rFonts w:ascii="Verdana" w:eastAsia="Malgun Gothic" w:hAnsi="Verdana" w:cs="Arial"/>
          <w:sz w:val="18"/>
          <w:szCs w:val="18"/>
          <w:lang w:val="el-GR"/>
        </w:rPr>
        <w:t>6,4</w:t>
      </w:r>
      <w:r w:rsidR="00F878CD" w:rsidRPr="00B84B59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F878CD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Pr="00CB58F4">
        <w:rPr>
          <w:rFonts w:ascii="Verdana" w:eastAsia="Malgun Gothic" w:hAnsi="Verdana" w:cs="Arial"/>
          <w:i/>
          <w:iCs/>
          <w:sz w:val="18"/>
          <w:szCs w:val="18"/>
          <w:lang w:val="el-GR"/>
        </w:rPr>
        <w:t>Αναψυχή και Πολιτισμός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878CD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="00B84B59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Pr="00CB58F4">
        <w:rPr>
          <w:rFonts w:ascii="Verdana" w:eastAsia="Malgun Gothic" w:hAnsi="Verdana" w:cs="Arial"/>
          <w:i/>
          <w:iCs/>
          <w:sz w:val="18"/>
          <w:szCs w:val="18"/>
          <w:lang w:val="el-GR"/>
        </w:rPr>
        <w:t>Εστιατόρια και Ξενοδοχεία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(5,</w:t>
      </w:r>
      <w:r w:rsidR="00EA3FAA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%) (Πίνακας 1).</w:t>
      </w:r>
    </w:p>
    <w:p w14:paraId="391CC45F" w14:textId="77777777" w:rsidR="00CB58F4" w:rsidRPr="001A7865" w:rsidRDefault="00CB58F4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5CA4FEA" w14:textId="4E67B61D" w:rsidR="00CB58F4" w:rsidRPr="00806DC7" w:rsidRDefault="00A2575E" w:rsidP="00CF583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lang w:val="el-GR"/>
        </w:rPr>
      </w:pPr>
      <w:r w:rsidRPr="00165C2F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CB58F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μεγαλύτερη μεταβολή στις οικονομικές κατηγορίες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</w:t>
      </w:r>
      <w:r w:rsidR="00EF7A18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ν </w:t>
      </w:r>
      <w:r w:rsidR="005B3C96">
        <w:rPr>
          <w:rFonts w:ascii="Verdana" w:eastAsia="Malgun Gothic" w:hAnsi="Verdana" w:cs="Arial"/>
          <w:sz w:val="18"/>
          <w:szCs w:val="18"/>
          <w:lang w:val="el-GR"/>
        </w:rPr>
        <w:t>Δεκέμβριο</w:t>
      </w:r>
      <w:r w:rsidR="002A794D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>2024</w:t>
      </w:r>
      <w:r w:rsidR="00AB174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σημειώθηκε στη</w:t>
      </w:r>
      <w:r w:rsidR="00E65431" w:rsidRPr="00165C2F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AB174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κατηγορία </w:t>
      </w:r>
      <w:r w:rsidR="00E65431" w:rsidRPr="00165C2F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Ενέργεια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B1744" w:rsidRPr="00165C2F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5B3C96" w:rsidRPr="005B3C96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AB1744" w:rsidRPr="00165C2F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B3C96" w:rsidRPr="005B3C96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AB174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>και σε σχέση με τον</w:t>
      </w:r>
      <w:r w:rsidR="002A794D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B3C96">
        <w:rPr>
          <w:rFonts w:ascii="Verdana" w:eastAsia="Malgun Gothic" w:hAnsi="Verdana" w:cs="Arial"/>
          <w:sz w:val="18"/>
          <w:szCs w:val="18"/>
          <w:lang w:val="el-GR"/>
        </w:rPr>
        <w:t>Νοέμβριο</w:t>
      </w:r>
      <w:r w:rsidR="002A794D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2025 </w:t>
      </w:r>
      <w:r w:rsidR="00CB58F4" w:rsidRPr="00165C2F">
        <w:rPr>
          <w:rFonts w:ascii="Verdana" w:eastAsia="Malgun Gothic" w:hAnsi="Verdana" w:cs="Arial"/>
          <w:sz w:val="18"/>
          <w:szCs w:val="18"/>
          <w:lang w:val="el-GR"/>
        </w:rPr>
        <w:t>σημειώθηκε στ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CB58F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CB58F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B3C96">
        <w:rPr>
          <w:rFonts w:ascii="Verdana" w:eastAsia="Malgun Gothic" w:hAnsi="Verdana" w:cs="Arial"/>
          <w:i/>
          <w:iCs/>
          <w:sz w:val="18"/>
          <w:szCs w:val="18"/>
          <w:lang w:val="el-GR"/>
        </w:rPr>
        <w:t>Υπηρεσίες</w:t>
      </w:r>
      <w:r w:rsidR="00815439" w:rsidRPr="00815439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     </w:t>
      </w:r>
      <w:r w:rsidR="00A663BC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6949B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5B3C96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663BC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949B0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CD6D53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336AA4" w:rsidRPr="00806DC7">
        <w:rPr>
          <w:rFonts w:ascii="Verdana" w:eastAsia="Malgun Gothic" w:hAnsi="Verdana" w:cs="Arial"/>
          <w:color w:val="EE0000"/>
          <w:sz w:val="18"/>
          <w:szCs w:val="18"/>
          <w:lang w:val="el-GR"/>
        </w:rPr>
        <w:t xml:space="preserve"> </w:t>
      </w:r>
      <w:r w:rsidR="00CB58F4" w:rsidRPr="00CD6D53">
        <w:rPr>
          <w:rFonts w:ascii="Verdana" w:eastAsia="Malgun Gothic" w:hAnsi="Verdana" w:cs="Arial"/>
          <w:sz w:val="18"/>
          <w:szCs w:val="18"/>
          <w:lang w:val="el-GR"/>
        </w:rPr>
        <w:t>(Πίνακας 2).</w:t>
      </w:r>
    </w:p>
    <w:p w14:paraId="5B59CF5D" w14:textId="77777777" w:rsidR="00DE6532" w:rsidRPr="00226E47" w:rsidRDefault="00DE6532" w:rsidP="00CF583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Style w:val="GridTable1Light-Accent11"/>
        <w:tblW w:w="9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48"/>
        <w:gridCol w:w="1389"/>
        <w:gridCol w:w="273"/>
        <w:gridCol w:w="1235"/>
        <w:gridCol w:w="1375"/>
        <w:gridCol w:w="1646"/>
      </w:tblGrid>
      <w:tr w:rsidR="00DE6532" w:rsidRPr="00336AA4" w14:paraId="65CBFA95" w14:textId="77777777" w:rsidTr="00EF1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0" w:type="dxa"/>
            <w:gridSpan w:val="6"/>
            <w:tcBorders>
              <w:bottom w:val="single" w:sz="4" w:space="0" w:color="366092"/>
            </w:tcBorders>
            <w:vAlign w:val="center"/>
          </w:tcPr>
          <w:p w14:paraId="49A0DFB7" w14:textId="77777777" w:rsidR="00DE6532" w:rsidRPr="00336AA4" w:rsidRDefault="00DE6532" w:rsidP="00BE35DB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bookmarkStart w:id="0" w:name="_Hlk211506093"/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Πίνακας </w:t>
            </w:r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</w:p>
        </w:tc>
        <w:tc>
          <w:tcPr>
            <w:tcW w:w="1646" w:type="dxa"/>
            <w:tcBorders>
              <w:bottom w:val="single" w:sz="4" w:space="0" w:color="366092"/>
            </w:tcBorders>
            <w:vAlign w:val="center"/>
          </w:tcPr>
          <w:p w14:paraId="3BB33A2F" w14:textId="77777777" w:rsidR="00DE6532" w:rsidRPr="00336AA4" w:rsidRDefault="00DE6532" w:rsidP="00881C10">
            <w:pPr>
              <w:tabs>
                <w:tab w:val="left" w:pos="1080"/>
                <w:tab w:val="left" w:pos="684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DE6532" w:rsidRPr="00336AA4" w14:paraId="23E70CAB" w14:textId="77777777" w:rsidTr="006F3C1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 w:val="restart"/>
            <w:tcBorders>
              <w:top w:val="single" w:sz="4" w:space="0" w:color="366092"/>
            </w:tcBorders>
            <w:vAlign w:val="center"/>
          </w:tcPr>
          <w:p w14:paraId="5D591A57" w14:textId="77777777" w:rsidR="00DE6532" w:rsidRPr="00336AA4" w:rsidRDefault="00DE6532" w:rsidP="00F601E4">
            <w:pPr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Κατηγορίες Αγαθών</w:t>
            </w:r>
          </w:p>
          <w:p w14:paraId="3E54713E" w14:textId="77777777" w:rsidR="00DE6532" w:rsidRPr="00336AA4" w:rsidRDefault="00DE6532" w:rsidP="00F601E4">
            <w:pPr>
              <w:rPr>
                <w:rFonts w:ascii="Verdana" w:eastAsia="Times New Roman" w:hAnsi="Verdana" w:cs="Arial"/>
                <w:b w:val="0"/>
                <w:color w:val="366092"/>
                <w:sz w:val="18"/>
                <w:szCs w:val="18"/>
                <w:lang w:val="el-GR"/>
              </w:rPr>
            </w:pPr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και Υπηρεσιών</w:t>
            </w:r>
          </w:p>
        </w:tc>
        <w:tc>
          <w:tcPr>
            <w:tcW w:w="2837" w:type="dxa"/>
            <w:gridSpan w:val="2"/>
            <w:vAlign w:val="center"/>
          </w:tcPr>
          <w:p w14:paraId="4889381B" w14:textId="77777777" w:rsidR="00DE6532" w:rsidRPr="00336AA4" w:rsidRDefault="00DE6532" w:rsidP="00BE35D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(2015=100)</w:t>
            </w:r>
          </w:p>
        </w:tc>
        <w:tc>
          <w:tcPr>
            <w:tcW w:w="273" w:type="dxa"/>
            <w:noWrap/>
            <w:tcMar>
              <w:left w:w="0" w:type="dxa"/>
              <w:right w:w="28" w:type="dxa"/>
            </w:tcMar>
            <w:vAlign w:val="center"/>
          </w:tcPr>
          <w:p w14:paraId="533A42D1" w14:textId="77777777" w:rsidR="00DE6532" w:rsidRPr="00336AA4" w:rsidRDefault="00DE6532" w:rsidP="00881C10">
            <w:pPr>
              <w:tabs>
                <w:tab w:val="left" w:pos="1080"/>
                <w:tab w:val="left" w:pos="68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b/>
                <w:bCs/>
                <w:color w:val="366092"/>
                <w:sz w:val="10"/>
                <w:szCs w:val="10"/>
              </w:rPr>
            </w:pPr>
          </w:p>
        </w:tc>
        <w:tc>
          <w:tcPr>
            <w:tcW w:w="4256" w:type="dxa"/>
            <w:gridSpan w:val="3"/>
            <w:vAlign w:val="center"/>
          </w:tcPr>
          <w:p w14:paraId="7D22320D" w14:textId="77777777" w:rsidR="00DE6532" w:rsidRPr="00336AA4" w:rsidRDefault="00DE6532" w:rsidP="00BE35DB">
            <w:pPr>
              <w:tabs>
                <w:tab w:val="left" w:pos="1080"/>
                <w:tab w:val="left" w:pos="684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EF12F6" w:rsidRPr="00336AA4" w14:paraId="13DFEC26" w14:textId="77777777" w:rsidTr="006F3C1A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Merge/>
            <w:tcBorders>
              <w:top w:val="single" w:sz="4" w:space="0" w:color="FFFFFF" w:themeColor="background1"/>
              <w:bottom w:val="single" w:sz="4" w:space="0" w:color="366092"/>
            </w:tcBorders>
            <w:vAlign w:val="center"/>
          </w:tcPr>
          <w:p w14:paraId="71DDBDFB" w14:textId="77777777" w:rsidR="00954A14" w:rsidRPr="00336AA4" w:rsidRDefault="00954A14" w:rsidP="00954A14">
            <w:pPr>
              <w:tabs>
                <w:tab w:val="left" w:pos="1080"/>
                <w:tab w:val="left" w:pos="6840"/>
              </w:tabs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48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712DFA57" w14:textId="0C185B76" w:rsidR="00954A14" w:rsidRPr="009312A5" w:rsidRDefault="009323F2" w:rsidP="00954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Νοέμβριος</w:t>
            </w:r>
          </w:p>
          <w:p w14:paraId="1C7DCC2A" w14:textId="0BE9D79E" w:rsidR="00954A14" w:rsidRPr="00336AA4" w:rsidRDefault="00954A14" w:rsidP="00954A14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38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210E1843" w14:textId="5DCC6DBD" w:rsidR="00954A14" w:rsidRPr="009312A5" w:rsidRDefault="009323F2" w:rsidP="00954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Δεκέμβριος</w:t>
            </w:r>
          </w:p>
          <w:p w14:paraId="34C5943D" w14:textId="77777777" w:rsidR="00954A14" w:rsidRPr="00336AA4" w:rsidRDefault="00954A14" w:rsidP="00954A14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273" w:type="dxa"/>
            <w:tcBorders>
              <w:bottom w:val="single" w:sz="4" w:space="0" w:color="366092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AD4B018" w14:textId="77777777" w:rsidR="00954A14" w:rsidRPr="00336AA4" w:rsidRDefault="00954A14" w:rsidP="00954A14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0"/>
                <w:szCs w:val="10"/>
                <w:lang w:val="el-GR"/>
              </w:rPr>
            </w:pPr>
          </w:p>
        </w:tc>
        <w:tc>
          <w:tcPr>
            <w:tcW w:w="1235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6C744A94" w14:textId="27F809D9" w:rsidR="00954A14" w:rsidRPr="00336AA4" w:rsidRDefault="009323F2" w:rsidP="00954A14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954A14"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954A14"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375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445E0301" w14:textId="1199C8D3" w:rsidR="00954A14" w:rsidRPr="00336AA4" w:rsidRDefault="009323F2" w:rsidP="00954A14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954A14"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954A1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954A14"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  <w:r w:rsidR="00954A14"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646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32562DB4" w14:textId="08DC5026" w:rsidR="00954A14" w:rsidRPr="00336AA4" w:rsidRDefault="00954A14" w:rsidP="00954A14">
            <w:pPr>
              <w:ind w:hanging="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– </w:t>
            </w:r>
            <w:r w:rsidR="009323F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</w:t>
            </w:r>
          </w:p>
          <w:p w14:paraId="31F15F40" w14:textId="0A128A83" w:rsidR="00954A14" w:rsidRPr="00336AA4" w:rsidRDefault="00954A14" w:rsidP="00954A14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– </w:t>
            </w:r>
            <w:r w:rsidR="009323F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</w:tr>
      <w:tr w:rsidR="00EF12F6" w:rsidRPr="00336AA4" w14:paraId="72616830" w14:textId="77777777" w:rsidTr="006F3C1A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tcBorders>
              <w:top w:val="single" w:sz="4" w:space="0" w:color="366092"/>
            </w:tcBorders>
            <w:vAlign w:val="center"/>
          </w:tcPr>
          <w:p w14:paraId="107335BD" w14:textId="77777777" w:rsidR="00D60A1E" w:rsidRPr="00336AA4" w:rsidRDefault="00D60A1E" w:rsidP="00D60A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448" w:type="dxa"/>
            <w:tcBorders>
              <w:top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2EE15586" w14:textId="183495CF" w:rsidR="00D60A1E" w:rsidRPr="009323F2" w:rsidRDefault="00D60A1E" w:rsidP="00815439">
            <w:pPr>
              <w:ind w:right="19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125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22</w:t>
            </w:r>
          </w:p>
        </w:tc>
        <w:tc>
          <w:tcPr>
            <w:tcW w:w="1389" w:type="dxa"/>
            <w:noWrap/>
            <w:tcMar>
              <w:left w:w="0" w:type="dxa"/>
              <w:right w:w="198" w:type="dxa"/>
            </w:tcMar>
            <w:vAlign w:val="center"/>
          </w:tcPr>
          <w:p w14:paraId="159AC28F" w14:textId="5B142AF8" w:rsidR="00D60A1E" w:rsidRPr="00336AA4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125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81 </w:t>
            </w:r>
          </w:p>
        </w:tc>
        <w:tc>
          <w:tcPr>
            <w:tcW w:w="273" w:type="dxa"/>
            <w:noWrap/>
            <w:tcMar>
              <w:left w:w="0" w:type="dxa"/>
              <w:right w:w="28" w:type="dxa"/>
            </w:tcMar>
            <w:vAlign w:val="center"/>
          </w:tcPr>
          <w:p w14:paraId="6D26A95C" w14:textId="77777777" w:rsidR="00D60A1E" w:rsidRPr="00336AA4" w:rsidRDefault="00D60A1E" w:rsidP="00815439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35" w:type="dxa"/>
            <w:tcBorders>
              <w:top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7F3C1E36" w14:textId="6BBE7872" w:rsidR="00D60A1E" w:rsidRPr="00815439" w:rsidRDefault="00D60A1E" w:rsidP="006F3C1A">
            <w:pPr>
              <w:ind w:right="-6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-2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375" w:type="dxa"/>
            <w:tcBorders>
              <w:top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405FFE1F" w14:textId="15A48C44" w:rsidR="00D60A1E" w:rsidRPr="00336AA4" w:rsidRDefault="00D60A1E" w:rsidP="006F3C1A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646" w:type="dxa"/>
            <w:tcBorders>
              <w:top w:val="single" w:sz="4" w:space="0" w:color="366092"/>
            </w:tcBorders>
            <w:vAlign w:val="center"/>
          </w:tcPr>
          <w:p w14:paraId="3DA4B285" w14:textId="2CD680F0" w:rsidR="00D60A1E" w:rsidRPr="00815439" w:rsidRDefault="00D60A1E" w:rsidP="006F3C1A">
            <w:pPr>
              <w:ind w:left="-135" w:right="5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</w:p>
        </w:tc>
      </w:tr>
      <w:tr w:rsidR="00D60A1E" w:rsidRPr="00336AA4" w14:paraId="73B0BC91" w14:textId="77777777" w:rsidTr="006F3C1A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Align w:val="center"/>
          </w:tcPr>
          <w:p w14:paraId="1DE6EB68" w14:textId="77777777" w:rsidR="00D60A1E" w:rsidRPr="00336AA4" w:rsidRDefault="00D60A1E" w:rsidP="00D60A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t>Αλκοολούχα Ποτά</w:t>
            </w:r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br/>
              <w:t>και Καπνός</w:t>
            </w:r>
          </w:p>
        </w:tc>
        <w:tc>
          <w:tcPr>
            <w:tcW w:w="1448" w:type="dxa"/>
            <w:noWrap/>
            <w:tcMar>
              <w:left w:w="0" w:type="dxa"/>
              <w:right w:w="198" w:type="dxa"/>
            </w:tcMar>
            <w:vAlign w:val="center"/>
          </w:tcPr>
          <w:p w14:paraId="3EE1B2E6" w14:textId="77743E91" w:rsidR="00D60A1E" w:rsidRPr="009323F2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102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76</w:t>
            </w:r>
          </w:p>
        </w:tc>
        <w:tc>
          <w:tcPr>
            <w:tcW w:w="1389" w:type="dxa"/>
            <w:noWrap/>
            <w:tcMar>
              <w:left w:w="0" w:type="dxa"/>
              <w:right w:w="198" w:type="dxa"/>
            </w:tcMar>
            <w:vAlign w:val="center"/>
          </w:tcPr>
          <w:p w14:paraId="7398EB48" w14:textId="67524B00" w:rsidR="00D60A1E" w:rsidRPr="00336AA4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102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73 </w:t>
            </w:r>
          </w:p>
        </w:tc>
        <w:tc>
          <w:tcPr>
            <w:tcW w:w="273" w:type="dxa"/>
            <w:noWrap/>
            <w:tcMar>
              <w:left w:w="0" w:type="dxa"/>
              <w:right w:w="28" w:type="dxa"/>
            </w:tcMar>
            <w:vAlign w:val="center"/>
          </w:tcPr>
          <w:p w14:paraId="4C871F2B" w14:textId="77777777" w:rsidR="00D60A1E" w:rsidRPr="00336AA4" w:rsidRDefault="00D60A1E" w:rsidP="00815439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35" w:type="dxa"/>
            <w:noWrap/>
            <w:tcMar>
              <w:left w:w="0" w:type="dxa"/>
              <w:right w:w="397" w:type="dxa"/>
            </w:tcMar>
            <w:vAlign w:val="center"/>
          </w:tcPr>
          <w:p w14:paraId="76C391C1" w14:textId="051FA4B4" w:rsidR="00D60A1E" w:rsidRPr="00815439" w:rsidRDefault="00D60A1E" w:rsidP="006F3C1A">
            <w:pPr>
              <w:ind w:right="-6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</w:t>
            </w:r>
          </w:p>
        </w:tc>
        <w:tc>
          <w:tcPr>
            <w:tcW w:w="1375" w:type="dxa"/>
            <w:noWrap/>
            <w:tcMar>
              <w:left w:w="0" w:type="dxa"/>
              <w:right w:w="397" w:type="dxa"/>
            </w:tcMar>
            <w:vAlign w:val="center"/>
          </w:tcPr>
          <w:p w14:paraId="47BB90D9" w14:textId="3E79B320" w:rsidR="00D60A1E" w:rsidRPr="00336AA4" w:rsidRDefault="00D60A1E" w:rsidP="006F3C1A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646" w:type="dxa"/>
            <w:vAlign w:val="center"/>
          </w:tcPr>
          <w:p w14:paraId="01B0B8DE" w14:textId="4747E985" w:rsidR="00D60A1E" w:rsidRPr="00815439" w:rsidRDefault="00D60A1E" w:rsidP="006F3C1A">
            <w:pPr>
              <w:ind w:left="-135" w:right="5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</w:p>
        </w:tc>
      </w:tr>
      <w:tr w:rsidR="00D60A1E" w:rsidRPr="00336AA4" w14:paraId="61711EEF" w14:textId="77777777" w:rsidTr="006F3C1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Align w:val="center"/>
          </w:tcPr>
          <w:p w14:paraId="5E3EEF0D" w14:textId="77777777" w:rsidR="00D60A1E" w:rsidRPr="00336AA4" w:rsidRDefault="00D60A1E" w:rsidP="00D60A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Ένδυση</w:t>
            </w:r>
            <w:proofErr w:type="spellEnd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 xml:space="preserve"> και Υπ</w:t>
            </w:r>
            <w:proofErr w:type="spellStart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1448" w:type="dxa"/>
            <w:noWrap/>
            <w:tcMar>
              <w:left w:w="0" w:type="dxa"/>
              <w:right w:w="198" w:type="dxa"/>
            </w:tcMar>
            <w:vAlign w:val="center"/>
          </w:tcPr>
          <w:p w14:paraId="2F65B78A" w14:textId="7A1164E6" w:rsidR="00D60A1E" w:rsidRPr="009323F2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97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22</w:t>
            </w:r>
          </w:p>
        </w:tc>
        <w:tc>
          <w:tcPr>
            <w:tcW w:w="1389" w:type="dxa"/>
            <w:noWrap/>
            <w:tcMar>
              <w:left w:w="0" w:type="dxa"/>
              <w:right w:w="198" w:type="dxa"/>
            </w:tcMar>
            <w:vAlign w:val="center"/>
          </w:tcPr>
          <w:p w14:paraId="6C3EFF99" w14:textId="7E67DCC7" w:rsidR="00D60A1E" w:rsidRPr="00336AA4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  97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01 </w:t>
            </w:r>
          </w:p>
        </w:tc>
        <w:tc>
          <w:tcPr>
            <w:tcW w:w="273" w:type="dxa"/>
            <w:noWrap/>
            <w:tcMar>
              <w:left w:w="0" w:type="dxa"/>
              <w:right w:w="28" w:type="dxa"/>
            </w:tcMar>
            <w:vAlign w:val="center"/>
          </w:tcPr>
          <w:p w14:paraId="47E081F3" w14:textId="77777777" w:rsidR="00D60A1E" w:rsidRPr="00336AA4" w:rsidRDefault="00D60A1E" w:rsidP="00815439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35" w:type="dxa"/>
            <w:noWrap/>
            <w:tcMar>
              <w:left w:w="0" w:type="dxa"/>
              <w:right w:w="397" w:type="dxa"/>
            </w:tcMar>
            <w:vAlign w:val="center"/>
          </w:tcPr>
          <w:p w14:paraId="0AE61A60" w14:textId="29FE4776" w:rsidR="00D60A1E" w:rsidRPr="00815439" w:rsidRDefault="00D60A1E" w:rsidP="006F3C1A">
            <w:pPr>
              <w:ind w:right="-6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-7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</w:t>
            </w:r>
          </w:p>
        </w:tc>
        <w:tc>
          <w:tcPr>
            <w:tcW w:w="1375" w:type="dxa"/>
            <w:noWrap/>
            <w:tcMar>
              <w:left w:w="0" w:type="dxa"/>
              <w:right w:w="397" w:type="dxa"/>
            </w:tcMar>
            <w:vAlign w:val="center"/>
          </w:tcPr>
          <w:p w14:paraId="388E9936" w14:textId="5F2B45D8" w:rsidR="00D60A1E" w:rsidRPr="00336AA4" w:rsidRDefault="00D60A1E" w:rsidP="006F3C1A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646" w:type="dxa"/>
            <w:vAlign w:val="center"/>
          </w:tcPr>
          <w:p w14:paraId="51987945" w14:textId="78C561DA" w:rsidR="00D60A1E" w:rsidRPr="00815439" w:rsidRDefault="00D60A1E" w:rsidP="006F3C1A">
            <w:pPr>
              <w:ind w:left="-135" w:right="5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-6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D60A1E" w:rsidRPr="00336AA4" w14:paraId="1A17E036" w14:textId="77777777" w:rsidTr="006F3C1A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Align w:val="center"/>
          </w:tcPr>
          <w:p w14:paraId="4BBCB2FB" w14:textId="77777777" w:rsidR="00D60A1E" w:rsidRPr="00336AA4" w:rsidRDefault="00D60A1E" w:rsidP="00D60A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Στέγαση, Ύδρευση, </w:t>
            </w:r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br/>
              <w:t>Ηλεκτρισμός και Υγραέριο</w:t>
            </w:r>
          </w:p>
        </w:tc>
        <w:tc>
          <w:tcPr>
            <w:tcW w:w="1448" w:type="dxa"/>
            <w:noWrap/>
            <w:tcMar>
              <w:left w:w="0" w:type="dxa"/>
              <w:right w:w="198" w:type="dxa"/>
            </w:tcMar>
            <w:vAlign w:val="center"/>
          </w:tcPr>
          <w:p w14:paraId="212B2033" w14:textId="513A470C" w:rsidR="00D60A1E" w:rsidRPr="009323F2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141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41</w:t>
            </w:r>
          </w:p>
        </w:tc>
        <w:tc>
          <w:tcPr>
            <w:tcW w:w="1389" w:type="dxa"/>
            <w:noWrap/>
            <w:tcMar>
              <w:left w:w="0" w:type="dxa"/>
              <w:right w:w="198" w:type="dxa"/>
            </w:tcMar>
            <w:vAlign w:val="center"/>
          </w:tcPr>
          <w:p w14:paraId="0E7F1647" w14:textId="67B008E6" w:rsidR="00D60A1E" w:rsidRPr="00336AA4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140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82 </w:t>
            </w:r>
          </w:p>
        </w:tc>
        <w:tc>
          <w:tcPr>
            <w:tcW w:w="273" w:type="dxa"/>
            <w:noWrap/>
            <w:tcMar>
              <w:left w:w="0" w:type="dxa"/>
              <w:right w:w="28" w:type="dxa"/>
            </w:tcMar>
            <w:vAlign w:val="center"/>
          </w:tcPr>
          <w:p w14:paraId="3C865BCA" w14:textId="77777777" w:rsidR="00D60A1E" w:rsidRPr="00336AA4" w:rsidRDefault="00D60A1E" w:rsidP="00815439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35" w:type="dxa"/>
            <w:noWrap/>
            <w:tcMar>
              <w:left w:w="0" w:type="dxa"/>
              <w:right w:w="397" w:type="dxa"/>
            </w:tcMar>
            <w:vAlign w:val="center"/>
          </w:tcPr>
          <w:p w14:paraId="097C1E7E" w14:textId="1B084AF1" w:rsidR="00D60A1E" w:rsidRPr="00815439" w:rsidRDefault="00D60A1E" w:rsidP="006F3C1A">
            <w:pPr>
              <w:ind w:right="-6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-3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375" w:type="dxa"/>
            <w:noWrap/>
            <w:tcMar>
              <w:left w:w="0" w:type="dxa"/>
              <w:right w:w="397" w:type="dxa"/>
            </w:tcMar>
            <w:vAlign w:val="center"/>
          </w:tcPr>
          <w:p w14:paraId="79AA6D89" w14:textId="7720C876" w:rsidR="00D60A1E" w:rsidRPr="00336AA4" w:rsidRDefault="00D60A1E" w:rsidP="006F3C1A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646" w:type="dxa"/>
            <w:vAlign w:val="center"/>
          </w:tcPr>
          <w:p w14:paraId="1A390F97" w14:textId="5EDA5395" w:rsidR="00D60A1E" w:rsidRPr="00815439" w:rsidRDefault="00D60A1E" w:rsidP="006F3C1A">
            <w:pPr>
              <w:ind w:left="-135" w:right="5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</w:t>
            </w:r>
          </w:p>
        </w:tc>
      </w:tr>
      <w:tr w:rsidR="00D60A1E" w:rsidRPr="00336AA4" w14:paraId="1A87EDC8" w14:textId="77777777" w:rsidTr="006F3C1A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Align w:val="center"/>
          </w:tcPr>
          <w:p w14:paraId="21012E9E" w14:textId="77777777" w:rsidR="00D60A1E" w:rsidRPr="00336AA4" w:rsidRDefault="00D60A1E" w:rsidP="00D60A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t>Επίπλωση, Οικιακός Εξοπλισμός και Προϊόντα Καθαρισμού</w:t>
            </w:r>
          </w:p>
        </w:tc>
        <w:tc>
          <w:tcPr>
            <w:tcW w:w="1448" w:type="dxa"/>
            <w:noWrap/>
            <w:tcMar>
              <w:left w:w="0" w:type="dxa"/>
              <w:right w:w="198" w:type="dxa"/>
            </w:tcMar>
            <w:vAlign w:val="center"/>
          </w:tcPr>
          <w:p w14:paraId="45662350" w14:textId="64E6844A" w:rsidR="00D60A1E" w:rsidRPr="009323F2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102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95</w:t>
            </w:r>
          </w:p>
        </w:tc>
        <w:tc>
          <w:tcPr>
            <w:tcW w:w="1389" w:type="dxa"/>
            <w:noWrap/>
            <w:tcMar>
              <w:left w:w="0" w:type="dxa"/>
              <w:right w:w="198" w:type="dxa"/>
            </w:tcMar>
            <w:vAlign w:val="center"/>
          </w:tcPr>
          <w:p w14:paraId="7A658B93" w14:textId="5E8677D5" w:rsidR="00D60A1E" w:rsidRPr="00336AA4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103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09 </w:t>
            </w:r>
          </w:p>
        </w:tc>
        <w:tc>
          <w:tcPr>
            <w:tcW w:w="273" w:type="dxa"/>
            <w:noWrap/>
            <w:tcMar>
              <w:left w:w="0" w:type="dxa"/>
              <w:right w:w="28" w:type="dxa"/>
            </w:tcMar>
            <w:vAlign w:val="center"/>
          </w:tcPr>
          <w:p w14:paraId="24A88C9A" w14:textId="77777777" w:rsidR="00D60A1E" w:rsidRPr="00336AA4" w:rsidRDefault="00D60A1E" w:rsidP="00815439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35" w:type="dxa"/>
            <w:noWrap/>
            <w:tcMar>
              <w:left w:w="0" w:type="dxa"/>
              <w:right w:w="397" w:type="dxa"/>
            </w:tcMar>
            <w:vAlign w:val="center"/>
          </w:tcPr>
          <w:p w14:paraId="7126AFB5" w14:textId="282FC78F" w:rsidR="00D60A1E" w:rsidRPr="00815439" w:rsidRDefault="00D60A1E" w:rsidP="006F3C1A">
            <w:pPr>
              <w:ind w:right="-6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375" w:type="dxa"/>
            <w:noWrap/>
            <w:tcMar>
              <w:left w:w="0" w:type="dxa"/>
              <w:right w:w="397" w:type="dxa"/>
            </w:tcMar>
            <w:vAlign w:val="center"/>
          </w:tcPr>
          <w:p w14:paraId="742FA2B2" w14:textId="089AF422" w:rsidR="00D60A1E" w:rsidRPr="00336AA4" w:rsidRDefault="00D60A1E" w:rsidP="006F3C1A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646" w:type="dxa"/>
            <w:vAlign w:val="center"/>
          </w:tcPr>
          <w:p w14:paraId="62816EE3" w14:textId="78C5FF26" w:rsidR="00D60A1E" w:rsidRPr="00815439" w:rsidRDefault="00D60A1E" w:rsidP="006F3C1A">
            <w:pPr>
              <w:ind w:left="-135" w:right="5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</w:t>
            </w:r>
          </w:p>
        </w:tc>
      </w:tr>
      <w:tr w:rsidR="00D60A1E" w:rsidRPr="00336AA4" w14:paraId="1D7E8FA6" w14:textId="77777777" w:rsidTr="006F3C1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Align w:val="center"/>
          </w:tcPr>
          <w:p w14:paraId="6BB9DA09" w14:textId="77777777" w:rsidR="00D60A1E" w:rsidRPr="00336AA4" w:rsidRDefault="00D60A1E" w:rsidP="00D60A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Υγεί</w:t>
            </w:r>
            <w:proofErr w:type="spellEnd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448" w:type="dxa"/>
            <w:noWrap/>
            <w:tcMar>
              <w:left w:w="0" w:type="dxa"/>
              <w:right w:w="198" w:type="dxa"/>
            </w:tcMar>
            <w:vAlign w:val="center"/>
          </w:tcPr>
          <w:p w14:paraId="53EE76F1" w14:textId="66BB2A0E" w:rsidR="00D60A1E" w:rsidRPr="009323F2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108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</w:t>
            </w:r>
          </w:p>
        </w:tc>
        <w:tc>
          <w:tcPr>
            <w:tcW w:w="1389" w:type="dxa"/>
            <w:noWrap/>
            <w:tcMar>
              <w:left w:w="0" w:type="dxa"/>
              <w:right w:w="198" w:type="dxa"/>
            </w:tcMar>
            <w:vAlign w:val="center"/>
          </w:tcPr>
          <w:p w14:paraId="7E55D623" w14:textId="03974D8B" w:rsidR="00D60A1E" w:rsidRPr="00336AA4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108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10 </w:t>
            </w:r>
          </w:p>
        </w:tc>
        <w:tc>
          <w:tcPr>
            <w:tcW w:w="273" w:type="dxa"/>
            <w:noWrap/>
            <w:tcMar>
              <w:left w:w="0" w:type="dxa"/>
              <w:right w:w="28" w:type="dxa"/>
            </w:tcMar>
            <w:vAlign w:val="center"/>
          </w:tcPr>
          <w:p w14:paraId="3E04EDB5" w14:textId="77777777" w:rsidR="00D60A1E" w:rsidRPr="00336AA4" w:rsidRDefault="00D60A1E" w:rsidP="00815439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35" w:type="dxa"/>
            <w:noWrap/>
            <w:tcMar>
              <w:left w:w="0" w:type="dxa"/>
              <w:right w:w="397" w:type="dxa"/>
            </w:tcMar>
            <w:vAlign w:val="center"/>
          </w:tcPr>
          <w:p w14:paraId="5E200F4B" w14:textId="4C0781C7" w:rsidR="00D60A1E" w:rsidRPr="00815439" w:rsidRDefault="00D60A1E" w:rsidP="006F3C1A">
            <w:pPr>
              <w:ind w:right="-6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</w:t>
            </w:r>
          </w:p>
        </w:tc>
        <w:tc>
          <w:tcPr>
            <w:tcW w:w="1375" w:type="dxa"/>
            <w:noWrap/>
            <w:tcMar>
              <w:left w:w="0" w:type="dxa"/>
              <w:right w:w="397" w:type="dxa"/>
            </w:tcMar>
            <w:vAlign w:val="center"/>
          </w:tcPr>
          <w:p w14:paraId="0EF7A896" w14:textId="6DE48B6F" w:rsidR="00D60A1E" w:rsidRPr="00336AA4" w:rsidRDefault="00D60A1E" w:rsidP="006F3C1A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646" w:type="dxa"/>
            <w:vAlign w:val="center"/>
          </w:tcPr>
          <w:p w14:paraId="4E0B2B07" w14:textId="1F757995" w:rsidR="00D60A1E" w:rsidRPr="00815439" w:rsidRDefault="00D60A1E" w:rsidP="006F3C1A">
            <w:pPr>
              <w:ind w:left="-135" w:right="5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</w:p>
        </w:tc>
      </w:tr>
      <w:tr w:rsidR="00D60A1E" w:rsidRPr="00336AA4" w14:paraId="01F0515D" w14:textId="77777777" w:rsidTr="006F3C1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Align w:val="center"/>
          </w:tcPr>
          <w:p w14:paraId="1B59A08F" w14:textId="77777777" w:rsidR="00D60A1E" w:rsidRPr="00336AA4" w:rsidRDefault="00D60A1E" w:rsidP="00D60A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Μετ</w:t>
            </w:r>
            <w:proofErr w:type="spellEnd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1448" w:type="dxa"/>
            <w:noWrap/>
            <w:tcMar>
              <w:left w:w="0" w:type="dxa"/>
              <w:right w:w="198" w:type="dxa"/>
            </w:tcMar>
            <w:vAlign w:val="center"/>
          </w:tcPr>
          <w:p w14:paraId="58714BD7" w14:textId="587F8BBA" w:rsidR="00D60A1E" w:rsidRPr="009323F2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109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39</w:t>
            </w:r>
          </w:p>
        </w:tc>
        <w:tc>
          <w:tcPr>
            <w:tcW w:w="1389" w:type="dxa"/>
            <w:noWrap/>
            <w:tcMar>
              <w:left w:w="0" w:type="dxa"/>
              <w:right w:w="198" w:type="dxa"/>
            </w:tcMar>
            <w:vAlign w:val="center"/>
          </w:tcPr>
          <w:p w14:paraId="0D77524C" w14:textId="0294052D" w:rsidR="00D60A1E" w:rsidRPr="00336AA4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107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58 </w:t>
            </w:r>
          </w:p>
        </w:tc>
        <w:tc>
          <w:tcPr>
            <w:tcW w:w="273" w:type="dxa"/>
            <w:noWrap/>
            <w:tcMar>
              <w:left w:w="0" w:type="dxa"/>
              <w:right w:w="28" w:type="dxa"/>
            </w:tcMar>
            <w:vAlign w:val="center"/>
          </w:tcPr>
          <w:p w14:paraId="359CE342" w14:textId="77777777" w:rsidR="00D60A1E" w:rsidRPr="00336AA4" w:rsidRDefault="00D60A1E" w:rsidP="00815439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35" w:type="dxa"/>
            <w:noWrap/>
            <w:tcMar>
              <w:left w:w="0" w:type="dxa"/>
              <w:right w:w="397" w:type="dxa"/>
            </w:tcMar>
            <w:vAlign w:val="center"/>
          </w:tcPr>
          <w:p w14:paraId="5EC736E9" w14:textId="570A9E69" w:rsidR="00D60A1E" w:rsidRPr="00815439" w:rsidRDefault="00D60A1E" w:rsidP="006F3C1A">
            <w:pPr>
              <w:ind w:right="-6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375" w:type="dxa"/>
            <w:noWrap/>
            <w:tcMar>
              <w:left w:w="0" w:type="dxa"/>
              <w:right w:w="397" w:type="dxa"/>
            </w:tcMar>
            <w:vAlign w:val="center"/>
          </w:tcPr>
          <w:p w14:paraId="1B9283FB" w14:textId="315DE14C" w:rsidR="00D60A1E" w:rsidRPr="00336AA4" w:rsidRDefault="00D60A1E" w:rsidP="006F3C1A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646" w:type="dxa"/>
            <w:vAlign w:val="center"/>
          </w:tcPr>
          <w:p w14:paraId="5EDDE6E9" w14:textId="5A919E5F" w:rsidR="00D60A1E" w:rsidRPr="00815439" w:rsidRDefault="00D60A1E" w:rsidP="006F3C1A">
            <w:pPr>
              <w:ind w:left="-135" w:right="5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</w:p>
        </w:tc>
      </w:tr>
      <w:tr w:rsidR="00D60A1E" w:rsidRPr="00336AA4" w14:paraId="4A7A4CA0" w14:textId="77777777" w:rsidTr="006F3C1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Align w:val="center"/>
          </w:tcPr>
          <w:p w14:paraId="7B6E12A8" w14:textId="77777777" w:rsidR="00D60A1E" w:rsidRPr="00336AA4" w:rsidRDefault="00D60A1E" w:rsidP="00D60A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Επ</w:t>
            </w:r>
            <w:proofErr w:type="spellStart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ικοινωνίες</w:t>
            </w:r>
            <w:proofErr w:type="spellEnd"/>
          </w:p>
        </w:tc>
        <w:tc>
          <w:tcPr>
            <w:tcW w:w="1448" w:type="dxa"/>
            <w:noWrap/>
            <w:tcMar>
              <w:left w:w="0" w:type="dxa"/>
              <w:right w:w="198" w:type="dxa"/>
            </w:tcMar>
            <w:vAlign w:val="center"/>
          </w:tcPr>
          <w:p w14:paraId="48CEA7E0" w14:textId="636AF469" w:rsidR="00D60A1E" w:rsidRPr="009323F2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88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09</w:t>
            </w:r>
          </w:p>
        </w:tc>
        <w:tc>
          <w:tcPr>
            <w:tcW w:w="1389" w:type="dxa"/>
            <w:noWrap/>
            <w:tcMar>
              <w:left w:w="0" w:type="dxa"/>
              <w:right w:w="198" w:type="dxa"/>
            </w:tcMar>
            <w:vAlign w:val="center"/>
          </w:tcPr>
          <w:p w14:paraId="3B0B1C0F" w14:textId="2FC1627B" w:rsidR="00D60A1E" w:rsidRPr="00336AA4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  87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49 </w:t>
            </w:r>
          </w:p>
        </w:tc>
        <w:tc>
          <w:tcPr>
            <w:tcW w:w="273" w:type="dxa"/>
            <w:noWrap/>
            <w:tcMar>
              <w:left w:w="0" w:type="dxa"/>
              <w:right w:w="28" w:type="dxa"/>
            </w:tcMar>
            <w:vAlign w:val="center"/>
          </w:tcPr>
          <w:p w14:paraId="34404391" w14:textId="77777777" w:rsidR="00D60A1E" w:rsidRPr="00336AA4" w:rsidRDefault="00D60A1E" w:rsidP="00815439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35" w:type="dxa"/>
            <w:noWrap/>
            <w:tcMar>
              <w:left w:w="0" w:type="dxa"/>
              <w:right w:w="397" w:type="dxa"/>
            </w:tcMar>
            <w:vAlign w:val="center"/>
          </w:tcPr>
          <w:p w14:paraId="206CDC88" w14:textId="4D6C0A4B" w:rsidR="00D60A1E" w:rsidRPr="00815439" w:rsidRDefault="00D60A1E" w:rsidP="006F3C1A">
            <w:pPr>
              <w:ind w:right="-6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-2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375" w:type="dxa"/>
            <w:noWrap/>
            <w:tcMar>
              <w:left w:w="0" w:type="dxa"/>
              <w:right w:w="397" w:type="dxa"/>
            </w:tcMar>
            <w:vAlign w:val="center"/>
          </w:tcPr>
          <w:p w14:paraId="0B55127E" w14:textId="7863839B" w:rsidR="00D60A1E" w:rsidRPr="00336AA4" w:rsidRDefault="00D60A1E" w:rsidP="006F3C1A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646" w:type="dxa"/>
            <w:vAlign w:val="center"/>
          </w:tcPr>
          <w:p w14:paraId="59B33161" w14:textId="1F0D415F" w:rsidR="00D60A1E" w:rsidRPr="00815439" w:rsidRDefault="00D60A1E" w:rsidP="006F3C1A">
            <w:pPr>
              <w:ind w:left="-135" w:right="5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-2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</w:p>
        </w:tc>
      </w:tr>
      <w:tr w:rsidR="00D60A1E" w:rsidRPr="00336AA4" w14:paraId="42A9E1FA" w14:textId="77777777" w:rsidTr="006F3C1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Align w:val="center"/>
          </w:tcPr>
          <w:p w14:paraId="50DA6FAA" w14:textId="77777777" w:rsidR="00D60A1E" w:rsidRPr="00336AA4" w:rsidRDefault="00D60A1E" w:rsidP="00D60A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Αν</w:t>
            </w:r>
            <w:proofErr w:type="spellEnd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 xml:space="preserve">αψυχή και </w:t>
            </w:r>
            <w:proofErr w:type="spellStart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Πολιτισμός</w:t>
            </w:r>
            <w:proofErr w:type="spellEnd"/>
          </w:p>
        </w:tc>
        <w:tc>
          <w:tcPr>
            <w:tcW w:w="1448" w:type="dxa"/>
            <w:noWrap/>
            <w:tcMar>
              <w:left w:w="0" w:type="dxa"/>
              <w:right w:w="198" w:type="dxa"/>
            </w:tcMar>
            <w:vAlign w:val="center"/>
          </w:tcPr>
          <w:p w14:paraId="66FAA8EB" w14:textId="494B0B1C" w:rsidR="00D60A1E" w:rsidRPr="009323F2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129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17</w:t>
            </w:r>
          </w:p>
        </w:tc>
        <w:tc>
          <w:tcPr>
            <w:tcW w:w="1389" w:type="dxa"/>
            <w:noWrap/>
            <w:tcMar>
              <w:left w:w="0" w:type="dxa"/>
              <w:right w:w="198" w:type="dxa"/>
            </w:tcMar>
            <w:vAlign w:val="center"/>
          </w:tcPr>
          <w:p w14:paraId="392F293F" w14:textId="06C30499" w:rsidR="00D60A1E" w:rsidRPr="00336AA4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129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08 </w:t>
            </w:r>
          </w:p>
        </w:tc>
        <w:tc>
          <w:tcPr>
            <w:tcW w:w="273" w:type="dxa"/>
            <w:noWrap/>
            <w:tcMar>
              <w:left w:w="0" w:type="dxa"/>
              <w:right w:w="28" w:type="dxa"/>
            </w:tcMar>
            <w:vAlign w:val="center"/>
          </w:tcPr>
          <w:p w14:paraId="614E229D" w14:textId="77777777" w:rsidR="00D60A1E" w:rsidRPr="00336AA4" w:rsidRDefault="00D60A1E" w:rsidP="00815439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35" w:type="dxa"/>
            <w:noWrap/>
            <w:tcMar>
              <w:left w:w="0" w:type="dxa"/>
              <w:right w:w="397" w:type="dxa"/>
            </w:tcMar>
            <w:vAlign w:val="center"/>
          </w:tcPr>
          <w:p w14:paraId="0D92BAE1" w14:textId="44D3CB84" w:rsidR="00D60A1E" w:rsidRPr="00815439" w:rsidRDefault="00D60A1E" w:rsidP="006F3C1A">
            <w:pPr>
              <w:ind w:right="-6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375" w:type="dxa"/>
            <w:noWrap/>
            <w:tcMar>
              <w:left w:w="0" w:type="dxa"/>
              <w:right w:w="397" w:type="dxa"/>
            </w:tcMar>
            <w:vAlign w:val="center"/>
          </w:tcPr>
          <w:p w14:paraId="5117F50C" w14:textId="0603EAC1" w:rsidR="00D60A1E" w:rsidRPr="00336AA4" w:rsidRDefault="00D60A1E" w:rsidP="006F3C1A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646" w:type="dxa"/>
            <w:vAlign w:val="center"/>
          </w:tcPr>
          <w:p w14:paraId="1F20A6C0" w14:textId="47478D87" w:rsidR="00D60A1E" w:rsidRPr="00815439" w:rsidRDefault="00D60A1E" w:rsidP="006F3C1A">
            <w:pPr>
              <w:ind w:left="-135" w:right="5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</w:t>
            </w:r>
          </w:p>
        </w:tc>
      </w:tr>
      <w:tr w:rsidR="00D60A1E" w:rsidRPr="00336AA4" w14:paraId="5DA075CD" w14:textId="77777777" w:rsidTr="006F3C1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Align w:val="center"/>
          </w:tcPr>
          <w:p w14:paraId="0A4EFF94" w14:textId="77777777" w:rsidR="00D60A1E" w:rsidRPr="00336AA4" w:rsidRDefault="00D60A1E" w:rsidP="00D60A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Εκ</w:t>
            </w:r>
            <w:proofErr w:type="spellEnd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παίδευση</w:t>
            </w:r>
          </w:p>
        </w:tc>
        <w:tc>
          <w:tcPr>
            <w:tcW w:w="1448" w:type="dxa"/>
            <w:noWrap/>
            <w:tcMar>
              <w:left w:w="0" w:type="dxa"/>
              <w:right w:w="198" w:type="dxa"/>
            </w:tcMar>
            <w:vAlign w:val="center"/>
          </w:tcPr>
          <w:p w14:paraId="13AF7662" w14:textId="1D932079" w:rsidR="00D60A1E" w:rsidRPr="009323F2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118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32</w:t>
            </w:r>
          </w:p>
        </w:tc>
        <w:tc>
          <w:tcPr>
            <w:tcW w:w="1389" w:type="dxa"/>
            <w:noWrap/>
            <w:tcMar>
              <w:left w:w="0" w:type="dxa"/>
              <w:right w:w="198" w:type="dxa"/>
            </w:tcMar>
            <w:vAlign w:val="center"/>
          </w:tcPr>
          <w:p w14:paraId="4D5D481F" w14:textId="283967D1" w:rsidR="00D60A1E" w:rsidRPr="00336AA4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118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50 </w:t>
            </w:r>
          </w:p>
        </w:tc>
        <w:tc>
          <w:tcPr>
            <w:tcW w:w="273" w:type="dxa"/>
            <w:noWrap/>
            <w:tcMar>
              <w:left w:w="0" w:type="dxa"/>
              <w:right w:w="28" w:type="dxa"/>
            </w:tcMar>
            <w:vAlign w:val="center"/>
          </w:tcPr>
          <w:p w14:paraId="0EA4A1C9" w14:textId="77777777" w:rsidR="00D60A1E" w:rsidRPr="00336AA4" w:rsidRDefault="00D60A1E" w:rsidP="00815439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35" w:type="dxa"/>
            <w:noWrap/>
            <w:tcMar>
              <w:left w:w="0" w:type="dxa"/>
              <w:right w:w="397" w:type="dxa"/>
            </w:tcMar>
            <w:vAlign w:val="center"/>
          </w:tcPr>
          <w:p w14:paraId="5CDF4B4C" w14:textId="0C3372DA" w:rsidR="00D60A1E" w:rsidRPr="00815439" w:rsidRDefault="00D60A1E" w:rsidP="006F3C1A">
            <w:pPr>
              <w:ind w:right="-6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</w:p>
        </w:tc>
        <w:tc>
          <w:tcPr>
            <w:tcW w:w="1375" w:type="dxa"/>
            <w:noWrap/>
            <w:tcMar>
              <w:left w:w="0" w:type="dxa"/>
              <w:right w:w="397" w:type="dxa"/>
            </w:tcMar>
            <w:vAlign w:val="center"/>
          </w:tcPr>
          <w:p w14:paraId="7D58940C" w14:textId="6397769C" w:rsidR="00D60A1E" w:rsidRPr="00336AA4" w:rsidRDefault="00D60A1E" w:rsidP="006F3C1A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646" w:type="dxa"/>
            <w:vAlign w:val="center"/>
          </w:tcPr>
          <w:p w14:paraId="4A3490B6" w14:textId="077C514C" w:rsidR="00D60A1E" w:rsidRPr="00815439" w:rsidRDefault="00D60A1E" w:rsidP="006F3C1A">
            <w:pPr>
              <w:ind w:left="-135" w:right="5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D60A1E" w:rsidRPr="00336AA4" w14:paraId="7A492CA4" w14:textId="77777777" w:rsidTr="006F3C1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vAlign w:val="center"/>
          </w:tcPr>
          <w:p w14:paraId="6FD41196" w14:textId="77777777" w:rsidR="00D60A1E" w:rsidRPr="00336AA4" w:rsidRDefault="00D60A1E" w:rsidP="00D60A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Εστι</w:t>
            </w:r>
            <w:proofErr w:type="spellEnd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 xml:space="preserve">ατόρια και </w:t>
            </w:r>
            <w:proofErr w:type="spellStart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Ξενοδοχεί</w:t>
            </w:r>
            <w:proofErr w:type="spellEnd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448" w:type="dxa"/>
            <w:noWrap/>
            <w:tcMar>
              <w:left w:w="0" w:type="dxa"/>
              <w:right w:w="198" w:type="dxa"/>
            </w:tcMar>
            <w:vAlign w:val="center"/>
          </w:tcPr>
          <w:p w14:paraId="35B398B6" w14:textId="44E13DA5" w:rsidR="00D60A1E" w:rsidRPr="009323F2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130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92</w:t>
            </w:r>
          </w:p>
        </w:tc>
        <w:tc>
          <w:tcPr>
            <w:tcW w:w="1389" w:type="dxa"/>
            <w:noWrap/>
            <w:tcMar>
              <w:left w:w="0" w:type="dxa"/>
              <w:right w:w="198" w:type="dxa"/>
            </w:tcMar>
            <w:vAlign w:val="center"/>
          </w:tcPr>
          <w:p w14:paraId="45F64347" w14:textId="5900978E" w:rsidR="00D60A1E" w:rsidRPr="00336AA4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129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80 </w:t>
            </w:r>
          </w:p>
        </w:tc>
        <w:tc>
          <w:tcPr>
            <w:tcW w:w="273" w:type="dxa"/>
            <w:noWrap/>
            <w:tcMar>
              <w:left w:w="0" w:type="dxa"/>
              <w:right w:w="28" w:type="dxa"/>
            </w:tcMar>
            <w:vAlign w:val="center"/>
          </w:tcPr>
          <w:p w14:paraId="137FC75F" w14:textId="77777777" w:rsidR="00D60A1E" w:rsidRPr="00336AA4" w:rsidRDefault="00D60A1E" w:rsidP="00815439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35" w:type="dxa"/>
            <w:noWrap/>
            <w:tcMar>
              <w:left w:w="0" w:type="dxa"/>
              <w:right w:w="397" w:type="dxa"/>
            </w:tcMar>
            <w:vAlign w:val="center"/>
          </w:tcPr>
          <w:p w14:paraId="2810536A" w14:textId="2CC9DE40" w:rsidR="00D60A1E" w:rsidRPr="00815439" w:rsidRDefault="00D60A1E" w:rsidP="006F3C1A">
            <w:pPr>
              <w:ind w:right="-6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375" w:type="dxa"/>
            <w:noWrap/>
            <w:tcMar>
              <w:left w:w="0" w:type="dxa"/>
              <w:right w:w="397" w:type="dxa"/>
            </w:tcMar>
            <w:vAlign w:val="center"/>
          </w:tcPr>
          <w:p w14:paraId="155CE36D" w14:textId="4A80F65C" w:rsidR="00D60A1E" w:rsidRPr="00336AA4" w:rsidRDefault="00D60A1E" w:rsidP="006F3C1A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</w:t>
            </w:r>
          </w:p>
        </w:tc>
        <w:tc>
          <w:tcPr>
            <w:tcW w:w="1646" w:type="dxa"/>
            <w:vAlign w:val="center"/>
          </w:tcPr>
          <w:p w14:paraId="278D7EE0" w14:textId="6140A164" w:rsidR="00D60A1E" w:rsidRPr="00815439" w:rsidRDefault="00D60A1E" w:rsidP="006F3C1A">
            <w:pPr>
              <w:ind w:left="-135" w:right="5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</w:t>
            </w:r>
          </w:p>
        </w:tc>
      </w:tr>
      <w:tr w:rsidR="00D60A1E" w:rsidRPr="00336AA4" w14:paraId="09AA2A02" w14:textId="77777777" w:rsidTr="006F3C1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tcBorders>
              <w:bottom w:val="single" w:sz="4" w:space="0" w:color="366092"/>
            </w:tcBorders>
            <w:vAlign w:val="center"/>
          </w:tcPr>
          <w:p w14:paraId="6442848A" w14:textId="77777777" w:rsidR="00D60A1E" w:rsidRPr="00336AA4" w:rsidRDefault="00D60A1E" w:rsidP="00D60A1E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Άλλ</w:t>
            </w:r>
            <w:proofErr w:type="spellEnd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 xml:space="preserve">α </w:t>
            </w:r>
            <w:proofErr w:type="spellStart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Αγ</w:t>
            </w:r>
            <w:proofErr w:type="spellEnd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αθά και Υπ</w:t>
            </w:r>
            <w:proofErr w:type="spellStart"/>
            <w:r w:rsidRPr="00336AA4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448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66E390CD" w14:textId="6D96558D" w:rsidR="00D60A1E" w:rsidRPr="009323F2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112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75</w:t>
            </w:r>
          </w:p>
        </w:tc>
        <w:tc>
          <w:tcPr>
            <w:tcW w:w="1389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4336ED2D" w14:textId="3999B6A5" w:rsidR="00D60A1E" w:rsidRPr="00336AA4" w:rsidRDefault="00D60A1E" w:rsidP="00815439">
            <w:pPr>
              <w:ind w:right="19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113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01 </w:t>
            </w:r>
          </w:p>
        </w:tc>
        <w:tc>
          <w:tcPr>
            <w:tcW w:w="273" w:type="dxa"/>
            <w:tcBorders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2D35B5FC" w14:textId="77777777" w:rsidR="00D60A1E" w:rsidRPr="00336AA4" w:rsidRDefault="00D60A1E" w:rsidP="00815439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35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009347D6" w14:textId="57601AE9" w:rsidR="00D60A1E" w:rsidRPr="00815439" w:rsidRDefault="00D60A1E" w:rsidP="006F3C1A">
            <w:pPr>
              <w:ind w:right="-6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375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2D379491" w14:textId="7743C8CE" w:rsidR="00D60A1E" w:rsidRPr="00336AA4" w:rsidRDefault="00D60A1E" w:rsidP="006F3C1A">
            <w:pPr>
              <w:ind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646" w:type="dxa"/>
            <w:tcBorders>
              <w:bottom w:val="single" w:sz="4" w:space="0" w:color="366092"/>
            </w:tcBorders>
            <w:vAlign w:val="center"/>
          </w:tcPr>
          <w:p w14:paraId="484B3E84" w14:textId="0682C15C" w:rsidR="00D60A1E" w:rsidRPr="00815439" w:rsidRDefault="00D60A1E" w:rsidP="006F3C1A">
            <w:pPr>
              <w:ind w:left="-135" w:right="55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7D37E6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2C2008" w:rsidRPr="00336AA4" w14:paraId="32706497" w14:textId="77777777" w:rsidTr="006F3C1A">
        <w:trPr>
          <w:cantSplit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0" w:type="dxa"/>
            <w:tcBorders>
              <w:top w:val="single" w:sz="4" w:space="0" w:color="366092"/>
              <w:bottom w:val="single" w:sz="4" w:space="0" w:color="366092"/>
            </w:tcBorders>
            <w:tcMar>
              <w:right w:w="0" w:type="dxa"/>
            </w:tcMar>
            <w:vAlign w:val="center"/>
          </w:tcPr>
          <w:p w14:paraId="601A34A3" w14:textId="2A774377" w:rsidR="002C2008" w:rsidRPr="00336AA4" w:rsidRDefault="002C2008" w:rsidP="002C2008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36AA4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Γενικός </w:t>
            </w:r>
            <w:proofErr w:type="spellStart"/>
            <w:r w:rsidRPr="00336AA4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</w:p>
        </w:tc>
        <w:tc>
          <w:tcPr>
            <w:tcW w:w="1448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067F6B49" w14:textId="77777777" w:rsidR="00D60A1E" w:rsidRDefault="00D60A1E" w:rsidP="00815439">
            <w:pPr>
              <w:ind w:right="19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  <w:p w14:paraId="2017F2EE" w14:textId="73E6CCFF" w:rsidR="009323F2" w:rsidRPr="009323F2" w:rsidRDefault="009323F2" w:rsidP="00815439">
            <w:pPr>
              <w:ind w:right="19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323F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118</w:t>
            </w:r>
            <w:r w:rsidR="007D37E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18</w:t>
            </w:r>
          </w:p>
          <w:p w14:paraId="68624DF8" w14:textId="5FE017BC" w:rsidR="002C2008" w:rsidRPr="009323F2" w:rsidRDefault="002C2008" w:rsidP="00815439">
            <w:pPr>
              <w:ind w:right="19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9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4930317B" w14:textId="77777777" w:rsidR="00EF12F6" w:rsidRDefault="00EF12F6" w:rsidP="00815439">
            <w:pPr>
              <w:ind w:right="19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  <w:p w14:paraId="3359AA0D" w14:textId="58E720A6" w:rsidR="009323F2" w:rsidRPr="00EF12F6" w:rsidRDefault="009323F2" w:rsidP="00815439">
            <w:pPr>
              <w:ind w:left="152" w:right="19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9323F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117</w:t>
            </w:r>
            <w:r w:rsidR="007D37E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9323F2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74</w:t>
            </w:r>
          </w:p>
          <w:p w14:paraId="1E560D7F" w14:textId="4598AA60" w:rsidR="002C2008" w:rsidRPr="009323F2" w:rsidRDefault="002C2008" w:rsidP="00815439">
            <w:pPr>
              <w:ind w:right="191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73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665071EA" w14:textId="77777777" w:rsidR="002C2008" w:rsidRPr="002C2008" w:rsidRDefault="002C2008" w:rsidP="008154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35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372F015D" w14:textId="59817A89" w:rsidR="002C2008" w:rsidRPr="00D60A1E" w:rsidRDefault="002C2008" w:rsidP="006F3C1A">
            <w:pPr>
              <w:ind w:right="-6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60A1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0,1</w:t>
            </w:r>
          </w:p>
        </w:tc>
        <w:tc>
          <w:tcPr>
            <w:tcW w:w="1375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19E29F26" w14:textId="77777777" w:rsidR="00D60A1E" w:rsidRDefault="00D60A1E" w:rsidP="006F3C1A">
            <w:pPr>
              <w:ind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  <w:p w14:paraId="313D5C93" w14:textId="663C9E30" w:rsidR="00D60A1E" w:rsidRPr="00D60A1E" w:rsidRDefault="00D60A1E" w:rsidP="006F3C1A">
            <w:pPr>
              <w:ind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60A1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-0</w:t>
            </w:r>
            <w:r w:rsidR="007D37E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4 </w:t>
            </w:r>
          </w:p>
          <w:p w14:paraId="21542115" w14:textId="56FA213B" w:rsidR="002C2008" w:rsidRPr="00D60A1E" w:rsidRDefault="002C2008" w:rsidP="006F3C1A">
            <w:pPr>
              <w:ind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46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29F9B16" w14:textId="77777777" w:rsidR="00D60A1E" w:rsidRDefault="00D60A1E" w:rsidP="006F3C1A">
            <w:pPr>
              <w:ind w:right="5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  <w:p w14:paraId="723E0564" w14:textId="1CF5386F" w:rsidR="00D60A1E" w:rsidRPr="00815439" w:rsidRDefault="00D60A1E" w:rsidP="006F3C1A">
            <w:pPr>
              <w:ind w:right="5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D60A1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="007D37E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D60A1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8</w:t>
            </w:r>
          </w:p>
          <w:p w14:paraId="3385E35E" w14:textId="3CB5C903" w:rsidR="002C2008" w:rsidRPr="00D60A1E" w:rsidRDefault="002C2008" w:rsidP="006F3C1A">
            <w:pPr>
              <w:ind w:left="-135" w:right="55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bookmarkEnd w:id="0"/>
    </w:tbl>
    <w:p w14:paraId="1D5E4402" w14:textId="77777777" w:rsidR="00E74ACD" w:rsidRPr="00A23DE2" w:rsidRDefault="00E74ACD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9826" w:type="dxa"/>
        <w:tblLayout w:type="fixed"/>
        <w:tblLook w:val="04A0" w:firstRow="1" w:lastRow="0" w:firstColumn="1" w:lastColumn="0" w:noHBand="0" w:noVBand="1"/>
      </w:tblPr>
      <w:tblGrid>
        <w:gridCol w:w="3223"/>
        <w:gridCol w:w="2058"/>
        <w:gridCol w:w="2309"/>
        <w:gridCol w:w="2236"/>
      </w:tblGrid>
      <w:tr w:rsidR="00336AA4" w:rsidRPr="00336AA4" w14:paraId="09088547" w14:textId="77777777" w:rsidTr="006F3C1A">
        <w:trPr>
          <w:trHeight w:val="330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2CBBCFB" w14:textId="77777777" w:rsidR="004D40D3" w:rsidRPr="00A84A02" w:rsidRDefault="004D40D3" w:rsidP="00FA5F4A">
            <w:pPr>
              <w:ind w:right="41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37FD3C8B" w14:textId="77777777" w:rsidR="00AF5CC6" w:rsidRPr="00336AA4" w:rsidRDefault="00AF5CC6" w:rsidP="00FA5F4A">
            <w:pPr>
              <w:ind w:right="41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</w:tr>
      <w:tr w:rsidR="00336AA4" w:rsidRPr="00336AA4" w14:paraId="36F39CC8" w14:textId="77777777" w:rsidTr="006F3C1A">
        <w:trPr>
          <w:trHeight w:val="345"/>
        </w:trPr>
        <w:tc>
          <w:tcPr>
            <w:tcW w:w="1640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6EDB409" w14:textId="77777777" w:rsidR="00AF5CC6" w:rsidRPr="00336AA4" w:rsidRDefault="00AF5CC6" w:rsidP="00FA5F4A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47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F662B9E" w14:textId="77777777" w:rsidR="00813A56" w:rsidRPr="00336AA4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</w:t>
            </w:r>
          </w:p>
          <w:p w14:paraId="08207C70" w14:textId="75D1097E" w:rsidR="00AF5CC6" w:rsidRPr="00336AA4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36AA4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Στάθμισης</w:t>
            </w:r>
          </w:p>
        </w:tc>
        <w:tc>
          <w:tcPr>
            <w:tcW w:w="2314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1528CE2" w14:textId="77777777" w:rsidR="00AF5CC6" w:rsidRPr="00336AA4" w:rsidRDefault="00AF5CC6" w:rsidP="00FA5F4A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proofErr w:type="spellStart"/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proofErr w:type="spellEnd"/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336AA4" w:rsidRPr="00336AA4" w14:paraId="1F92CDFF" w14:textId="77777777" w:rsidTr="006F3C1A">
        <w:trPr>
          <w:trHeight w:val="590"/>
        </w:trPr>
        <w:tc>
          <w:tcPr>
            <w:tcW w:w="1640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3AD286F6" w14:textId="77777777" w:rsidR="00F6058E" w:rsidRPr="00336AA4" w:rsidRDefault="00F6058E" w:rsidP="00F6058E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39907132" w14:textId="77777777" w:rsidR="00F6058E" w:rsidRPr="00336AA4" w:rsidRDefault="00F6058E" w:rsidP="00F6058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175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A7952FF" w14:textId="4C0AF690" w:rsidR="00F6058E" w:rsidRPr="00336AA4" w:rsidRDefault="00CA40B2" w:rsidP="00E06BC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F6058E"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F6058E"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138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598BCE1" w14:textId="3C4422C5" w:rsidR="00F6058E" w:rsidRPr="00336AA4" w:rsidRDefault="00CA40B2" w:rsidP="00E06BC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Δεκ </w:t>
            </w:r>
            <w:r w:rsidR="00F6058E"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25/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F6058E"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6058E"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6949B0" w:rsidRPr="00336AA4" w14:paraId="4E8D6A7B" w14:textId="77777777" w:rsidTr="006F3C1A">
        <w:trPr>
          <w:trHeight w:val="432"/>
        </w:trPr>
        <w:tc>
          <w:tcPr>
            <w:tcW w:w="1640" w:type="pct"/>
            <w:tcBorders>
              <w:top w:val="single" w:sz="4" w:space="0" w:color="366092"/>
              <w:left w:val="nil"/>
            </w:tcBorders>
            <w:shd w:val="clear" w:color="FFFFFF" w:fill="FFFFFF"/>
            <w:noWrap/>
            <w:vAlign w:val="center"/>
            <w:hideMark/>
          </w:tcPr>
          <w:p w14:paraId="5DF56356" w14:textId="5A6E2987" w:rsidR="006949B0" w:rsidRPr="00336AA4" w:rsidRDefault="006949B0" w:rsidP="006949B0">
            <w:pPr>
              <w:ind w:right="57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</w:t>
            </w: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</w:t>
            </w: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ΤΚ</w:t>
            </w:r>
            <w:r w:rsidRPr="00336AA4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29F0C0D2" w14:textId="77D0DBE3" w:rsidR="006949B0" w:rsidRPr="00336AA4" w:rsidRDefault="006949B0" w:rsidP="006949B0">
            <w:pPr>
              <w:ind w:right="615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36AA4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1000</w:t>
            </w:r>
          </w:p>
        </w:tc>
        <w:tc>
          <w:tcPr>
            <w:tcW w:w="1175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</w:tcPr>
          <w:p w14:paraId="14220551" w14:textId="6C130F8E" w:rsidR="006949B0" w:rsidRPr="00772E51" w:rsidRDefault="006949B0" w:rsidP="006949B0">
            <w:pPr>
              <w:ind w:right="779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949B0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="001D7A3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6949B0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138" w:type="pct"/>
            <w:tcBorders>
              <w:top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7832C3C6" w14:textId="7C3139EC" w:rsidR="006949B0" w:rsidRPr="00035C67" w:rsidRDefault="006949B0" w:rsidP="006949B0">
            <w:pPr>
              <w:ind w:right="779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6949B0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035C67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</w:t>
            </w:r>
            <w:r w:rsidR="001D7A3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="00035C67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</w:t>
            </w:r>
          </w:p>
        </w:tc>
      </w:tr>
      <w:tr w:rsidR="006949B0" w:rsidRPr="00336AA4" w14:paraId="479D0600" w14:textId="77777777" w:rsidTr="006F3C1A">
        <w:trPr>
          <w:trHeight w:val="408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23ACBB9" w14:textId="77777777" w:rsidR="006949B0" w:rsidRPr="00336AA4" w:rsidRDefault="006949B0" w:rsidP="006949B0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Ενέργεια</w:t>
            </w:r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4A64648" w14:textId="1B0E5866" w:rsidR="006949B0" w:rsidRPr="00336AA4" w:rsidRDefault="006949B0" w:rsidP="006949B0">
            <w:pPr>
              <w:tabs>
                <w:tab w:val="left" w:pos="2001"/>
              </w:tabs>
              <w:ind w:right="615" w:hanging="76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r w:rsidRPr="00336AA4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96</w:t>
            </w: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336AA4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25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9E31C56" w14:textId="48EBBA4D" w:rsidR="006949B0" w:rsidRPr="00035C67" w:rsidRDefault="006949B0" w:rsidP="006949B0">
            <w:pPr>
              <w:ind w:right="7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949B0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</w:t>
            </w:r>
            <w:r w:rsidR="00035C67">
              <w:rPr>
                <w:rFonts w:ascii="Verdana" w:hAnsi="Verdana"/>
                <w:color w:val="366092"/>
                <w:sz w:val="18"/>
                <w:szCs w:val="18"/>
              </w:rPr>
              <w:t>5</w:t>
            </w:r>
            <w:r w:rsidR="001D7A3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035C67">
              <w:rPr>
                <w:rFonts w:ascii="Verdana" w:hAnsi="Verdana"/>
                <w:color w:val="366092"/>
                <w:sz w:val="18"/>
                <w:szCs w:val="18"/>
              </w:rPr>
              <w:t>4</w:t>
            </w:r>
          </w:p>
        </w:tc>
        <w:tc>
          <w:tcPr>
            <w:tcW w:w="1138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58C2E376" w14:textId="0C05FF06" w:rsidR="006949B0" w:rsidRPr="00035C67" w:rsidRDefault="006949B0" w:rsidP="006949B0">
            <w:pPr>
              <w:ind w:right="779" w:firstLineChars="200" w:firstLine="36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949B0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-0</w:t>
            </w:r>
            <w:r w:rsidR="001D7A3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035C67">
              <w:rPr>
                <w:rFonts w:ascii="Verdana" w:hAnsi="Verdana"/>
                <w:color w:val="366092"/>
                <w:sz w:val="18"/>
                <w:szCs w:val="18"/>
              </w:rPr>
              <w:t>5</w:t>
            </w:r>
          </w:p>
        </w:tc>
      </w:tr>
      <w:tr w:rsidR="006949B0" w:rsidRPr="00336AA4" w14:paraId="675AD979" w14:textId="77777777" w:rsidTr="006F3C1A">
        <w:trPr>
          <w:trHeight w:val="621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FC098F" w14:textId="77777777" w:rsidR="006949B0" w:rsidRPr="00336AA4" w:rsidRDefault="006949B0" w:rsidP="006949B0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Τρόφιμ</w:t>
            </w:r>
            <w:proofErr w:type="spellEnd"/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α-Αλκοολούχα </w:t>
            </w:r>
            <w:proofErr w:type="spellStart"/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Ποτά</w:t>
            </w:r>
            <w:proofErr w:type="spellEnd"/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-Καπ</w:t>
            </w:r>
            <w:proofErr w:type="spellStart"/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907B1CD" w14:textId="1061EF5D" w:rsidR="006949B0" w:rsidRPr="00336AA4" w:rsidRDefault="006949B0" w:rsidP="006949B0">
            <w:pPr>
              <w:tabs>
                <w:tab w:val="left" w:pos="2001"/>
              </w:tabs>
              <w:ind w:right="615" w:hanging="76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r w:rsidRPr="00336AA4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223</w:t>
            </w: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336AA4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95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73CF33E" w14:textId="1FE4CC76" w:rsidR="006949B0" w:rsidRPr="00035C67" w:rsidRDefault="006949B0" w:rsidP="006949B0">
            <w:pPr>
              <w:ind w:right="7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949B0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-1</w:t>
            </w:r>
            <w:r w:rsidR="001D7A3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035C67">
              <w:rPr>
                <w:rFonts w:ascii="Verdana" w:hAnsi="Verdana"/>
                <w:color w:val="366092"/>
                <w:sz w:val="18"/>
                <w:szCs w:val="18"/>
              </w:rPr>
              <w:t>4</w:t>
            </w:r>
          </w:p>
        </w:tc>
        <w:tc>
          <w:tcPr>
            <w:tcW w:w="1138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384C6F69" w14:textId="12FB1727" w:rsidR="006949B0" w:rsidRPr="00035C67" w:rsidRDefault="00035C67" w:rsidP="006949B0">
            <w:pPr>
              <w:ind w:right="779" w:firstLineChars="200" w:firstLine="36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0,3</w:t>
            </w:r>
          </w:p>
        </w:tc>
      </w:tr>
      <w:tr w:rsidR="006949B0" w:rsidRPr="00336AA4" w14:paraId="1C369CAC" w14:textId="77777777" w:rsidTr="006F3C1A">
        <w:trPr>
          <w:trHeight w:val="408"/>
        </w:trPr>
        <w:tc>
          <w:tcPr>
            <w:tcW w:w="1640" w:type="pct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2355D7FE" w14:textId="60B2E864" w:rsidR="006949B0" w:rsidRPr="00336AA4" w:rsidRDefault="006949B0" w:rsidP="006949B0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1" w:name="_Hlk159486445"/>
            <w:proofErr w:type="spellStart"/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Μη</w:t>
            </w:r>
            <w:proofErr w:type="spellEnd"/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</w:t>
            </w:r>
            <w:proofErr w:type="spellStart"/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νεργει</w:t>
            </w:r>
            <w:proofErr w:type="spellEnd"/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ακά </w:t>
            </w:r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Β</w:t>
            </w:r>
            <w:proofErr w:type="spellStart"/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ιομηχ</w:t>
            </w:r>
            <w:proofErr w:type="spellEnd"/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ανικά </w:t>
            </w:r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</w:t>
            </w:r>
            <w:proofErr w:type="spellStart"/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ροϊόντ</w:t>
            </w:r>
            <w:proofErr w:type="spellEnd"/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  <w:bookmarkEnd w:id="1"/>
          </w:p>
        </w:tc>
        <w:tc>
          <w:tcPr>
            <w:tcW w:w="1047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2F4BE75E" w14:textId="18288001" w:rsidR="006949B0" w:rsidRPr="00336AA4" w:rsidRDefault="006949B0" w:rsidP="006949B0">
            <w:pPr>
              <w:tabs>
                <w:tab w:val="left" w:pos="2001"/>
              </w:tabs>
              <w:ind w:right="615" w:hanging="76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r w:rsidRPr="00336AA4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229</w:t>
            </w: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336AA4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71</w:t>
            </w:r>
          </w:p>
        </w:tc>
        <w:tc>
          <w:tcPr>
            <w:tcW w:w="1175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0DF7CE8E" w14:textId="2590125C" w:rsidR="006949B0" w:rsidRPr="00035C67" w:rsidRDefault="006949B0" w:rsidP="006949B0">
            <w:pPr>
              <w:ind w:right="77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949B0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-3</w:t>
            </w:r>
            <w:r w:rsidR="001D7A3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035C67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</w:p>
        </w:tc>
        <w:tc>
          <w:tcPr>
            <w:tcW w:w="1138" w:type="pct"/>
            <w:tcBorders>
              <w:top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76BBC30C" w14:textId="7F746003" w:rsidR="006949B0" w:rsidRPr="00035C67" w:rsidRDefault="00035C67" w:rsidP="006949B0">
            <w:pPr>
              <w:ind w:right="779" w:firstLineChars="200" w:firstLine="36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</w:t>
            </w:r>
            <w:r w:rsidR="006949B0" w:rsidRPr="006949B0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</w:t>
            </w:r>
            <w:r w:rsidR="001D7A3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</w:p>
        </w:tc>
      </w:tr>
      <w:tr w:rsidR="006949B0" w:rsidRPr="00336AA4" w14:paraId="365CC113" w14:textId="77777777" w:rsidTr="006F3C1A">
        <w:trPr>
          <w:trHeight w:val="408"/>
        </w:trPr>
        <w:tc>
          <w:tcPr>
            <w:tcW w:w="1640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762528F4" w14:textId="77777777" w:rsidR="006949B0" w:rsidRPr="00336AA4" w:rsidRDefault="006949B0" w:rsidP="006949B0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2" w:name="_Hlk169517282"/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</w:t>
            </w:r>
            <w:proofErr w:type="spellStart"/>
            <w:r w:rsidRPr="00336AA4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047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AA11ADF" w14:textId="64C36933" w:rsidR="006949B0" w:rsidRPr="00336AA4" w:rsidRDefault="006949B0" w:rsidP="006949B0">
            <w:pPr>
              <w:tabs>
                <w:tab w:val="left" w:pos="2001"/>
              </w:tabs>
              <w:ind w:right="615" w:hanging="76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r w:rsidRPr="00336AA4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450</w:t>
            </w:r>
            <w:r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336AA4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09</w:t>
            </w:r>
          </w:p>
        </w:tc>
        <w:tc>
          <w:tcPr>
            <w:tcW w:w="1175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619084CC" w14:textId="0CFF1034" w:rsidR="006949B0" w:rsidRPr="006949B0" w:rsidRDefault="006949B0" w:rsidP="006949B0">
            <w:pPr>
              <w:ind w:right="779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949B0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3</w:t>
            </w:r>
            <w:r w:rsidR="001D7A3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949B0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138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00437143" w14:textId="19AD6469" w:rsidR="006949B0" w:rsidRPr="00035C67" w:rsidRDefault="006949B0" w:rsidP="006949B0">
            <w:pPr>
              <w:ind w:right="779" w:firstLineChars="200" w:firstLine="36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949B0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</w:t>
            </w:r>
            <w:r w:rsidR="00035C67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1D7A3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035C67">
              <w:rPr>
                <w:rFonts w:ascii="Verdana" w:hAnsi="Verdana"/>
                <w:color w:val="366092"/>
                <w:sz w:val="18"/>
                <w:szCs w:val="18"/>
              </w:rPr>
              <w:t>8</w:t>
            </w:r>
          </w:p>
        </w:tc>
      </w:tr>
    </w:tbl>
    <w:bookmarkEnd w:id="2"/>
    <w:p w14:paraId="1F67D66A" w14:textId="4BA3483B" w:rsidR="007F5FBB" w:rsidRPr="00846F47" w:rsidRDefault="00AF5CC6" w:rsidP="007F5FBB">
      <w:pPr>
        <w:tabs>
          <w:tab w:val="left" w:pos="1080"/>
          <w:tab w:val="left" w:pos="6840"/>
        </w:tabs>
        <w:rPr>
          <w:rFonts w:ascii="Verdana" w:eastAsia="Times New Roman" w:hAnsi="Verdana" w:cs="Arial"/>
          <w:bCs/>
          <w:color w:val="365F91"/>
          <w:sz w:val="16"/>
          <w:szCs w:val="16"/>
        </w:rPr>
      </w:pPr>
      <w:r w:rsidRPr="009D0E97"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 xml:space="preserve">Σημείωση: </w:t>
      </w:r>
      <w:r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 xml:space="preserve">Οι επιμέρους συντελεστές στάθμισης </w:t>
      </w:r>
      <w:r w:rsidRPr="009D0E97"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>υπολογίζονται με άπειρ</w:t>
      </w:r>
      <w:r w:rsidR="002941E0"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>α δεκαδικά και δημοσιεύονται με</w:t>
      </w:r>
      <w:r w:rsidR="002941E0" w:rsidRPr="002941E0"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 xml:space="preserve"> </w:t>
      </w:r>
      <w:r w:rsidRPr="009D0E97"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>στρογγυλοποίηση δυο δεκαδικών</w:t>
      </w:r>
      <w:r w:rsidR="00846F47" w:rsidRPr="00846F47"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>.</w:t>
      </w:r>
      <w:r w:rsidRPr="009D0E97"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 xml:space="preserve"> </w:t>
      </w:r>
      <w:r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>Η</w:t>
      </w:r>
      <w:r w:rsidRPr="009D0E97"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 xml:space="preserve"> </w:t>
      </w:r>
      <w:r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>διαφορά στο άθροισμα</w:t>
      </w:r>
      <w:r w:rsidRPr="009D0E97"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 xml:space="preserve"> είναι λόγω σφάλματος στρογγυλοποίησης</w:t>
      </w:r>
      <w:r w:rsidR="00846F47">
        <w:rPr>
          <w:rFonts w:ascii="Verdana" w:eastAsia="Times New Roman" w:hAnsi="Verdana" w:cs="Arial"/>
          <w:bCs/>
          <w:color w:val="365F91"/>
          <w:sz w:val="16"/>
          <w:szCs w:val="16"/>
        </w:rPr>
        <w:t>.</w:t>
      </w:r>
    </w:p>
    <w:p w14:paraId="6D996092" w14:textId="77777777" w:rsidR="00E95616" w:rsidRPr="003204B7" w:rsidRDefault="00E95616" w:rsidP="006F3C1A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01AA67E" w14:textId="1EFE8A85" w:rsidR="00AF5CC6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t>ΜΕΘΟΔΟΛΟΓΙΚΕΣ ΠΛΗΡΟΦΟΡΙΕΣ</w:t>
      </w:r>
    </w:p>
    <w:p w14:paraId="09720785" w14:textId="77777777" w:rsidR="00AF5CC6" w:rsidRPr="00780A62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  <w:lang w:val="el-GR"/>
        </w:rPr>
      </w:pPr>
    </w:p>
    <w:p w14:paraId="76972153" w14:textId="77777777" w:rsidR="00AF5CC6" w:rsidRPr="00D353D1" w:rsidRDefault="00AF5CC6" w:rsidP="00336AA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353D1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1EE66D35" w14:textId="77777777" w:rsidR="00AF5CC6" w:rsidRPr="00C32462" w:rsidRDefault="00AF5CC6" w:rsidP="00336AA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08F84E11" w14:textId="115DC067" w:rsidR="00AF5CC6" w:rsidRPr="003D3348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FB02BD">
        <w:rPr>
          <w:rFonts w:ascii="Verdana" w:eastAsia="Malgun Gothic" w:hAnsi="Verdana" w:cs="Arial"/>
          <w:b/>
          <w:sz w:val="18"/>
          <w:szCs w:val="18"/>
          <w:lang w:val="el-GR"/>
        </w:rPr>
        <w:t xml:space="preserve">Εναρμονισμένος 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</w:t>
      </w:r>
      <w:proofErr w:type="spellStart"/>
      <w:r>
        <w:rPr>
          <w:rFonts w:ascii="Verdana" w:eastAsia="Malgun Gothic" w:hAnsi="Verdana" w:cs="Arial"/>
          <w:b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ΔΤΚ</w:t>
      </w:r>
      <w:proofErr w:type="spellEnd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)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είναι οικονομικός δείκτης που καταρτίζεται για τη μέτρηση των διαχρονικών μεταβολών στις τιμές των καταναλωτικών αγαθών και υπηρεσιών που αποκτώνται, χρησιμοποιούνται ή πληρώνονται από τα νοικοκυριά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τους τουρίστες εντός της οικονομικής επικράτειας της χώρας</w:t>
      </w:r>
      <w:r w:rsidR="006F3C1A" w:rsidRPr="006F3C1A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υπολογίζεται σύμφωνα με μια εναρμονισμένη προσέγγιση και μεθοδολογία όπως καθορίστηκαν από την Ε</w:t>
      </w:r>
      <w:r w:rsidR="006F3C1A" w:rsidRPr="006F3C1A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6F3C1A" w:rsidRPr="006F3C1A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με μια σειρά σχετικών Κ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ανονισμών</w:t>
      </w:r>
      <w:r w:rsidR="006F3C1A" w:rsidRPr="006F3C1A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38D7A46A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43CB3FDD" w14:textId="39736C83" w:rsidR="00AF5CC6" w:rsidRPr="006F3C1A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Ετήσια μεταβολή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μήνα του προηγούμενου έτους</w:t>
      </w:r>
      <w:r w:rsidR="006F3C1A" w:rsidRPr="006F3C1A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675DD474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15AC57CF" w14:textId="77777777" w:rsidR="00AF5CC6" w:rsidRPr="002D7490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  <w:r w:rsidRPr="004D4B7C">
        <w:rPr>
          <w:rFonts w:ascii="Verdana" w:eastAsia="Malgun Gothic" w:hAnsi="Verdana" w:cs="Arial"/>
          <w:sz w:val="18"/>
          <w:szCs w:val="18"/>
        </w:rPr>
        <w:t xml:space="preserve">Προϊόντα/Υπηρεσίες </w:t>
      </w:r>
    </w:p>
    <w:p w14:paraId="0FB168BC" w14:textId="2D10B97F" w:rsidR="00AF5CC6" w:rsidRPr="006F3C1A" w:rsidRDefault="00AF5CC6" w:rsidP="00336AA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92261A">
        <w:rPr>
          <w:rFonts w:ascii="Verdana" w:eastAsia="Malgun Gothic" w:hAnsi="Verdana" w:cs="Arial"/>
          <w:sz w:val="10"/>
          <w:szCs w:val="10"/>
          <w:lang w:val="el-GR"/>
        </w:rPr>
        <w:br/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Με ισχύ απ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ό τον Ιανουάριο του 2018, 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τα προϊόντα που περιέχονται στον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 αναθεωρήθηκαν</w:t>
      </w:r>
      <w:r w:rsidR="006F3C1A" w:rsidRPr="006F3C1A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βασίστηκε στα αποτελέσματα της Έρευνας Οικογενειακών Προϋπολογισμών 2015/2016</w:t>
      </w:r>
      <w:r w:rsidR="006F3C1A" w:rsidRPr="006F3C1A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Περισσότερες πληροφορίες είναι διαθέσιμες στον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ιστότοπο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Στατιστικής Υπηρεσίας στο μέρος Μεθοδολογία</w:t>
      </w:r>
      <w:r w:rsidRPr="001B25A4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>
        <w:rPr>
          <w:rFonts w:ascii="Verdana" w:eastAsia="Malgun Gothic" w:hAnsi="Verdana" w:cs="Arial"/>
          <w:sz w:val="18"/>
          <w:szCs w:val="18"/>
          <w:lang w:val="el-GR"/>
        </w:rPr>
        <w:t>στο στατιστικό υπόθεμα Οικονομία/ Δείκτες Τιμών/ Εναρμονισμένος Δείκτης Τιμών Καταναλωτή</w:t>
      </w:r>
      <w:r w:rsidR="006F3C1A" w:rsidRPr="006F3C1A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240BA12E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6D3333FB" w14:textId="77777777" w:rsidR="00AF5CC6" w:rsidRPr="003D3348" w:rsidRDefault="00AF5CC6" w:rsidP="00336AA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proofErr w:type="spellStart"/>
      <w:r w:rsidRPr="003D334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  <w:proofErr w:type="spellEnd"/>
    </w:p>
    <w:p w14:paraId="605E0EF4" w14:textId="77777777" w:rsidR="00AF5CC6" w:rsidRPr="0092261A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0"/>
          <w:szCs w:val="10"/>
          <w:lang w:val="el-GR"/>
        </w:rPr>
      </w:pPr>
    </w:p>
    <w:p w14:paraId="1370A0B4" w14:textId="724D4043" w:rsidR="00AF5CC6" w:rsidRPr="003D3348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τιμοληψία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διενεργείται μόνο στις αστικές περιοχές των επαρχιών Λευκωσίας, Λάρνακας, Λεμεσού και Πάφου</w:t>
      </w:r>
      <w:r w:rsidR="008F647F" w:rsidRPr="008F647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Για κάθε πόλη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αυξομειώσεις των τιμών κατά προϊόν κάθε μήνα σταθμίζονται ανάλογα με τον πληθυσμό</w:t>
      </w:r>
      <w:r w:rsidR="008F647F" w:rsidRPr="008F647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Συγκεκριμένα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συντελεστές στάθμισης για τις τέσσερις επαρχίες είναι οι ακόλουθες: Λευκωσία 42%, Λεμεσός 30%, Λάρνακα 18% και Πάφος 10%</w:t>
      </w:r>
      <w:r w:rsidR="008F647F" w:rsidRPr="008F647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62D1C8BE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250F196F" w14:textId="541AC8EB" w:rsidR="00AF5CC6" w:rsidRPr="008F647F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805 ειδών (αγαθών και υπηρεσιών)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καταγράφονται μια φορά κάθε μήνα, εκτός από κάποια εποχικά προϊόντα (π</w:t>
      </w:r>
      <w:r w:rsidR="008F647F" w:rsidRPr="008F647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χ</w:t>
      </w:r>
      <w:r w:rsidR="008F647F" w:rsidRPr="008F647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λαχανικά και φρούτα), τα κρέατα και τα καύσιμα, των οποίων οι τιμές συλλέγονται κάθε βδομάδα (κάθε Πέμπτη)</w:t>
      </w:r>
      <w:r w:rsidR="008F647F" w:rsidRPr="008F647F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>
        <w:rPr>
          <w:rFonts w:ascii="Verdana" w:eastAsia="Malgun Gothic" w:hAnsi="Verdana" w:cs="Arial"/>
          <w:sz w:val="18"/>
          <w:szCs w:val="18"/>
          <w:lang w:val="el-GR"/>
        </w:rPr>
        <w:t>συλλεγόμενες τιμές είναι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πραγματικά καταβαλλόμενες τιμές από τους καταναλωτές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για την αγορά συγκεκριμένων προϊόντων και υπηρεσιών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συμπεριλαμβανομένων και των διάφορων φόρων (ΦΠΑ,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>φόρο</w:t>
      </w:r>
      <w:r>
        <w:rPr>
          <w:rFonts w:ascii="Verdana" w:eastAsia="Malgun Gothic" w:hAnsi="Verdana" w:cs="Arial"/>
          <w:sz w:val="18"/>
          <w:szCs w:val="18"/>
          <w:lang w:val="el-GR"/>
        </w:rPr>
        <w:t>ι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 κατανάλωσης</w:t>
      </w:r>
      <w:r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8F647F" w:rsidRPr="008F647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 Λαμβάνονται υπόψη στον υπολογισμό του Δείκτη και οι τιμές των ξεπουλημάτων καθώς και οι τιμές άλλων προσφορών εφόσον ισχύουν γενικά και δεν υπόκεινται κάτω από όρους</w:t>
      </w:r>
      <w:r w:rsidR="008F647F" w:rsidRPr="008F647F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F4F8D31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39E870C9" w14:textId="77777777" w:rsidR="00AF5CC6" w:rsidRPr="00B75AE5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Συντελεστές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τάθμισης των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ιδών </w:t>
      </w:r>
    </w:p>
    <w:p w14:paraId="253B9CA6" w14:textId="77777777" w:rsidR="00AF5CC6" w:rsidRPr="0092261A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10"/>
          <w:szCs w:val="10"/>
          <w:lang w:val="el-GR"/>
        </w:rPr>
      </w:pPr>
    </w:p>
    <w:p w14:paraId="7AF546AC" w14:textId="04F603CA" w:rsidR="00AF5CC6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20"/>
          <w:szCs w:val="20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Οι συντελεστές στάθμισης των ειδών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(προϊόντων και υπηρεσιών)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του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υπολογίζονται βάσει των καταναλωτικών δαπανών (των νοικοκυριών και τουριστών), που πραγματοποιούνται στην οικονομική επικράτεια της χώρας</w:t>
      </w:r>
      <w:r w:rsidR="007F68BE" w:rsidRPr="007F68BE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Μέχρι το 2011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η κύρια πηγή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για τις καταναλωτικές δαπάνες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ήταν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η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Έρευνα Οικογενειακού Προϋπολογισμού, ενώ από το 2012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και μετέπειτα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βάσ</w:t>
      </w:r>
      <w:r w:rsidR="00D96CCC">
        <w:rPr>
          <w:rFonts w:ascii="Verdana" w:eastAsia="Malgun Gothic" w:hAnsi="Verdana" w:cs="Arial"/>
          <w:sz w:val="18"/>
          <w:szCs w:val="18"/>
          <w:lang w:val="el-GR"/>
        </w:rPr>
        <w:t>ει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96CCC">
        <w:rPr>
          <w:rFonts w:ascii="Verdana" w:eastAsia="Malgun Gothic" w:hAnsi="Verdana" w:cs="Arial"/>
          <w:sz w:val="18"/>
          <w:szCs w:val="18"/>
          <w:lang w:val="el-GR"/>
        </w:rPr>
        <w:t>Κ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ανονισμ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ού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της </w:t>
      </w:r>
      <w:r w:rsidR="007D7083" w:rsidRPr="007D7083">
        <w:rPr>
          <w:rFonts w:ascii="Verdana" w:eastAsia="Malgun Gothic" w:hAnsi="Verdana" w:cs="Arial"/>
          <w:sz w:val="18"/>
          <w:szCs w:val="18"/>
          <w:lang w:val="el-GR"/>
        </w:rPr>
        <w:t>Ευρωπαϊκής Ένωσης,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αξιοποιούνται κυρίως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στοιχεία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από τους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Εθνικ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Λογαριασμ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="007F68BE" w:rsidRPr="007F68B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2EA5216E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10005700" w14:textId="77777777" w:rsidR="00AF5CC6" w:rsidRPr="0080014B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  <w:r w:rsidRPr="0080014B">
        <w:rPr>
          <w:rFonts w:ascii="Verdana" w:eastAsia="Malgun Gothic" w:hAnsi="Verdana" w:cs="Arial"/>
          <w:sz w:val="18"/>
          <w:szCs w:val="18"/>
        </w:rPr>
        <w:t xml:space="preserve">Έτος </w:t>
      </w:r>
      <w:r w:rsidR="00634639">
        <w:rPr>
          <w:rFonts w:ascii="Verdana" w:eastAsia="Malgun Gothic" w:hAnsi="Verdana" w:cs="Arial"/>
          <w:sz w:val="18"/>
          <w:szCs w:val="18"/>
        </w:rPr>
        <w:t>Β</w:t>
      </w:r>
      <w:r w:rsidRPr="0080014B">
        <w:rPr>
          <w:rFonts w:ascii="Verdana" w:eastAsia="Malgun Gothic" w:hAnsi="Verdana" w:cs="Arial"/>
          <w:sz w:val="18"/>
          <w:szCs w:val="18"/>
        </w:rPr>
        <w:t>άσης</w:t>
      </w:r>
    </w:p>
    <w:p w14:paraId="78164CE6" w14:textId="77777777" w:rsidR="00AF5CC6" w:rsidRPr="0092261A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0A9112B6" w14:textId="14B7DF92" w:rsidR="00AF5CC6" w:rsidRPr="00B84E4D" w:rsidRDefault="00AF5CC6" w:rsidP="00336AA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>Το έτος βάσης από τον Ιανουάριο του 2006 μέχρι το Δεκέμβριο του 2015 ήταν το 2005=100</w:t>
      </w:r>
      <w:r w:rsidR="00B84E4D" w:rsidRPr="00B84E4D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Από τον Ιανουάριο του 2016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και μετέπειτα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έτος αναφοράς είναι το 2015=100</w:t>
      </w:r>
      <w:r w:rsidR="00B84E4D" w:rsidRPr="00B84E4D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7A878D08" w14:textId="77777777" w:rsidR="00AF5CC6" w:rsidRPr="00C32462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i/>
          <w:sz w:val="12"/>
          <w:szCs w:val="12"/>
          <w:u w:val="none"/>
        </w:rPr>
      </w:pPr>
    </w:p>
    <w:p w14:paraId="3D3A5F99" w14:textId="77777777" w:rsidR="00AF5CC6" w:rsidRPr="0080014B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Ταξινόμηση</w:t>
      </w:r>
      <w:r w:rsidRPr="0080014B">
        <w:rPr>
          <w:rFonts w:ascii="Verdana" w:eastAsia="Malgun Gothic" w:hAnsi="Verdana" w:cs="Arial"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03723572" w14:textId="77777777" w:rsidR="00AF5CC6" w:rsidRPr="0092261A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4F79071E" w14:textId="1CC529FB" w:rsidR="00AF5CC6" w:rsidRPr="00160130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Μέχρι το Δεκέμβριο του 2015, ο </w:t>
      </w:r>
      <w:proofErr w:type="spellStart"/>
      <w:r>
        <w:rPr>
          <w:rFonts w:ascii="Verdana" w:eastAsia="Malgun Gothic" w:hAnsi="Verdana" w:cs="Arial"/>
          <w:b w:val="0"/>
          <w:sz w:val="18"/>
          <w:szCs w:val="18"/>
          <w:u w:val="none"/>
        </w:rPr>
        <w:t>Εν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>ΔΤΚ</w:t>
      </w:r>
      <w:proofErr w:type="spellEnd"/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υπ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ολογιζόταν και δημοσιευόταν βάσει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της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ταξινόμησης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COICOP</w:t>
      </w:r>
      <w:r w:rsidR="00D96CCC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4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μέχρι τα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τέσσερα ψηφία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ανάλυσης</w:t>
      </w:r>
      <w:r w:rsidR="00160130" w:rsidRPr="00160130">
        <w:rPr>
          <w:rFonts w:ascii="Verdana" w:eastAsia="Malgun Gothic" w:hAnsi="Verdana" w:cs="Arial"/>
          <w:b w:val="0"/>
          <w:sz w:val="18"/>
          <w:szCs w:val="18"/>
          <w:u w:val="none"/>
        </w:rPr>
        <w:t>.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Από τον Ιανουάριο του 2016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και μετέπειτα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, ο </w:t>
      </w:r>
      <w:proofErr w:type="spellStart"/>
      <w:r>
        <w:rPr>
          <w:rFonts w:ascii="Verdana" w:eastAsia="Malgun Gothic" w:hAnsi="Verdana" w:cs="Arial"/>
          <w:b w:val="0"/>
          <w:sz w:val="18"/>
          <w:szCs w:val="18"/>
          <w:u w:val="none"/>
        </w:rPr>
        <w:t>Εν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>ΔΤΚ</w:t>
      </w:r>
      <w:proofErr w:type="spellEnd"/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υπ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ολογίζεται και δημοσιεύεται βάσει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της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ταξινόμησης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ECOICOP ακολουθώντας σχετικό κανονισμό της </w:t>
      </w:r>
      <w:r w:rsidR="007D7083" w:rsidRPr="007D7083">
        <w:rPr>
          <w:rFonts w:ascii="Verdana" w:eastAsia="Malgun Gothic" w:hAnsi="Verdana" w:cs="Arial"/>
          <w:b w:val="0"/>
          <w:sz w:val="18"/>
          <w:szCs w:val="18"/>
          <w:u w:val="none"/>
        </w:rPr>
        <w:t>Ευρωπαϊκής Ένωσης</w:t>
      </w:r>
      <w:r w:rsidR="00160130" w:rsidRPr="00160130">
        <w:rPr>
          <w:rFonts w:ascii="Verdana" w:eastAsia="Malgun Gothic" w:hAnsi="Verdana" w:cs="Arial"/>
          <w:b w:val="0"/>
          <w:sz w:val="18"/>
          <w:szCs w:val="18"/>
          <w:u w:val="none"/>
        </w:rPr>
        <w:t>.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Ως εκ τούτου, το χαμηλότερο επίπεδο λεπτομέρειας για την ταξινόμηση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>ECOICOP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που χρησιμοποιείται</w:t>
      </w:r>
      <w:r w:rsidR="00B446E0" w:rsidRP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στον </w:t>
      </w:r>
      <w:proofErr w:type="spellStart"/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>ΕνΔΤΚ</w:t>
      </w:r>
      <w:proofErr w:type="spellEnd"/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είναι τα πέντε ψηφία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ανάλυσης</w:t>
      </w:r>
      <w:r w:rsidR="00160130" w:rsidRPr="00160130">
        <w:rPr>
          <w:rFonts w:ascii="Verdana" w:eastAsia="Malgun Gothic" w:hAnsi="Verdana" w:cs="Arial"/>
          <w:b w:val="0"/>
          <w:sz w:val="18"/>
          <w:szCs w:val="18"/>
          <w:u w:val="none"/>
        </w:rPr>
        <w:t>.</w:t>
      </w:r>
    </w:p>
    <w:p w14:paraId="7BD5262B" w14:textId="77777777" w:rsidR="00D96CCC" w:rsidRPr="00D96CCC" w:rsidRDefault="00D96CCC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2"/>
          <w:szCs w:val="12"/>
          <w:u w:val="none"/>
        </w:rPr>
      </w:pPr>
    </w:p>
    <w:p w14:paraId="7112E648" w14:textId="33A6EBD0" w:rsidR="00AF5CC6" w:rsidRPr="007F0FF5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Από τον Φ</w:t>
      </w:r>
      <w:r w:rsidRPr="008430B2">
        <w:rPr>
          <w:rFonts w:ascii="Verdana" w:eastAsia="Malgun Gothic" w:hAnsi="Verdana" w:cs="Arial"/>
          <w:sz w:val="18"/>
          <w:szCs w:val="18"/>
          <w:lang w:val="el-GR"/>
        </w:rPr>
        <w:t>εβρου</w:t>
      </w:r>
      <w:r>
        <w:rPr>
          <w:rFonts w:ascii="Verdana" w:eastAsia="Malgun Gothic" w:hAnsi="Verdana" w:cs="Arial"/>
          <w:sz w:val="18"/>
          <w:szCs w:val="18"/>
          <w:lang w:val="el-GR"/>
        </w:rPr>
        <w:t>άριο</w:t>
      </w:r>
      <w:r w:rsidRPr="008430B2">
        <w:rPr>
          <w:rFonts w:ascii="Verdana" w:eastAsia="Malgun Gothic" w:hAnsi="Verdana" w:cs="Arial"/>
          <w:sz w:val="18"/>
          <w:szCs w:val="18"/>
          <w:lang w:val="el-GR"/>
        </w:rPr>
        <w:t xml:space="preserve"> 2019, η Στατιστική Υπηρεσία Κύπρου δημοσιεύει τις οικονομικές κατηγορίες του </w:t>
      </w:r>
      <w:proofErr w:type="spellStart"/>
      <w:r w:rsidRPr="008430B2"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 w:rsidRPr="008430B2">
        <w:rPr>
          <w:rFonts w:ascii="Verdana" w:eastAsia="Malgun Gothic" w:hAnsi="Verdana" w:cs="Arial"/>
          <w:sz w:val="18"/>
          <w:szCs w:val="18"/>
          <w:lang w:val="el-GR"/>
        </w:rPr>
        <w:t xml:space="preserve"> όπως υπολογίστηκαν από πιο λεπτομερή δεδομένα</w:t>
      </w:r>
      <w:r w:rsidR="00160130" w:rsidRPr="007F0FF5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5028F58D" w14:textId="77777777" w:rsidR="00AF5CC6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20"/>
          <w:szCs w:val="20"/>
          <w:lang w:val="el-GR"/>
        </w:rPr>
      </w:pPr>
    </w:p>
    <w:p w14:paraId="32BF94E0" w14:textId="77777777" w:rsidR="00B16700" w:rsidRPr="000C5F2F" w:rsidRDefault="00B16700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20"/>
          <w:szCs w:val="20"/>
          <w:lang w:val="el-GR"/>
        </w:rPr>
      </w:pPr>
    </w:p>
    <w:p w14:paraId="4E60FD43" w14:textId="77777777" w:rsidR="00AF5CC6" w:rsidRPr="004E3745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</w:t>
      </w:r>
      <w:r w:rsidRPr="002D7D4A">
        <w:rPr>
          <w:rFonts w:ascii="Verdana" w:eastAsia="Malgun Gothic" w:hAnsi="Verdana" w:cs="Arial"/>
          <w:b/>
          <w:i/>
          <w:sz w:val="18"/>
          <w:szCs w:val="18"/>
          <w:lang w:val="el-GR"/>
        </w:rPr>
        <w:t>:</w:t>
      </w:r>
    </w:p>
    <w:p w14:paraId="79E0C169" w14:textId="77777777" w:rsidR="00AF5CC6" w:rsidRPr="0050785A" w:rsidRDefault="00AF5CC6" w:rsidP="00AF5CC6">
      <w:pPr>
        <w:rPr>
          <w:rFonts w:ascii="Verdana" w:hAnsi="Verdana"/>
          <w:sz w:val="18"/>
          <w:szCs w:val="18"/>
          <w:lang w:val="el-GR"/>
        </w:rPr>
      </w:pPr>
      <w:r w:rsidRPr="0050785A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Δείκτες Τιμών</w:t>
        </w:r>
      </w:hyperlink>
    </w:p>
    <w:p w14:paraId="3E68E3B0" w14:textId="6C0B9388" w:rsidR="00AF5CC6" w:rsidRPr="0050785A" w:rsidRDefault="00AF5CC6" w:rsidP="00AF5CC6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966C90">
          <w:rPr>
            <w:rStyle w:val="Hyperlink"/>
            <w:rFonts w:ascii="Verdana" w:hAnsi="Verdana"/>
            <w:sz w:val="18"/>
            <w:szCs w:val="18"/>
          </w:rPr>
          <w:t>CYSTAT</w:t>
        </w:r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966C90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50785A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6FCDD8A" w14:textId="77777777" w:rsidR="00B536D6" w:rsidRPr="00B536D6" w:rsidRDefault="00B536D6" w:rsidP="00B536D6">
      <w:pPr>
        <w:jc w:val="both"/>
        <w:rPr>
          <w:rStyle w:val="Hyperlink"/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fldChar w:fldCharType="begin"/>
      </w:r>
      <w:r>
        <w:rPr>
          <w:rFonts w:ascii="Verdana" w:hAnsi="Verdana"/>
          <w:sz w:val="18"/>
          <w:szCs w:val="18"/>
          <w:lang w:val="el-GR"/>
        </w:rPr>
        <w:instrText xml:space="preserve"> HYPERLINK "https://www.cystat.gov.cy/el/MethodologicalDetails?m=2091" \o "Μεθοδολογικές Πληροφορίες" </w:instrText>
      </w:r>
      <w:r>
        <w:rPr>
          <w:rFonts w:ascii="Verdana" w:hAnsi="Verdana"/>
          <w:sz w:val="18"/>
          <w:szCs w:val="18"/>
          <w:lang w:val="el-GR"/>
        </w:rPr>
      </w:r>
      <w:r>
        <w:rPr>
          <w:rFonts w:ascii="Verdana" w:hAnsi="Verdana"/>
          <w:sz w:val="18"/>
          <w:szCs w:val="18"/>
          <w:lang w:val="el-GR"/>
        </w:rPr>
        <w:fldChar w:fldCharType="separate"/>
      </w:r>
      <w:r w:rsidRPr="00B536D6">
        <w:rPr>
          <w:rStyle w:val="Hyperlink"/>
          <w:rFonts w:ascii="Verdana" w:hAnsi="Verdana"/>
          <w:sz w:val="18"/>
          <w:szCs w:val="18"/>
          <w:lang w:val="el-GR"/>
        </w:rPr>
        <w:t>Μεθοδολογικές Πληροφορίες</w:t>
      </w:r>
    </w:p>
    <w:p w14:paraId="551AF9C2" w14:textId="06EC6F8E" w:rsidR="00CB58F4" w:rsidRPr="001A7865" w:rsidRDefault="00B536D6" w:rsidP="00CB58F4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fldChar w:fldCharType="end"/>
      </w:r>
    </w:p>
    <w:p w14:paraId="0F314409" w14:textId="77777777" w:rsidR="00AF5CC6" w:rsidRDefault="00AF5CC6" w:rsidP="00AF5CC6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61425284" w14:textId="1AAC7787" w:rsidR="00AF2BC9" w:rsidRPr="004C6ABF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3" w:name="_Hlk176173046"/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Σωφρόνης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Βίκης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7F0FF5" w:rsidRPr="007F0FF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7F0FF5" w:rsidRPr="007F0FF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7F0FF5" w:rsidRPr="007F0FF5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7F0FF5" w:rsidRPr="007F0FF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7F0FF5" w:rsidRPr="007F0FF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1" w:history="1">
        <w:proofErr w:type="spellStart"/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proofErr w:type="spellEnd"/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</w:t>
        </w:r>
        <w:r w:rsidR="007D37E6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,</w:t>
        </w:r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mof</w:t>
        </w:r>
        <w:r w:rsidR="007D37E6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,</w:t>
        </w:r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gov</w:t>
        </w:r>
        <w:r w:rsidR="007D37E6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,</w:t>
        </w:r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cy</w:t>
        </w:r>
      </w:hyperlink>
    </w:p>
    <w:p w14:paraId="486488A4" w14:textId="1A932CC4" w:rsidR="00AF2BC9" w:rsidRPr="00E21D72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Κυριάκος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Βουτουρής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7F0FF5" w:rsidRPr="007F0FF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7F0FF5" w:rsidRPr="007F0FF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7F0FF5" w:rsidRPr="007F0FF5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7F0FF5" w:rsidRPr="007F0FF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7F0FF5" w:rsidRPr="007F0FF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r w:rsidR="00C001C6">
        <w:fldChar w:fldCharType="begin"/>
      </w:r>
      <w:r w:rsidR="00C001C6">
        <w:instrText>HYPERLINK</w:instrText>
      </w:r>
      <w:r w:rsidR="00C001C6" w:rsidRPr="006F3C1A">
        <w:rPr>
          <w:lang w:val="el-GR"/>
        </w:rPr>
        <w:instrText xml:space="preserve"> "</w:instrText>
      </w:r>
      <w:r w:rsidR="00C001C6">
        <w:instrText>mailto</w:instrText>
      </w:r>
      <w:r w:rsidR="00C001C6" w:rsidRPr="006F3C1A">
        <w:rPr>
          <w:lang w:val="el-GR"/>
        </w:rPr>
        <w:instrText>:</w:instrText>
      </w:r>
      <w:r w:rsidR="00C001C6">
        <w:instrText>kvoutouris</w:instrText>
      </w:r>
      <w:r w:rsidR="00C001C6" w:rsidRPr="006F3C1A">
        <w:rPr>
          <w:lang w:val="el-GR"/>
        </w:rPr>
        <w:instrText>@</w:instrText>
      </w:r>
      <w:r w:rsidR="00C001C6">
        <w:instrText>cystat</w:instrText>
      </w:r>
      <w:r w:rsidR="00C001C6" w:rsidRPr="006F3C1A">
        <w:rPr>
          <w:lang w:val="el-GR"/>
        </w:rPr>
        <w:instrText>.</w:instrText>
      </w:r>
      <w:r w:rsidR="00C001C6">
        <w:instrText>mof</w:instrText>
      </w:r>
      <w:r w:rsidR="00C001C6" w:rsidRPr="006F3C1A">
        <w:rPr>
          <w:lang w:val="el-GR"/>
        </w:rPr>
        <w:instrText>.</w:instrText>
      </w:r>
      <w:r w:rsidR="00C001C6">
        <w:instrText>gov</w:instrText>
      </w:r>
      <w:r w:rsidR="00C001C6" w:rsidRPr="006F3C1A">
        <w:rPr>
          <w:lang w:val="el-GR"/>
        </w:rPr>
        <w:instrText>.</w:instrText>
      </w:r>
      <w:r w:rsidR="00C001C6">
        <w:instrText>cy</w:instrText>
      </w:r>
      <w:r w:rsidR="00C001C6" w:rsidRPr="006F3C1A">
        <w:rPr>
          <w:lang w:val="el-GR"/>
        </w:rPr>
        <w:instrText>"</w:instrText>
      </w:r>
      <w:r w:rsidR="00C001C6">
        <w:fldChar w:fldCharType="separate"/>
      </w:r>
      <w:proofErr w:type="spellStart"/>
      <w:r w:rsidR="00C001C6" w:rsidRPr="0082300C">
        <w:rPr>
          <w:rStyle w:val="Hyperlink"/>
          <w:rFonts w:ascii="Verdana" w:eastAsia="Malgun Gothic" w:hAnsi="Verdana" w:cs="Arial"/>
          <w:sz w:val="18"/>
          <w:szCs w:val="18"/>
        </w:rPr>
        <w:t>kvoutouris</w:t>
      </w:r>
      <w:proofErr w:type="spellEnd"/>
      <w:r w:rsidR="00C001C6" w:rsidRPr="0082300C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@</w:t>
      </w:r>
      <w:proofErr w:type="gramStart"/>
      <w:r w:rsidR="00C001C6" w:rsidRPr="0082300C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cystat</w:t>
      </w:r>
      <w:r w:rsidR="007D37E6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,</w:t>
      </w:r>
      <w:r w:rsidR="00C001C6" w:rsidRPr="0082300C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mof</w:t>
      </w:r>
      <w:proofErr w:type="gramEnd"/>
      <w:r w:rsidR="007D37E6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,</w:t>
      </w:r>
      <w:proofErr w:type="gramStart"/>
      <w:r w:rsidR="00C001C6" w:rsidRPr="0082300C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gov</w:t>
      </w:r>
      <w:r w:rsidR="007D37E6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,</w:t>
      </w:r>
      <w:r w:rsidR="00C001C6" w:rsidRPr="0082300C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cy</w:t>
      </w:r>
      <w:proofErr w:type="gramEnd"/>
      <w:r w:rsidR="00C001C6">
        <w:fldChar w:fldCharType="end"/>
      </w:r>
    </w:p>
    <w:p w14:paraId="0529C785" w14:textId="122B198E" w:rsidR="001712CF" w:rsidRPr="00AF2BC9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7F0FF5" w:rsidRPr="007F0FF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7F0FF5" w:rsidRPr="007F0FF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7F0FF5" w:rsidRPr="007F0FF5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7F0FF5" w:rsidRPr="007F0FF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7F0FF5" w:rsidRPr="007F0FF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r w:rsidR="00C001C6">
        <w:fldChar w:fldCharType="begin"/>
      </w:r>
      <w:r w:rsidR="00C001C6">
        <w:instrText>HYPERLINK</w:instrText>
      </w:r>
      <w:r w:rsidR="00C001C6" w:rsidRPr="006F3C1A">
        <w:rPr>
          <w:lang w:val="el-GR"/>
        </w:rPr>
        <w:instrText xml:space="preserve"> "</w:instrText>
      </w:r>
      <w:r w:rsidR="00C001C6">
        <w:instrText>mailto</w:instrText>
      </w:r>
      <w:r w:rsidR="00C001C6" w:rsidRPr="006F3C1A">
        <w:rPr>
          <w:lang w:val="el-GR"/>
        </w:rPr>
        <w:instrText>:</w:instrText>
      </w:r>
      <w:r w:rsidR="00C001C6">
        <w:instrText>fkakoutsis</w:instrText>
      </w:r>
      <w:r w:rsidR="00C001C6" w:rsidRPr="006F3C1A">
        <w:rPr>
          <w:lang w:val="el-GR"/>
        </w:rPr>
        <w:instrText>@</w:instrText>
      </w:r>
      <w:r w:rsidR="00C001C6">
        <w:instrText>cystat</w:instrText>
      </w:r>
      <w:r w:rsidR="00C001C6" w:rsidRPr="006F3C1A">
        <w:rPr>
          <w:lang w:val="el-GR"/>
        </w:rPr>
        <w:instrText>.</w:instrText>
      </w:r>
      <w:r w:rsidR="00C001C6">
        <w:instrText>mof</w:instrText>
      </w:r>
      <w:r w:rsidR="00C001C6" w:rsidRPr="006F3C1A">
        <w:rPr>
          <w:lang w:val="el-GR"/>
        </w:rPr>
        <w:instrText>.</w:instrText>
      </w:r>
      <w:r w:rsidR="00C001C6">
        <w:instrText>gov</w:instrText>
      </w:r>
      <w:r w:rsidR="00C001C6" w:rsidRPr="006F3C1A">
        <w:rPr>
          <w:lang w:val="el-GR"/>
        </w:rPr>
        <w:instrText>.</w:instrText>
      </w:r>
      <w:r w:rsidR="00C001C6">
        <w:instrText>cy</w:instrText>
      </w:r>
      <w:r w:rsidR="00C001C6" w:rsidRPr="006F3C1A">
        <w:rPr>
          <w:lang w:val="el-GR"/>
        </w:rPr>
        <w:instrText>"</w:instrText>
      </w:r>
      <w:r w:rsidR="00C001C6">
        <w:fldChar w:fldCharType="separate"/>
      </w:r>
      <w:proofErr w:type="spellStart"/>
      <w:r w:rsidR="00C001C6" w:rsidRPr="0082300C">
        <w:rPr>
          <w:rStyle w:val="Hyperlink"/>
          <w:rFonts w:ascii="Verdana" w:eastAsia="Malgun Gothic" w:hAnsi="Verdana" w:cs="Arial"/>
          <w:sz w:val="18"/>
          <w:szCs w:val="18"/>
        </w:rPr>
        <w:t>fkakoutsis</w:t>
      </w:r>
      <w:proofErr w:type="spellEnd"/>
      <w:r w:rsidR="00C001C6" w:rsidRPr="0082300C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@</w:t>
      </w:r>
      <w:proofErr w:type="gramStart"/>
      <w:r w:rsidR="00C001C6" w:rsidRPr="0082300C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cystat</w:t>
      </w:r>
      <w:r w:rsidR="007D37E6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,</w:t>
      </w:r>
      <w:r w:rsidR="00C001C6" w:rsidRPr="0082300C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mof</w:t>
      </w:r>
      <w:proofErr w:type="gramEnd"/>
      <w:r w:rsidR="007D37E6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,</w:t>
      </w:r>
      <w:proofErr w:type="gramStart"/>
      <w:r w:rsidR="00C001C6" w:rsidRPr="0082300C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gov</w:t>
      </w:r>
      <w:r w:rsidR="007D37E6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,</w:t>
      </w:r>
      <w:r w:rsidR="00C001C6" w:rsidRPr="0082300C">
        <w:rPr>
          <w:rStyle w:val="Hyperlink"/>
          <w:rFonts w:ascii="Verdana" w:eastAsia="Malgun Gothic" w:hAnsi="Verdana" w:cs="Arial"/>
          <w:sz w:val="18"/>
          <w:szCs w:val="18"/>
          <w:lang w:val="el-GR"/>
        </w:rPr>
        <w:t>cy</w:t>
      </w:r>
      <w:proofErr w:type="gramEnd"/>
      <w:r w:rsidR="00C001C6">
        <w:fldChar w:fldCharType="end"/>
      </w:r>
      <w:bookmarkEnd w:id="3"/>
    </w:p>
    <w:sectPr w:rsidR="001712CF" w:rsidRPr="00AF2BC9" w:rsidSect="00A84A02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567" w:right="1185" w:bottom="1021" w:left="96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7B77" w14:textId="77777777" w:rsidR="00C77C35" w:rsidRDefault="00C77C35" w:rsidP="00FB398F">
      <w:r>
        <w:separator/>
      </w:r>
    </w:p>
  </w:endnote>
  <w:endnote w:type="continuationSeparator" w:id="0">
    <w:p w14:paraId="42CE4C06" w14:textId="77777777" w:rsidR="00C77C35" w:rsidRDefault="00C77C35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7853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2941E0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CF96" w14:textId="77777777" w:rsidR="004E4F42" w:rsidRPr="00B56811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B56811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B56811">
      <w:rPr>
        <w:rFonts w:ascii="Verdana" w:hAnsi="Verdana" w:cs="Arial"/>
        <w:sz w:val="16"/>
        <w:szCs w:val="16"/>
        <w:lang w:val="el-GR"/>
      </w:rPr>
      <w:t>ήλ</w:t>
    </w:r>
    <w:r w:rsidRPr="00B56811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B56811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B56811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16E06551" w14:textId="5DE88F98" w:rsidR="004E4F42" w:rsidRPr="00B56811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B56811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B56811">
      <w:rPr>
        <w:rFonts w:ascii="Verdana" w:hAnsi="Verdana" w:cs="Arial"/>
        <w:sz w:val="16"/>
        <w:szCs w:val="16"/>
        <w:lang w:val="el-GR"/>
      </w:rPr>
      <w:t>.: 22 602129,</w:t>
    </w:r>
    <w:r w:rsidRPr="00B56811">
      <w:rPr>
        <w:rFonts w:ascii="Verdana" w:hAnsi="Verdana" w:cs="Arial"/>
        <w:sz w:val="16"/>
        <w:szCs w:val="16"/>
        <w:lang w:val="de-DE"/>
      </w:rPr>
      <w:t xml:space="preserve"> </w:t>
    </w:r>
    <w:proofErr w:type="spellStart"/>
    <w:r w:rsidR="00B56811" w:rsidRPr="00B56811">
      <w:rPr>
        <w:rFonts w:ascii="Verdana" w:hAnsi="Verdana" w:cs="Arial"/>
        <w:sz w:val="16"/>
        <w:szCs w:val="16"/>
        <w:lang w:val="de-DE"/>
      </w:rPr>
      <w:t>Ηλ</w:t>
    </w:r>
    <w:proofErr w:type="spellEnd"/>
    <w:r w:rsidR="00B56811" w:rsidRPr="00B56811">
      <w:rPr>
        <w:rFonts w:ascii="Verdana" w:hAnsi="Verdana" w:cs="Arial"/>
        <w:sz w:val="16"/>
        <w:szCs w:val="16"/>
        <w:lang w:val="de-DE"/>
      </w:rPr>
      <w:t>. Ταχ.</w:t>
    </w:r>
    <w:r w:rsidRPr="00B56811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B56811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B56811">
      <w:rPr>
        <w:rFonts w:ascii="Verdana" w:hAnsi="Verdana" w:cs="Arial"/>
        <w:sz w:val="16"/>
        <w:szCs w:val="16"/>
        <w:lang w:val="de-DE"/>
      </w:rPr>
      <w:t xml:space="preserve">  </w:t>
    </w:r>
  </w:p>
  <w:p w14:paraId="399B9444" w14:textId="0F66B5E1" w:rsidR="004E4F42" w:rsidRPr="00B56811" w:rsidRDefault="00B56811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B56811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B56811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B56811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B56811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B56811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B5681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B56811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B5681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B56811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B5681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B56811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B56811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B189" w14:textId="77777777" w:rsidR="00C77C35" w:rsidRDefault="00C77C35" w:rsidP="00FB398F">
      <w:r>
        <w:separator/>
      </w:r>
    </w:p>
  </w:footnote>
  <w:footnote w:type="continuationSeparator" w:id="0">
    <w:p w14:paraId="1CF1EE09" w14:textId="77777777" w:rsidR="00C77C35" w:rsidRDefault="00C77C35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F4F3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C038" w14:textId="2D3064E5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11896D" wp14:editId="48BEF19C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836920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9D63D" w14:textId="77777777" w:rsidR="004E4F42" w:rsidRDefault="003D05B3" w:rsidP="000932CF">
                          <w:r w:rsidRPr="00FA55C3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7302CEC" wp14:editId="6E3830E0">
                                <wp:extent cx="1095375" cy="790575"/>
                                <wp:effectExtent l="0" t="0" r="0" b="0"/>
                                <wp:docPr id="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189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08F9D63D" w14:textId="77777777" w:rsidR="004E4F42" w:rsidRDefault="003D05B3" w:rsidP="000932CF">
                    <w:r w:rsidRPr="00FA55C3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7302CEC" wp14:editId="6E3830E0">
                          <wp:extent cx="1095375" cy="790575"/>
                          <wp:effectExtent l="0" t="0" r="0" b="0"/>
                          <wp:docPr id="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3D10AA" wp14:editId="4FB54158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11342452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2DB49" w14:textId="77777777" w:rsidR="004E4F42" w:rsidRDefault="003D05B3" w:rsidP="000932CF">
                          <w:r w:rsidRPr="00FA55C3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CB7E4BA" wp14:editId="35CEAE61">
                                <wp:extent cx="1276350" cy="1009650"/>
                                <wp:effectExtent l="0" t="0" r="0" b="0"/>
                                <wp:docPr id="3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D10AA" id="Text Box 2" o:spid="_x0000_s1027" type="#_x0000_t202" style="position:absolute;left:0;text-align:left;margin-left:270.8pt;margin-top:-17.45pt;width:115.65pt;height:9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5C52DB49" w14:textId="77777777" w:rsidR="004E4F42" w:rsidRDefault="003D05B3" w:rsidP="000932CF">
                    <w:r w:rsidRPr="00FA55C3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CB7E4BA" wp14:editId="35CEAE61">
                          <wp:extent cx="1276350" cy="1009650"/>
                          <wp:effectExtent l="0" t="0" r="0" b="0"/>
                          <wp:docPr id="3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9F2047" w14:textId="349B66AE" w:rsidR="004E4F42" w:rsidRDefault="00336AA4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3120" behindDoc="0" locked="0" layoutInCell="1" allowOverlap="1" wp14:anchorId="6FF80C91" wp14:editId="3C2B24DC">
          <wp:simplePos x="0" y="0"/>
          <wp:positionH relativeFrom="column">
            <wp:posOffset>523875</wp:posOffset>
          </wp:positionH>
          <wp:positionV relativeFrom="paragraph">
            <wp:posOffset>19685</wp:posOffset>
          </wp:positionV>
          <wp:extent cx="676275" cy="676275"/>
          <wp:effectExtent l="0" t="0" r="9525" b="9525"/>
          <wp:wrapNone/>
          <wp:docPr id="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F42">
      <w:rPr>
        <w:rFonts w:ascii="Arial" w:hAnsi="Arial" w:cs="Arial"/>
        <w:bCs/>
        <w:sz w:val="18"/>
        <w:szCs w:val="18"/>
      </w:rPr>
      <w:tab/>
    </w:r>
  </w:p>
  <w:p w14:paraId="38A6080E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548FC6C5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AC94A8F" w14:textId="77777777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98A2E9" wp14:editId="40765503">
              <wp:simplePos x="0" y="0"/>
              <wp:positionH relativeFrom="column">
                <wp:posOffset>4051935</wp:posOffset>
              </wp:positionH>
              <wp:positionV relativeFrom="paragraph">
                <wp:posOffset>102870</wp:posOffset>
              </wp:positionV>
              <wp:extent cx="1933575" cy="438150"/>
              <wp:effectExtent l="0" t="0" r="9525" b="0"/>
              <wp:wrapNone/>
              <wp:docPr id="20545448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DC090A" w14:textId="77777777" w:rsidR="004E4F42" w:rsidRPr="00B56811" w:rsidRDefault="004E4F42" w:rsidP="00B5681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56811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B56811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13538D17" w14:textId="77777777" w:rsidR="004E4F42" w:rsidRPr="00B56811" w:rsidRDefault="004E4F42" w:rsidP="00B5681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56811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8A2E9" id="Text Box 1" o:spid="_x0000_s1028" type="#_x0000_t202" style="position:absolute;margin-left:319.05pt;margin-top:8.1pt;width:152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" stroked="f">
              <v:textbox>
                <w:txbxContent>
                  <w:p w14:paraId="0BDC090A" w14:textId="77777777" w:rsidR="004E4F42" w:rsidRPr="00B56811" w:rsidRDefault="004E4F42" w:rsidP="00B5681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56811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B56811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13538D17" w14:textId="77777777" w:rsidR="004E4F42" w:rsidRPr="00B56811" w:rsidRDefault="004E4F42" w:rsidP="00B5681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56811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073E255F" w14:textId="7886D05A" w:rsidR="004E4F42" w:rsidRPr="00B56811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B56811">
      <w:rPr>
        <w:rFonts w:ascii="Verdana" w:hAnsi="Verdana" w:cs="Arial"/>
        <w:bCs/>
        <w:sz w:val="20"/>
        <w:szCs w:val="20"/>
      </w:rPr>
      <w:t>ΚΥΠΡΙΑΚΗ ΔΗΜΟΚΡΑΤΙΑ</w:t>
    </w:r>
    <w:r w:rsidRPr="00B56811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B56811">
      <w:rPr>
        <w:rFonts w:ascii="Verdana" w:hAnsi="Verdana"/>
        <w:b/>
        <w:bCs/>
        <w:sz w:val="20"/>
        <w:szCs w:val="20"/>
        <w:lang w:val="en-US"/>
      </w:rPr>
      <w:tab/>
    </w:r>
  </w:p>
  <w:p w14:paraId="762C63AF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1FF916EE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4238037">
    <w:abstractNumId w:val="4"/>
  </w:num>
  <w:num w:numId="2" w16cid:durableId="1891531984">
    <w:abstractNumId w:val="1"/>
  </w:num>
  <w:num w:numId="3" w16cid:durableId="1267225415">
    <w:abstractNumId w:val="2"/>
  </w:num>
  <w:num w:numId="4" w16cid:durableId="991639242">
    <w:abstractNumId w:val="3"/>
  </w:num>
  <w:num w:numId="5" w16cid:durableId="1550070010">
    <w:abstractNumId w:val="0"/>
  </w:num>
  <w:num w:numId="6" w16cid:durableId="2058118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0B58"/>
    <w:rsid w:val="00002458"/>
    <w:rsid w:val="000039A3"/>
    <w:rsid w:val="0000542E"/>
    <w:rsid w:val="00005E6B"/>
    <w:rsid w:val="00007254"/>
    <w:rsid w:val="00013E40"/>
    <w:rsid w:val="000161B1"/>
    <w:rsid w:val="00017419"/>
    <w:rsid w:val="0002032F"/>
    <w:rsid w:val="000241BB"/>
    <w:rsid w:val="00025A39"/>
    <w:rsid w:val="00027853"/>
    <w:rsid w:val="00027D7D"/>
    <w:rsid w:val="00030E18"/>
    <w:rsid w:val="00031D32"/>
    <w:rsid w:val="00035C67"/>
    <w:rsid w:val="0003603D"/>
    <w:rsid w:val="00043B1E"/>
    <w:rsid w:val="00045088"/>
    <w:rsid w:val="00045A06"/>
    <w:rsid w:val="00047520"/>
    <w:rsid w:val="00050391"/>
    <w:rsid w:val="00051C7D"/>
    <w:rsid w:val="00054D3C"/>
    <w:rsid w:val="00055291"/>
    <w:rsid w:val="00055734"/>
    <w:rsid w:val="0005631A"/>
    <w:rsid w:val="000563D3"/>
    <w:rsid w:val="00057B87"/>
    <w:rsid w:val="00057E44"/>
    <w:rsid w:val="00061299"/>
    <w:rsid w:val="00070576"/>
    <w:rsid w:val="000723AD"/>
    <w:rsid w:val="00074798"/>
    <w:rsid w:val="000752BB"/>
    <w:rsid w:val="00075438"/>
    <w:rsid w:val="0007663E"/>
    <w:rsid w:val="00077984"/>
    <w:rsid w:val="00081ADF"/>
    <w:rsid w:val="0008217A"/>
    <w:rsid w:val="00084A02"/>
    <w:rsid w:val="00084BF7"/>
    <w:rsid w:val="0008561E"/>
    <w:rsid w:val="000870E9"/>
    <w:rsid w:val="00090717"/>
    <w:rsid w:val="000916C7"/>
    <w:rsid w:val="000932CF"/>
    <w:rsid w:val="00096ED8"/>
    <w:rsid w:val="0009792D"/>
    <w:rsid w:val="000A1A88"/>
    <w:rsid w:val="000A25E9"/>
    <w:rsid w:val="000A2B5C"/>
    <w:rsid w:val="000A3601"/>
    <w:rsid w:val="000A47D3"/>
    <w:rsid w:val="000A615B"/>
    <w:rsid w:val="000A6FA8"/>
    <w:rsid w:val="000A77D5"/>
    <w:rsid w:val="000B37AC"/>
    <w:rsid w:val="000B74A3"/>
    <w:rsid w:val="000C1070"/>
    <w:rsid w:val="000C4E72"/>
    <w:rsid w:val="000C5F2F"/>
    <w:rsid w:val="000C73E0"/>
    <w:rsid w:val="000D1E7A"/>
    <w:rsid w:val="000D3065"/>
    <w:rsid w:val="000D314F"/>
    <w:rsid w:val="000D33FB"/>
    <w:rsid w:val="000D3914"/>
    <w:rsid w:val="000E1954"/>
    <w:rsid w:val="000E1C04"/>
    <w:rsid w:val="000E24B1"/>
    <w:rsid w:val="000E2735"/>
    <w:rsid w:val="000E32D6"/>
    <w:rsid w:val="000E3759"/>
    <w:rsid w:val="000E4CB0"/>
    <w:rsid w:val="000E57F2"/>
    <w:rsid w:val="000E6553"/>
    <w:rsid w:val="000E7206"/>
    <w:rsid w:val="000E72A7"/>
    <w:rsid w:val="000E7FF2"/>
    <w:rsid w:val="000F1162"/>
    <w:rsid w:val="000F1CF9"/>
    <w:rsid w:val="000F1F6D"/>
    <w:rsid w:val="000F2415"/>
    <w:rsid w:val="000F3467"/>
    <w:rsid w:val="000F38DE"/>
    <w:rsid w:val="000F532A"/>
    <w:rsid w:val="000F5D6C"/>
    <w:rsid w:val="000F756B"/>
    <w:rsid w:val="00103851"/>
    <w:rsid w:val="00104370"/>
    <w:rsid w:val="00106852"/>
    <w:rsid w:val="00110407"/>
    <w:rsid w:val="00110F9D"/>
    <w:rsid w:val="0011161B"/>
    <w:rsid w:val="001116EA"/>
    <w:rsid w:val="0011494F"/>
    <w:rsid w:val="00114A67"/>
    <w:rsid w:val="00114DB4"/>
    <w:rsid w:val="00121E69"/>
    <w:rsid w:val="001253B6"/>
    <w:rsid w:val="00125E06"/>
    <w:rsid w:val="001262AC"/>
    <w:rsid w:val="001262C3"/>
    <w:rsid w:val="00127320"/>
    <w:rsid w:val="00127456"/>
    <w:rsid w:val="001303FE"/>
    <w:rsid w:val="001312D8"/>
    <w:rsid w:val="0013137B"/>
    <w:rsid w:val="0013697A"/>
    <w:rsid w:val="00137F0E"/>
    <w:rsid w:val="0015118B"/>
    <w:rsid w:val="001519CE"/>
    <w:rsid w:val="0015494E"/>
    <w:rsid w:val="00160130"/>
    <w:rsid w:val="00160B48"/>
    <w:rsid w:val="00161CF3"/>
    <w:rsid w:val="00162C00"/>
    <w:rsid w:val="001639EF"/>
    <w:rsid w:val="00163D60"/>
    <w:rsid w:val="00164C83"/>
    <w:rsid w:val="0016589F"/>
    <w:rsid w:val="00165C2F"/>
    <w:rsid w:val="00166603"/>
    <w:rsid w:val="001712CF"/>
    <w:rsid w:val="00171AFE"/>
    <w:rsid w:val="00172DBD"/>
    <w:rsid w:val="0017769A"/>
    <w:rsid w:val="00183C7C"/>
    <w:rsid w:val="00183DFC"/>
    <w:rsid w:val="00184384"/>
    <w:rsid w:val="00186717"/>
    <w:rsid w:val="00187FFC"/>
    <w:rsid w:val="001916AD"/>
    <w:rsid w:val="00192F2F"/>
    <w:rsid w:val="0019391C"/>
    <w:rsid w:val="00194C5D"/>
    <w:rsid w:val="001A2018"/>
    <w:rsid w:val="001A34BF"/>
    <w:rsid w:val="001A3EE4"/>
    <w:rsid w:val="001A7865"/>
    <w:rsid w:val="001B25A4"/>
    <w:rsid w:val="001B2C39"/>
    <w:rsid w:val="001B3675"/>
    <w:rsid w:val="001B5E10"/>
    <w:rsid w:val="001B6AB3"/>
    <w:rsid w:val="001B73D5"/>
    <w:rsid w:val="001C0681"/>
    <w:rsid w:val="001C38C7"/>
    <w:rsid w:val="001C62B3"/>
    <w:rsid w:val="001C7C8C"/>
    <w:rsid w:val="001D0D6A"/>
    <w:rsid w:val="001D11F9"/>
    <w:rsid w:val="001D20A4"/>
    <w:rsid w:val="001D7A37"/>
    <w:rsid w:val="001E00D1"/>
    <w:rsid w:val="001E04D0"/>
    <w:rsid w:val="001E0E26"/>
    <w:rsid w:val="001E0E58"/>
    <w:rsid w:val="001E14F3"/>
    <w:rsid w:val="001E15ED"/>
    <w:rsid w:val="001E35EF"/>
    <w:rsid w:val="001E61AA"/>
    <w:rsid w:val="001E66A9"/>
    <w:rsid w:val="001E7F26"/>
    <w:rsid w:val="001F3FAD"/>
    <w:rsid w:val="00200657"/>
    <w:rsid w:val="002024AD"/>
    <w:rsid w:val="0020309E"/>
    <w:rsid w:val="0020684A"/>
    <w:rsid w:val="00210B58"/>
    <w:rsid w:val="00222423"/>
    <w:rsid w:val="00225B28"/>
    <w:rsid w:val="00226891"/>
    <w:rsid w:val="00226E47"/>
    <w:rsid w:val="00230D9B"/>
    <w:rsid w:val="002313AC"/>
    <w:rsid w:val="00235FB2"/>
    <w:rsid w:val="00237B98"/>
    <w:rsid w:val="00237BC1"/>
    <w:rsid w:val="0024027B"/>
    <w:rsid w:val="00241429"/>
    <w:rsid w:val="002430B4"/>
    <w:rsid w:val="002443EB"/>
    <w:rsid w:val="002447D0"/>
    <w:rsid w:val="002454C5"/>
    <w:rsid w:val="00245D73"/>
    <w:rsid w:val="00245E19"/>
    <w:rsid w:val="0024658B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58FA"/>
    <w:rsid w:val="00267554"/>
    <w:rsid w:val="00272709"/>
    <w:rsid w:val="002819EF"/>
    <w:rsid w:val="0028338F"/>
    <w:rsid w:val="002915C4"/>
    <w:rsid w:val="002941E0"/>
    <w:rsid w:val="00295FA6"/>
    <w:rsid w:val="00297E6B"/>
    <w:rsid w:val="002A1D1C"/>
    <w:rsid w:val="002A1E72"/>
    <w:rsid w:val="002A4D64"/>
    <w:rsid w:val="002A56D1"/>
    <w:rsid w:val="002A794D"/>
    <w:rsid w:val="002B3BC7"/>
    <w:rsid w:val="002B4969"/>
    <w:rsid w:val="002B6500"/>
    <w:rsid w:val="002B6554"/>
    <w:rsid w:val="002B7A07"/>
    <w:rsid w:val="002C1A02"/>
    <w:rsid w:val="002C2008"/>
    <w:rsid w:val="002C21CB"/>
    <w:rsid w:val="002C338F"/>
    <w:rsid w:val="002D05F0"/>
    <w:rsid w:val="002D199A"/>
    <w:rsid w:val="002D2829"/>
    <w:rsid w:val="002D3EE7"/>
    <w:rsid w:val="002D59F0"/>
    <w:rsid w:val="002D71B3"/>
    <w:rsid w:val="002D7D4A"/>
    <w:rsid w:val="002E3846"/>
    <w:rsid w:val="002E3F78"/>
    <w:rsid w:val="002E590B"/>
    <w:rsid w:val="002E7E78"/>
    <w:rsid w:val="002F316A"/>
    <w:rsid w:val="002F400C"/>
    <w:rsid w:val="002F4D76"/>
    <w:rsid w:val="002F6D26"/>
    <w:rsid w:val="002F72E9"/>
    <w:rsid w:val="0030231E"/>
    <w:rsid w:val="003035A6"/>
    <w:rsid w:val="003042C4"/>
    <w:rsid w:val="00304CB4"/>
    <w:rsid w:val="00307F8E"/>
    <w:rsid w:val="003104F0"/>
    <w:rsid w:val="00311522"/>
    <w:rsid w:val="00311704"/>
    <w:rsid w:val="00313F37"/>
    <w:rsid w:val="003141D0"/>
    <w:rsid w:val="003168C1"/>
    <w:rsid w:val="00317625"/>
    <w:rsid w:val="003204B7"/>
    <w:rsid w:val="00322FBE"/>
    <w:rsid w:val="00325632"/>
    <w:rsid w:val="00327549"/>
    <w:rsid w:val="003342A5"/>
    <w:rsid w:val="00334616"/>
    <w:rsid w:val="00336AA4"/>
    <w:rsid w:val="00336C36"/>
    <w:rsid w:val="0034026E"/>
    <w:rsid w:val="00343815"/>
    <w:rsid w:val="003439A8"/>
    <w:rsid w:val="0034650B"/>
    <w:rsid w:val="00351BEC"/>
    <w:rsid w:val="003522BB"/>
    <w:rsid w:val="00352C81"/>
    <w:rsid w:val="00352F6C"/>
    <w:rsid w:val="00354B70"/>
    <w:rsid w:val="003556EA"/>
    <w:rsid w:val="00360B86"/>
    <w:rsid w:val="00361290"/>
    <w:rsid w:val="00370333"/>
    <w:rsid w:val="00371971"/>
    <w:rsid w:val="0037382C"/>
    <w:rsid w:val="003831DD"/>
    <w:rsid w:val="00386FC7"/>
    <w:rsid w:val="00390A32"/>
    <w:rsid w:val="0039518D"/>
    <w:rsid w:val="003A1359"/>
    <w:rsid w:val="003A1E91"/>
    <w:rsid w:val="003A40F2"/>
    <w:rsid w:val="003A50D1"/>
    <w:rsid w:val="003A76A1"/>
    <w:rsid w:val="003B196D"/>
    <w:rsid w:val="003B2710"/>
    <w:rsid w:val="003B4608"/>
    <w:rsid w:val="003B6FD8"/>
    <w:rsid w:val="003B7E9A"/>
    <w:rsid w:val="003C03DF"/>
    <w:rsid w:val="003C2392"/>
    <w:rsid w:val="003C31EF"/>
    <w:rsid w:val="003C5174"/>
    <w:rsid w:val="003C5240"/>
    <w:rsid w:val="003C64E8"/>
    <w:rsid w:val="003C76E6"/>
    <w:rsid w:val="003D05B3"/>
    <w:rsid w:val="003D14E0"/>
    <w:rsid w:val="003D17AA"/>
    <w:rsid w:val="003D1EA5"/>
    <w:rsid w:val="003D2DCC"/>
    <w:rsid w:val="003D3348"/>
    <w:rsid w:val="003D4E63"/>
    <w:rsid w:val="003D6822"/>
    <w:rsid w:val="003D724C"/>
    <w:rsid w:val="003E0CE2"/>
    <w:rsid w:val="003E561E"/>
    <w:rsid w:val="003E5657"/>
    <w:rsid w:val="003E6210"/>
    <w:rsid w:val="003E695C"/>
    <w:rsid w:val="003F3690"/>
    <w:rsid w:val="003F49E4"/>
    <w:rsid w:val="003F4D2F"/>
    <w:rsid w:val="003F5E32"/>
    <w:rsid w:val="003F6F93"/>
    <w:rsid w:val="003F75F6"/>
    <w:rsid w:val="00404670"/>
    <w:rsid w:val="00414CA0"/>
    <w:rsid w:val="004164CC"/>
    <w:rsid w:val="00422F54"/>
    <w:rsid w:val="00431516"/>
    <w:rsid w:val="004361B3"/>
    <w:rsid w:val="004403B3"/>
    <w:rsid w:val="0044249D"/>
    <w:rsid w:val="0044379F"/>
    <w:rsid w:val="00444FCC"/>
    <w:rsid w:val="00445572"/>
    <w:rsid w:val="00446FB1"/>
    <w:rsid w:val="004472D6"/>
    <w:rsid w:val="0045219F"/>
    <w:rsid w:val="00452753"/>
    <w:rsid w:val="0046078F"/>
    <w:rsid w:val="00463214"/>
    <w:rsid w:val="00463269"/>
    <w:rsid w:val="00463461"/>
    <w:rsid w:val="00463551"/>
    <w:rsid w:val="0046434D"/>
    <w:rsid w:val="004656FA"/>
    <w:rsid w:val="00465D5F"/>
    <w:rsid w:val="00470FF1"/>
    <w:rsid w:val="0047147E"/>
    <w:rsid w:val="00471D77"/>
    <w:rsid w:val="00475587"/>
    <w:rsid w:val="00476CB0"/>
    <w:rsid w:val="00480BC2"/>
    <w:rsid w:val="00482EDC"/>
    <w:rsid w:val="004845C3"/>
    <w:rsid w:val="00491C1F"/>
    <w:rsid w:val="00492640"/>
    <w:rsid w:val="004929C2"/>
    <w:rsid w:val="00493FDD"/>
    <w:rsid w:val="0049586B"/>
    <w:rsid w:val="004A3E44"/>
    <w:rsid w:val="004A519E"/>
    <w:rsid w:val="004A7D86"/>
    <w:rsid w:val="004B03DB"/>
    <w:rsid w:val="004B178F"/>
    <w:rsid w:val="004B2018"/>
    <w:rsid w:val="004B2896"/>
    <w:rsid w:val="004B326A"/>
    <w:rsid w:val="004B38E9"/>
    <w:rsid w:val="004B3FBA"/>
    <w:rsid w:val="004B62C6"/>
    <w:rsid w:val="004B6599"/>
    <w:rsid w:val="004C2B79"/>
    <w:rsid w:val="004C3FB1"/>
    <w:rsid w:val="004C5A97"/>
    <w:rsid w:val="004C6CA7"/>
    <w:rsid w:val="004C7893"/>
    <w:rsid w:val="004D133A"/>
    <w:rsid w:val="004D1A11"/>
    <w:rsid w:val="004D30FD"/>
    <w:rsid w:val="004D40D3"/>
    <w:rsid w:val="004D4357"/>
    <w:rsid w:val="004D4950"/>
    <w:rsid w:val="004D6F6C"/>
    <w:rsid w:val="004D7614"/>
    <w:rsid w:val="004D7F44"/>
    <w:rsid w:val="004E0E32"/>
    <w:rsid w:val="004E2393"/>
    <w:rsid w:val="004E258E"/>
    <w:rsid w:val="004E3630"/>
    <w:rsid w:val="004E3745"/>
    <w:rsid w:val="004E42BE"/>
    <w:rsid w:val="004E4F42"/>
    <w:rsid w:val="004E63D5"/>
    <w:rsid w:val="004F03FD"/>
    <w:rsid w:val="004F172C"/>
    <w:rsid w:val="004F52F0"/>
    <w:rsid w:val="004F5E3B"/>
    <w:rsid w:val="004F6250"/>
    <w:rsid w:val="004F677C"/>
    <w:rsid w:val="004F6D8F"/>
    <w:rsid w:val="0050328B"/>
    <w:rsid w:val="00505503"/>
    <w:rsid w:val="0051107B"/>
    <w:rsid w:val="00512F9C"/>
    <w:rsid w:val="00513EA9"/>
    <w:rsid w:val="00513FCF"/>
    <w:rsid w:val="00517FCC"/>
    <w:rsid w:val="00521F99"/>
    <w:rsid w:val="005258DF"/>
    <w:rsid w:val="00526BFC"/>
    <w:rsid w:val="00527CDB"/>
    <w:rsid w:val="005341C9"/>
    <w:rsid w:val="00534CD1"/>
    <w:rsid w:val="00535D01"/>
    <w:rsid w:val="005369CA"/>
    <w:rsid w:val="00536DE9"/>
    <w:rsid w:val="00541E08"/>
    <w:rsid w:val="005425F7"/>
    <w:rsid w:val="00550824"/>
    <w:rsid w:val="00551328"/>
    <w:rsid w:val="005523F6"/>
    <w:rsid w:val="005544D8"/>
    <w:rsid w:val="00554F84"/>
    <w:rsid w:val="00554FE0"/>
    <w:rsid w:val="005558EB"/>
    <w:rsid w:val="00556564"/>
    <w:rsid w:val="0055789A"/>
    <w:rsid w:val="00560952"/>
    <w:rsid w:val="00562235"/>
    <w:rsid w:val="00565109"/>
    <w:rsid w:val="005652D1"/>
    <w:rsid w:val="005653F5"/>
    <w:rsid w:val="00565CC6"/>
    <w:rsid w:val="005660A0"/>
    <w:rsid w:val="00566670"/>
    <w:rsid w:val="00566A4F"/>
    <w:rsid w:val="00566ACF"/>
    <w:rsid w:val="00567D64"/>
    <w:rsid w:val="00567FEB"/>
    <w:rsid w:val="005923C4"/>
    <w:rsid w:val="00594A83"/>
    <w:rsid w:val="005951A1"/>
    <w:rsid w:val="0059552E"/>
    <w:rsid w:val="005978D4"/>
    <w:rsid w:val="005A0A20"/>
    <w:rsid w:val="005A23FA"/>
    <w:rsid w:val="005A27EE"/>
    <w:rsid w:val="005A55DC"/>
    <w:rsid w:val="005A587B"/>
    <w:rsid w:val="005B2A67"/>
    <w:rsid w:val="005B3C96"/>
    <w:rsid w:val="005B3DCD"/>
    <w:rsid w:val="005B4AD4"/>
    <w:rsid w:val="005B529F"/>
    <w:rsid w:val="005C0B10"/>
    <w:rsid w:val="005C2798"/>
    <w:rsid w:val="005C2ECE"/>
    <w:rsid w:val="005C36C3"/>
    <w:rsid w:val="005C380F"/>
    <w:rsid w:val="005C4C32"/>
    <w:rsid w:val="005C56EE"/>
    <w:rsid w:val="005C6D95"/>
    <w:rsid w:val="005C6EC7"/>
    <w:rsid w:val="005D11D5"/>
    <w:rsid w:val="005D1714"/>
    <w:rsid w:val="005D4AD8"/>
    <w:rsid w:val="005D7638"/>
    <w:rsid w:val="005E7DDA"/>
    <w:rsid w:val="005F0361"/>
    <w:rsid w:val="005F12F5"/>
    <w:rsid w:val="005F3056"/>
    <w:rsid w:val="005F486D"/>
    <w:rsid w:val="005F7C7D"/>
    <w:rsid w:val="005F7E23"/>
    <w:rsid w:val="00601542"/>
    <w:rsid w:val="00601602"/>
    <w:rsid w:val="006044B7"/>
    <w:rsid w:val="00604A62"/>
    <w:rsid w:val="00606644"/>
    <w:rsid w:val="006071CE"/>
    <w:rsid w:val="006075B5"/>
    <w:rsid w:val="0061018C"/>
    <w:rsid w:val="0061094E"/>
    <w:rsid w:val="006127C1"/>
    <w:rsid w:val="00613440"/>
    <w:rsid w:val="00613BE3"/>
    <w:rsid w:val="00617316"/>
    <w:rsid w:val="0062327B"/>
    <w:rsid w:val="00624EC6"/>
    <w:rsid w:val="0062719D"/>
    <w:rsid w:val="00632777"/>
    <w:rsid w:val="00633094"/>
    <w:rsid w:val="00633750"/>
    <w:rsid w:val="00634491"/>
    <w:rsid w:val="00634639"/>
    <w:rsid w:val="0063546B"/>
    <w:rsid w:val="0063679C"/>
    <w:rsid w:val="00637055"/>
    <w:rsid w:val="006418B6"/>
    <w:rsid w:val="00641D59"/>
    <w:rsid w:val="00642698"/>
    <w:rsid w:val="00644507"/>
    <w:rsid w:val="00646880"/>
    <w:rsid w:val="00647D2A"/>
    <w:rsid w:val="0065263A"/>
    <w:rsid w:val="006537BB"/>
    <w:rsid w:val="006539BB"/>
    <w:rsid w:val="0065643E"/>
    <w:rsid w:val="00660D45"/>
    <w:rsid w:val="0066103D"/>
    <w:rsid w:val="0066107A"/>
    <w:rsid w:val="006625B2"/>
    <w:rsid w:val="00663CA9"/>
    <w:rsid w:val="00667E07"/>
    <w:rsid w:val="006706E8"/>
    <w:rsid w:val="00671785"/>
    <w:rsid w:val="00672BA9"/>
    <w:rsid w:val="00673005"/>
    <w:rsid w:val="00674681"/>
    <w:rsid w:val="006804BE"/>
    <w:rsid w:val="006813A4"/>
    <w:rsid w:val="0068434A"/>
    <w:rsid w:val="0069008E"/>
    <w:rsid w:val="0069087E"/>
    <w:rsid w:val="006925C4"/>
    <w:rsid w:val="006949B0"/>
    <w:rsid w:val="006A02B7"/>
    <w:rsid w:val="006A46B9"/>
    <w:rsid w:val="006A6802"/>
    <w:rsid w:val="006A7019"/>
    <w:rsid w:val="006B004C"/>
    <w:rsid w:val="006B2083"/>
    <w:rsid w:val="006B46D5"/>
    <w:rsid w:val="006B46F4"/>
    <w:rsid w:val="006C3D86"/>
    <w:rsid w:val="006C7AF3"/>
    <w:rsid w:val="006D0B9D"/>
    <w:rsid w:val="006D6548"/>
    <w:rsid w:val="006E0E20"/>
    <w:rsid w:val="006E4256"/>
    <w:rsid w:val="006E4BBA"/>
    <w:rsid w:val="006E5F43"/>
    <w:rsid w:val="006E60A6"/>
    <w:rsid w:val="006E7B53"/>
    <w:rsid w:val="006F0F69"/>
    <w:rsid w:val="006F116B"/>
    <w:rsid w:val="006F117F"/>
    <w:rsid w:val="006F13DF"/>
    <w:rsid w:val="006F144F"/>
    <w:rsid w:val="006F2780"/>
    <w:rsid w:val="006F3C1A"/>
    <w:rsid w:val="006F3E09"/>
    <w:rsid w:val="006F5486"/>
    <w:rsid w:val="006F64F6"/>
    <w:rsid w:val="006F790E"/>
    <w:rsid w:val="007012C2"/>
    <w:rsid w:val="00702F26"/>
    <w:rsid w:val="0070313E"/>
    <w:rsid w:val="00703799"/>
    <w:rsid w:val="00704AF7"/>
    <w:rsid w:val="00705C5C"/>
    <w:rsid w:val="00706768"/>
    <w:rsid w:val="007108E9"/>
    <w:rsid w:val="00711475"/>
    <w:rsid w:val="00712F06"/>
    <w:rsid w:val="00716DC7"/>
    <w:rsid w:val="00717FD7"/>
    <w:rsid w:val="00721C1B"/>
    <w:rsid w:val="007227B6"/>
    <w:rsid w:val="0072548A"/>
    <w:rsid w:val="00726473"/>
    <w:rsid w:val="007273B3"/>
    <w:rsid w:val="007277A6"/>
    <w:rsid w:val="0074243C"/>
    <w:rsid w:val="007437AB"/>
    <w:rsid w:val="00745425"/>
    <w:rsid w:val="00746502"/>
    <w:rsid w:val="007534F8"/>
    <w:rsid w:val="007538D6"/>
    <w:rsid w:val="007545AD"/>
    <w:rsid w:val="00756472"/>
    <w:rsid w:val="00762DA1"/>
    <w:rsid w:val="00763722"/>
    <w:rsid w:val="007645E4"/>
    <w:rsid w:val="00764BC1"/>
    <w:rsid w:val="00770869"/>
    <w:rsid w:val="00772E51"/>
    <w:rsid w:val="007738AA"/>
    <w:rsid w:val="007776A8"/>
    <w:rsid w:val="00780A62"/>
    <w:rsid w:val="00781A58"/>
    <w:rsid w:val="00783241"/>
    <w:rsid w:val="007840E5"/>
    <w:rsid w:val="00784BDC"/>
    <w:rsid w:val="007863D6"/>
    <w:rsid w:val="007903FF"/>
    <w:rsid w:val="00791479"/>
    <w:rsid w:val="00792F28"/>
    <w:rsid w:val="007935CA"/>
    <w:rsid w:val="0079543F"/>
    <w:rsid w:val="00795880"/>
    <w:rsid w:val="0079784F"/>
    <w:rsid w:val="007A3035"/>
    <w:rsid w:val="007A4367"/>
    <w:rsid w:val="007A722C"/>
    <w:rsid w:val="007A78CD"/>
    <w:rsid w:val="007B0867"/>
    <w:rsid w:val="007B1AC1"/>
    <w:rsid w:val="007B20DD"/>
    <w:rsid w:val="007B24C1"/>
    <w:rsid w:val="007B2DD9"/>
    <w:rsid w:val="007B536B"/>
    <w:rsid w:val="007B5424"/>
    <w:rsid w:val="007B5A08"/>
    <w:rsid w:val="007B693D"/>
    <w:rsid w:val="007B7C1B"/>
    <w:rsid w:val="007B7CAC"/>
    <w:rsid w:val="007C4CDC"/>
    <w:rsid w:val="007C70C9"/>
    <w:rsid w:val="007D37E6"/>
    <w:rsid w:val="007D7083"/>
    <w:rsid w:val="007D7B40"/>
    <w:rsid w:val="007E041B"/>
    <w:rsid w:val="007E189D"/>
    <w:rsid w:val="007E199A"/>
    <w:rsid w:val="007E1AED"/>
    <w:rsid w:val="007E22C3"/>
    <w:rsid w:val="007E2415"/>
    <w:rsid w:val="007E39F3"/>
    <w:rsid w:val="007E3B04"/>
    <w:rsid w:val="007E405E"/>
    <w:rsid w:val="007E68F4"/>
    <w:rsid w:val="007E6DE2"/>
    <w:rsid w:val="007F0964"/>
    <w:rsid w:val="007F0FF5"/>
    <w:rsid w:val="007F1828"/>
    <w:rsid w:val="007F31BA"/>
    <w:rsid w:val="007F4078"/>
    <w:rsid w:val="007F5FBB"/>
    <w:rsid w:val="007F68BE"/>
    <w:rsid w:val="007F68DD"/>
    <w:rsid w:val="0080014B"/>
    <w:rsid w:val="008013F2"/>
    <w:rsid w:val="00801793"/>
    <w:rsid w:val="00803642"/>
    <w:rsid w:val="00803D1C"/>
    <w:rsid w:val="00805AA1"/>
    <w:rsid w:val="00806DC7"/>
    <w:rsid w:val="00806EA2"/>
    <w:rsid w:val="00810419"/>
    <w:rsid w:val="00812A2B"/>
    <w:rsid w:val="00813A56"/>
    <w:rsid w:val="00814A4C"/>
    <w:rsid w:val="00815439"/>
    <w:rsid w:val="00822B64"/>
    <w:rsid w:val="00825D66"/>
    <w:rsid w:val="0082696D"/>
    <w:rsid w:val="00830816"/>
    <w:rsid w:val="00831AAB"/>
    <w:rsid w:val="00832B42"/>
    <w:rsid w:val="00833BCD"/>
    <w:rsid w:val="00834B82"/>
    <w:rsid w:val="0083574E"/>
    <w:rsid w:val="0083640C"/>
    <w:rsid w:val="008374B7"/>
    <w:rsid w:val="008374E3"/>
    <w:rsid w:val="008402B0"/>
    <w:rsid w:val="00840588"/>
    <w:rsid w:val="0084090A"/>
    <w:rsid w:val="0084157B"/>
    <w:rsid w:val="00842BFB"/>
    <w:rsid w:val="008432B2"/>
    <w:rsid w:val="00846B85"/>
    <w:rsid w:val="00846F47"/>
    <w:rsid w:val="00847DC3"/>
    <w:rsid w:val="00847F49"/>
    <w:rsid w:val="00850F43"/>
    <w:rsid w:val="0085234C"/>
    <w:rsid w:val="008535C5"/>
    <w:rsid w:val="00853765"/>
    <w:rsid w:val="0085516F"/>
    <w:rsid w:val="00856A74"/>
    <w:rsid w:val="008629A4"/>
    <w:rsid w:val="008634D3"/>
    <w:rsid w:val="00864F80"/>
    <w:rsid w:val="0086675D"/>
    <w:rsid w:val="00867186"/>
    <w:rsid w:val="00870AF6"/>
    <w:rsid w:val="00871E9E"/>
    <w:rsid w:val="00872633"/>
    <w:rsid w:val="00875215"/>
    <w:rsid w:val="0087652F"/>
    <w:rsid w:val="00877452"/>
    <w:rsid w:val="008774AA"/>
    <w:rsid w:val="00881268"/>
    <w:rsid w:val="00881779"/>
    <w:rsid w:val="00881C10"/>
    <w:rsid w:val="0088394A"/>
    <w:rsid w:val="00884DBA"/>
    <w:rsid w:val="008860BD"/>
    <w:rsid w:val="00887399"/>
    <w:rsid w:val="0088779E"/>
    <w:rsid w:val="008912AF"/>
    <w:rsid w:val="00892114"/>
    <w:rsid w:val="00892CB9"/>
    <w:rsid w:val="008935CB"/>
    <w:rsid w:val="00895B41"/>
    <w:rsid w:val="008A0596"/>
    <w:rsid w:val="008A1D17"/>
    <w:rsid w:val="008A2050"/>
    <w:rsid w:val="008A2145"/>
    <w:rsid w:val="008B0E7E"/>
    <w:rsid w:val="008B1B73"/>
    <w:rsid w:val="008B65BD"/>
    <w:rsid w:val="008B6EEF"/>
    <w:rsid w:val="008B75DE"/>
    <w:rsid w:val="008B7900"/>
    <w:rsid w:val="008C03B7"/>
    <w:rsid w:val="008C71BF"/>
    <w:rsid w:val="008C7FE0"/>
    <w:rsid w:val="008D37BC"/>
    <w:rsid w:val="008D4005"/>
    <w:rsid w:val="008D5717"/>
    <w:rsid w:val="008D5DDD"/>
    <w:rsid w:val="008E0F0A"/>
    <w:rsid w:val="008E44A9"/>
    <w:rsid w:val="008E5324"/>
    <w:rsid w:val="008E6B4D"/>
    <w:rsid w:val="008E6BFF"/>
    <w:rsid w:val="008F21AF"/>
    <w:rsid w:val="008F2400"/>
    <w:rsid w:val="008F3F12"/>
    <w:rsid w:val="008F61BA"/>
    <w:rsid w:val="008F647F"/>
    <w:rsid w:val="008F6E3C"/>
    <w:rsid w:val="008F7C55"/>
    <w:rsid w:val="00900293"/>
    <w:rsid w:val="0090115E"/>
    <w:rsid w:val="009014B1"/>
    <w:rsid w:val="009077AB"/>
    <w:rsid w:val="00907C0D"/>
    <w:rsid w:val="00910CAA"/>
    <w:rsid w:val="00914A23"/>
    <w:rsid w:val="00917621"/>
    <w:rsid w:val="009177FE"/>
    <w:rsid w:val="00922253"/>
    <w:rsid w:val="0092261A"/>
    <w:rsid w:val="0092530F"/>
    <w:rsid w:val="00930754"/>
    <w:rsid w:val="009312A5"/>
    <w:rsid w:val="009323F2"/>
    <w:rsid w:val="0093325D"/>
    <w:rsid w:val="00934F68"/>
    <w:rsid w:val="009355AC"/>
    <w:rsid w:val="00935F38"/>
    <w:rsid w:val="00936F19"/>
    <w:rsid w:val="00937586"/>
    <w:rsid w:val="009375B8"/>
    <w:rsid w:val="0094203D"/>
    <w:rsid w:val="00947889"/>
    <w:rsid w:val="009478BD"/>
    <w:rsid w:val="00951FD5"/>
    <w:rsid w:val="00954469"/>
    <w:rsid w:val="00954A14"/>
    <w:rsid w:val="00957563"/>
    <w:rsid w:val="00960E98"/>
    <w:rsid w:val="00961BFB"/>
    <w:rsid w:val="00963A82"/>
    <w:rsid w:val="00966AC3"/>
    <w:rsid w:val="00966FCF"/>
    <w:rsid w:val="00970822"/>
    <w:rsid w:val="00972071"/>
    <w:rsid w:val="00972912"/>
    <w:rsid w:val="00974090"/>
    <w:rsid w:val="00976BD9"/>
    <w:rsid w:val="00976D1F"/>
    <w:rsid w:val="00981C81"/>
    <w:rsid w:val="00981D96"/>
    <w:rsid w:val="00984322"/>
    <w:rsid w:val="00997147"/>
    <w:rsid w:val="009A2D24"/>
    <w:rsid w:val="009A456C"/>
    <w:rsid w:val="009A459F"/>
    <w:rsid w:val="009B00E0"/>
    <w:rsid w:val="009B1636"/>
    <w:rsid w:val="009B292A"/>
    <w:rsid w:val="009B4304"/>
    <w:rsid w:val="009B7462"/>
    <w:rsid w:val="009B76D5"/>
    <w:rsid w:val="009C0842"/>
    <w:rsid w:val="009C165D"/>
    <w:rsid w:val="009C3CEA"/>
    <w:rsid w:val="009C583D"/>
    <w:rsid w:val="009C7A89"/>
    <w:rsid w:val="009D2611"/>
    <w:rsid w:val="009D79D2"/>
    <w:rsid w:val="009E151D"/>
    <w:rsid w:val="009E247C"/>
    <w:rsid w:val="009E31BA"/>
    <w:rsid w:val="009E502E"/>
    <w:rsid w:val="009F0528"/>
    <w:rsid w:val="009F06C6"/>
    <w:rsid w:val="009F0806"/>
    <w:rsid w:val="009F17DB"/>
    <w:rsid w:val="009F1B07"/>
    <w:rsid w:val="009F233B"/>
    <w:rsid w:val="00A00421"/>
    <w:rsid w:val="00A05D16"/>
    <w:rsid w:val="00A0659F"/>
    <w:rsid w:val="00A0739D"/>
    <w:rsid w:val="00A079BA"/>
    <w:rsid w:val="00A10486"/>
    <w:rsid w:val="00A10B0D"/>
    <w:rsid w:val="00A14E8C"/>
    <w:rsid w:val="00A20C70"/>
    <w:rsid w:val="00A23DE2"/>
    <w:rsid w:val="00A2575E"/>
    <w:rsid w:val="00A33875"/>
    <w:rsid w:val="00A360A1"/>
    <w:rsid w:val="00A402B3"/>
    <w:rsid w:val="00A40C14"/>
    <w:rsid w:val="00A43D95"/>
    <w:rsid w:val="00A45712"/>
    <w:rsid w:val="00A46F61"/>
    <w:rsid w:val="00A5268A"/>
    <w:rsid w:val="00A544B7"/>
    <w:rsid w:val="00A5497B"/>
    <w:rsid w:val="00A5508D"/>
    <w:rsid w:val="00A618CF"/>
    <w:rsid w:val="00A61BDF"/>
    <w:rsid w:val="00A62770"/>
    <w:rsid w:val="00A62EEB"/>
    <w:rsid w:val="00A660FF"/>
    <w:rsid w:val="00A663BC"/>
    <w:rsid w:val="00A6685F"/>
    <w:rsid w:val="00A73395"/>
    <w:rsid w:val="00A76595"/>
    <w:rsid w:val="00A771E3"/>
    <w:rsid w:val="00A77C83"/>
    <w:rsid w:val="00A81C4F"/>
    <w:rsid w:val="00A823EA"/>
    <w:rsid w:val="00A82B4C"/>
    <w:rsid w:val="00A845A8"/>
    <w:rsid w:val="00A84A02"/>
    <w:rsid w:val="00A863B5"/>
    <w:rsid w:val="00A86D38"/>
    <w:rsid w:val="00A877A7"/>
    <w:rsid w:val="00A92E04"/>
    <w:rsid w:val="00A93A4C"/>
    <w:rsid w:val="00A94D5D"/>
    <w:rsid w:val="00A95C76"/>
    <w:rsid w:val="00AA1D9B"/>
    <w:rsid w:val="00AA2543"/>
    <w:rsid w:val="00AA3804"/>
    <w:rsid w:val="00AA3866"/>
    <w:rsid w:val="00AA4994"/>
    <w:rsid w:val="00AA53EE"/>
    <w:rsid w:val="00AA55C2"/>
    <w:rsid w:val="00AB0ACA"/>
    <w:rsid w:val="00AB1744"/>
    <w:rsid w:val="00AB1D41"/>
    <w:rsid w:val="00AB22E0"/>
    <w:rsid w:val="00AB46AA"/>
    <w:rsid w:val="00AB58B3"/>
    <w:rsid w:val="00AB60B5"/>
    <w:rsid w:val="00AB6E03"/>
    <w:rsid w:val="00AB6FFC"/>
    <w:rsid w:val="00AC27A7"/>
    <w:rsid w:val="00AC5E9A"/>
    <w:rsid w:val="00AC704B"/>
    <w:rsid w:val="00AD553E"/>
    <w:rsid w:val="00AD5848"/>
    <w:rsid w:val="00AD77F9"/>
    <w:rsid w:val="00AD7FDB"/>
    <w:rsid w:val="00AE1DCE"/>
    <w:rsid w:val="00AE5ADA"/>
    <w:rsid w:val="00AF2048"/>
    <w:rsid w:val="00AF2BC9"/>
    <w:rsid w:val="00AF53F2"/>
    <w:rsid w:val="00AF5CC6"/>
    <w:rsid w:val="00AF6145"/>
    <w:rsid w:val="00AF7168"/>
    <w:rsid w:val="00AF71CF"/>
    <w:rsid w:val="00B01386"/>
    <w:rsid w:val="00B016F3"/>
    <w:rsid w:val="00B01915"/>
    <w:rsid w:val="00B01BB5"/>
    <w:rsid w:val="00B026CC"/>
    <w:rsid w:val="00B032BE"/>
    <w:rsid w:val="00B04AF4"/>
    <w:rsid w:val="00B05214"/>
    <w:rsid w:val="00B12E20"/>
    <w:rsid w:val="00B14E17"/>
    <w:rsid w:val="00B16700"/>
    <w:rsid w:val="00B16FE4"/>
    <w:rsid w:val="00B233A8"/>
    <w:rsid w:val="00B30D97"/>
    <w:rsid w:val="00B31074"/>
    <w:rsid w:val="00B3181A"/>
    <w:rsid w:val="00B33515"/>
    <w:rsid w:val="00B35A7C"/>
    <w:rsid w:val="00B3617D"/>
    <w:rsid w:val="00B419EA"/>
    <w:rsid w:val="00B446E0"/>
    <w:rsid w:val="00B44ECD"/>
    <w:rsid w:val="00B450D1"/>
    <w:rsid w:val="00B526A7"/>
    <w:rsid w:val="00B536D6"/>
    <w:rsid w:val="00B53D47"/>
    <w:rsid w:val="00B54A25"/>
    <w:rsid w:val="00B54B8E"/>
    <w:rsid w:val="00B552F8"/>
    <w:rsid w:val="00B56811"/>
    <w:rsid w:val="00B60326"/>
    <w:rsid w:val="00B6077B"/>
    <w:rsid w:val="00B618C3"/>
    <w:rsid w:val="00B622B2"/>
    <w:rsid w:val="00B63652"/>
    <w:rsid w:val="00B667D2"/>
    <w:rsid w:val="00B668B0"/>
    <w:rsid w:val="00B70F5C"/>
    <w:rsid w:val="00B71873"/>
    <w:rsid w:val="00B736B8"/>
    <w:rsid w:val="00B75AE5"/>
    <w:rsid w:val="00B800C0"/>
    <w:rsid w:val="00B8132B"/>
    <w:rsid w:val="00B8295C"/>
    <w:rsid w:val="00B84B59"/>
    <w:rsid w:val="00B84C5A"/>
    <w:rsid w:val="00B84E4D"/>
    <w:rsid w:val="00B858F5"/>
    <w:rsid w:val="00B876BD"/>
    <w:rsid w:val="00B90663"/>
    <w:rsid w:val="00B93668"/>
    <w:rsid w:val="00B94428"/>
    <w:rsid w:val="00B94A8F"/>
    <w:rsid w:val="00B9580C"/>
    <w:rsid w:val="00B963E0"/>
    <w:rsid w:val="00B97650"/>
    <w:rsid w:val="00BA68C6"/>
    <w:rsid w:val="00BB12F1"/>
    <w:rsid w:val="00BB15BC"/>
    <w:rsid w:val="00BB20EB"/>
    <w:rsid w:val="00BB276E"/>
    <w:rsid w:val="00BB3FEE"/>
    <w:rsid w:val="00BB5EB0"/>
    <w:rsid w:val="00BC08F1"/>
    <w:rsid w:val="00BC245A"/>
    <w:rsid w:val="00BD16FA"/>
    <w:rsid w:val="00BD41C3"/>
    <w:rsid w:val="00BD488B"/>
    <w:rsid w:val="00BD5F9B"/>
    <w:rsid w:val="00BD654A"/>
    <w:rsid w:val="00BD7CCC"/>
    <w:rsid w:val="00BD7E03"/>
    <w:rsid w:val="00BE002A"/>
    <w:rsid w:val="00BE0283"/>
    <w:rsid w:val="00BE1BC9"/>
    <w:rsid w:val="00BE35DB"/>
    <w:rsid w:val="00BE5CDA"/>
    <w:rsid w:val="00BE608F"/>
    <w:rsid w:val="00BF23BB"/>
    <w:rsid w:val="00BF3096"/>
    <w:rsid w:val="00BF33DD"/>
    <w:rsid w:val="00BF5755"/>
    <w:rsid w:val="00BF684B"/>
    <w:rsid w:val="00C001C6"/>
    <w:rsid w:val="00C016F3"/>
    <w:rsid w:val="00C07136"/>
    <w:rsid w:val="00C07B18"/>
    <w:rsid w:val="00C10683"/>
    <w:rsid w:val="00C15193"/>
    <w:rsid w:val="00C15609"/>
    <w:rsid w:val="00C15F6A"/>
    <w:rsid w:val="00C217A7"/>
    <w:rsid w:val="00C23EA7"/>
    <w:rsid w:val="00C256F3"/>
    <w:rsid w:val="00C270A2"/>
    <w:rsid w:val="00C276D0"/>
    <w:rsid w:val="00C315B5"/>
    <w:rsid w:val="00C316ED"/>
    <w:rsid w:val="00C32462"/>
    <w:rsid w:val="00C35E28"/>
    <w:rsid w:val="00C37909"/>
    <w:rsid w:val="00C426AF"/>
    <w:rsid w:val="00C430F1"/>
    <w:rsid w:val="00C43D8F"/>
    <w:rsid w:val="00C469C1"/>
    <w:rsid w:val="00C47973"/>
    <w:rsid w:val="00C50659"/>
    <w:rsid w:val="00C51B39"/>
    <w:rsid w:val="00C5282C"/>
    <w:rsid w:val="00C52963"/>
    <w:rsid w:val="00C5338A"/>
    <w:rsid w:val="00C54EF9"/>
    <w:rsid w:val="00C55087"/>
    <w:rsid w:val="00C56BBF"/>
    <w:rsid w:val="00C572AA"/>
    <w:rsid w:val="00C575E6"/>
    <w:rsid w:val="00C57A9A"/>
    <w:rsid w:val="00C6016A"/>
    <w:rsid w:val="00C60B3F"/>
    <w:rsid w:val="00C61711"/>
    <w:rsid w:val="00C623EB"/>
    <w:rsid w:val="00C62C87"/>
    <w:rsid w:val="00C63D0D"/>
    <w:rsid w:val="00C64C6B"/>
    <w:rsid w:val="00C6588D"/>
    <w:rsid w:val="00C665A8"/>
    <w:rsid w:val="00C66F2E"/>
    <w:rsid w:val="00C6785C"/>
    <w:rsid w:val="00C7028B"/>
    <w:rsid w:val="00C70FD1"/>
    <w:rsid w:val="00C71BEB"/>
    <w:rsid w:val="00C72B76"/>
    <w:rsid w:val="00C733AA"/>
    <w:rsid w:val="00C74E57"/>
    <w:rsid w:val="00C74E7C"/>
    <w:rsid w:val="00C75B2B"/>
    <w:rsid w:val="00C7637F"/>
    <w:rsid w:val="00C77C35"/>
    <w:rsid w:val="00C83027"/>
    <w:rsid w:val="00C84B8A"/>
    <w:rsid w:val="00C85E65"/>
    <w:rsid w:val="00C87CA1"/>
    <w:rsid w:val="00C911B4"/>
    <w:rsid w:val="00C91A44"/>
    <w:rsid w:val="00C91B3B"/>
    <w:rsid w:val="00C93F1B"/>
    <w:rsid w:val="00C94262"/>
    <w:rsid w:val="00C9461D"/>
    <w:rsid w:val="00C95A92"/>
    <w:rsid w:val="00C976E1"/>
    <w:rsid w:val="00CA148E"/>
    <w:rsid w:val="00CA2321"/>
    <w:rsid w:val="00CA2684"/>
    <w:rsid w:val="00CA3A9A"/>
    <w:rsid w:val="00CA40B2"/>
    <w:rsid w:val="00CA61C5"/>
    <w:rsid w:val="00CA78FA"/>
    <w:rsid w:val="00CA7BFF"/>
    <w:rsid w:val="00CB1CFC"/>
    <w:rsid w:val="00CB58F4"/>
    <w:rsid w:val="00CB6855"/>
    <w:rsid w:val="00CB6BC1"/>
    <w:rsid w:val="00CB7021"/>
    <w:rsid w:val="00CC0B10"/>
    <w:rsid w:val="00CD2498"/>
    <w:rsid w:val="00CD305D"/>
    <w:rsid w:val="00CD3294"/>
    <w:rsid w:val="00CD3630"/>
    <w:rsid w:val="00CD4524"/>
    <w:rsid w:val="00CD6D53"/>
    <w:rsid w:val="00CD784D"/>
    <w:rsid w:val="00CE48A0"/>
    <w:rsid w:val="00CF3A1C"/>
    <w:rsid w:val="00CF40F8"/>
    <w:rsid w:val="00CF544B"/>
    <w:rsid w:val="00CF5831"/>
    <w:rsid w:val="00CF6799"/>
    <w:rsid w:val="00D008DA"/>
    <w:rsid w:val="00D019EE"/>
    <w:rsid w:val="00D0416F"/>
    <w:rsid w:val="00D05517"/>
    <w:rsid w:val="00D055D6"/>
    <w:rsid w:val="00D05851"/>
    <w:rsid w:val="00D10FED"/>
    <w:rsid w:val="00D11736"/>
    <w:rsid w:val="00D12EE8"/>
    <w:rsid w:val="00D140A0"/>
    <w:rsid w:val="00D14CDF"/>
    <w:rsid w:val="00D15FF1"/>
    <w:rsid w:val="00D167F4"/>
    <w:rsid w:val="00D17588"/>
    <w:rsid w:val="00D2092A"/>
    <w:rsid w:val="00D2216D"/>
    <w:rsid w:val="00D23079"/>
    <w:rsid w:val="00D25352"/>
    <w:rsid w:val="00D27206"/>
    <w:rsid w:val="00D3063B"/>
    <w:rsid w:val="00D31A6F"/>
    <w:rsid w:val="00D35328"/>
    <w:rsid w:val="00D353D1"/>
    <w:rsid w:val="00D367DB"/>
    <w:rsid w:val="00D36E05"/>
    <w:rsid w:val="00D4024E"/>
    <w:rsid w:val="00D408F4"/>
    <w:rsid w:val="00D413D6"/>
    <w:rsid w:val="00D43977"/>
    <w:rsid w:val="00D44AC9"/>
    <w:rsid w:val="00D44F27"/>
    <w:rsid w:val="00D45304"/>
    <w:rsid w:val="00D46165"/>
    <w:rsid w:val="00D461C7"/>
    <w:rsid w:val="00D46830"/>
    <w:rsid w:val="00D46E83"/>
    <w:rsid w:val="00D50424"/>
    <w:rsid w:val="00D5081E"/>
    <w:rsid w:val="00D525C9"/>
    <w:rsid w:val="00D53105"/>
    <w:rsid w:val="00D57C9A"/>
    <w:rsid w:val="00D57D3E"/>
    <w:rsid w:val="00D60A1E"/>
    <w:rsid w:val="00D624D2"/>
    <w:rsid w:val="00D626FF"/>
    <w:rsid w:val="00D633F7"/>
    <w:rsid w:val="00D67F50"/>
    <w:rsid w:val="00D701F3"/>
    <w:rsid w:val="00D74988"/>
    <w:rsid w:val="00D76249"/>
    <w:rsid w:val="00D84395"/>
    <w:rsid w:val="00D844AD"/>
    <w:rsid w:val="00D849D4"/>
    <w:rsid w:val="00D85851"/>
    <w:rsid w:val="00D90284"/>
    <w:rsid w:val="00D95D17"/>
    <w:rsid w:val="00D96CCC"/>
    <w:rsid w:val="00D977FD"/>
    <w:rsid w:val="00DA1633"/>
    <w:rsid w:val="00DA1B90"/>
    <w:rsid w:val="00DA38A7"/>
    <w:rsid w:val="00DA7D12"/>
    <w:rsid w:val="00DB01CF"/>
    <w:rsid w:val="00DB1B7A"/>
    <w:rsid w:val="00DB23ED"/>
    <w:rsid w:val="00DB51F3"/>
    <w:rsid w:val="00DB7BEB"/>
    <w:rsid w:val="00DC23CF"/>
    <w:rsid w:val="00DC3E25"/>
    <w:rsid w:val="00DC6562"/>
    <w:rsid w:val="00DD2688"/>
    <w:rsid w:val="00DD40E1"/>
    <w:rsid w:val="00DD6455"/>
    <w:rsid w:val="00DE1263"/>
    <w:rsid w:val="00DE130D"/>
    <w:rsid w:val="00DE24CF"/>
    <w:rsid w:val="00DE407C"/>
    <w:rsid w:val="00DE6532"/>
    <w:rsid w:val="00DE7C7D"/>
    <w:rsid w:val="00DF2992"/>
    <w:rsid w:val="00DF2D0C"/>
    <w:rsid w:val="00DF7D72"/>
    <w:rsid w:val="00DF7F99"/>
    <w:rsid w:val="00E00058"/>
    <w:rsid w:val="00E01B9D"/>
    <w:rsid w:val="00E0468F"/>
    <w:rsid w:val="00E04F5E"/>
    <w:rsid w:val="00E050AF"/>
    <w:rsid w:val="00E0522E"/>
    <w:rsid w:val="00E062A2"/>
    <w:rsid w:val="00E06BC8"/>
    <w:rsid w:val="00E10309"/>
    <w:rsid w:val="00E114B9"/>
    <w:rsid w:val="00E120F4"/>
    <w:rsid w:val="00E17172"/>
    <w:rsid w:val="00E231EF"/>
    <w:rsid w:val="00E24491"/>
    <w:rsid w:val="00E2525D"/>
    <w:rsid w:val="00E3181C"/>
    <w:rsid w:val="00E325B3"/>
    <w:rsid w:val="00E3280A"/>
    <w:rsid w:val="00E340D3"/>
    <w:rsid w:val="00E34885"/>
    <w:rsid w:val="00E372AF"/>
    <w:rsid w:val="00E37D68"/>
    <w:rsid w:val="00E40EAE"/>
    <w:rsid w:val="00E41C80"/>
    <w:rsid w:val="00E436AC"/>
    <w:rsid w:val="00E4388A"/>
    <w:rsid w:val="00E44F7A"/>
    <w:rsid w:val="00E44FF8"/>
    <w:rsid w:val="00E470FA"/>
    <w:rsid w:val="00E5066A"/>
    <w:rsid w:val="00E52CF9"/>
    <w:rsid w:val="00E537B0"/>
    <w:rsid w:val="00E53E31"/>
    <w:rsid w:val="00E554AE"/>
    <w:rsid w:val="00E63F34"/>
    <w:rsid w:val="00E63FEA"/>
    <w:rsid w:val="00E65431"/>
    <w:rsid w:val="00E6644A"/>
    <w:rsid w:val="00E664FE"/>
    <w:rsid w:val="00E66B7E"/>
    <w:rsid w:val="00E66F21"/>
    <w:rsid w:val="00E6715A"/>
    <w:rsid w:val="00E749E5"/>
    <w:rsid w:val="00E74ACD"/>
    <w:rsid w:val="00E75DC9"/>
    <w:rsid w:val="00E7685F"/>
    <w:rsid w:val="00E7793D"/>
    <w:rsid w:val="00E81610"/>
    <w:rsid w:val="00E83B6C"/>
    <w:rsid w:val="00E84038"/>
    <w:rsid w:val="00E84910"/>
    <w:rsid w:val="00E85B28"/>
    <w:rsid w:val="00E85E49"/>
    <w:rsid w:val="00E90683"/>
    <w:rsid w:val="00E91976"/>
    <w:rsid w:val="00E93D88"/>
    <w:rsid w:val="00E947A6"/>
    <w:rsid w:val="00E94F43"/>
    <w:rsid w:val="00E95616"/>
    <w:rsid w:val="00E97A4A"/>
    <w:rsid w:val="00E97FC7"/>
    <w:rsid w:val="00EA0690"/>
    <w:rsid w:val="00EA12FF"/>
    <w:rsid w:val="00EA2FD2"/>
    <w:rsid w:val="00EA38A7"/>
    <w:rsid w:val="00EA3956"/>
    <w:rsid w:val="00EA3FAA"/>
    <w:rsid w:val="00EA7136"/>
    <w:rsid w:val="00EB0D30"/>
    <w:rsid w:val="00EB1206"/>
    <w:rsid w:val="00EB2259"/>
    <w:rsid w:val="00EB28BF"/>
    <w:rsid w:val="00EB3000"/>
    <w:rsid w:val="00EB325A"/>
    <w:rsid w:val="00EB5A3F"/>
    <w:rsid w:val="00EC02A5"/>
    <w:rsid w:val="00EC1269"/>
    <w:rsid w:val="00EC176B"/>
    <w:rsid w:val="00EC2793"/>
    <w:rsid w:val="00EC33CD"/>
    <w:rsid w:val="00EC5BE5"/>
    <w:rsid w:val="00EC6904"/>
    <w:rsid w:val="00EC7CC4"/>
    <w:rsid w:val="00ED1261"/>
    <w:rsid w:val="00ED2650"/>
    <w:rsid w:val="00ED396A"/>
    <w:rsid w:val="00ED3B32"/>
    <w:rsid w:val="00ED6AD3"/>
    <w:rsid w:val="00ED6DF8"/>
    <w:rsid w:val="00ED721A"/>
    <w:rsid w:val="00EE393D"/>
    <w:rsid w:val="00EE4640"/>
    <w:rsid w:val="00EE4F37"/>
    <w:rsid w:val="00EE6FAD"/>
    <w:rsid w:val="00EF01CF"/>
    <w:rsid w:val="00EF12F6"/>
    <w:rsid w:val="00EF3430"/>
    <w:rsid w:val="00EF5E63"/>
    <w:rsid w:val="00EF65D3"/>
    <w:rsid w:val="00EF6A47"/>
    <w:rsid w:val="00EF7A18"/>
    <w:rsid w:val="00EF7AF9"/>
    <w:rsid w:val="00F00952"/>
    <w:rsid w:val="00F01495"/>
    <w:rsid w:val="00F070BC"/>
    <w:rsid w:val="00F100C7"/>
    <w:rsid w:val="00F10138"/>
    <w:rsid w:val="00F10E2C"/>
    <w:rsid w:val="00F13F92"/>
    <w:rsid w:val="00F21EA5"/>
    <w:rsid w:val="00F22ECA"/>
    <w:rsid w:val="00F240E8"/>
    <w:rsid w:val="00F244FA"/>
    <w:rsid w:val="00F247BF"/>
    <w:rsid w:val="00F31593"/>
    <w:rsid w:val="00F338E7"/>
    <w:rsid w:val="00F366A2"/>
    <w:rsid w:val="00F37418"/>
    <w:rsid w:val="00F374B2"/>
    <w:rsid w:val="00F44F43"/>
    <w:rsid w:val="00F450E1"/>
    <w:rsid w:val="00F46205"/>
    <w:rsid w:val="00F50DF4"/>
    <w:rsid w:val="00F54457"/>
    <w:rsid w:val="00F555BC"/>
    <w:rsid w:val="00F57AFE"/>
    <w:rsid w:val="00F601E4"/>
    <w:rsid w:val="00F6058E"/>
    <w:rsid w:val="00F6278E"/>
    <w:rsid w:val="00F63C41"/>
    <w:rsid w:val="00F63CD1"/>
    <w:rsid w:val="00F63E96"/>
    <w:rsid w:val="00F64CC8"/>
    <w:rsid w:val="00F65DEC"/>
    <w:rsid w:val="00F701E3"/>
    <w:rsid w:val="00F71008"/>
    <w:rsid w:val="00F71F8C"/>
    <w:rsid w:val="00F763E3"/>
    <w:rsid w:val="00F80821"/>
    <w:rsid w:val="00F82FA6"/>
    <w:rsid w:val="00F85256"/>
    <w:rsid w:val="00F86AD4"/>
    <w:rsid w:val="00F878CD"/>
    <w:rsid w:val="00F935CA"/>
    <w:rsid w:val="00F94F8E"/>
    <w:rsid w:val="00FA0113"/>
    <w:rsid w:val="00FA02B6"/>
    <w:rsid w:val="00FA12B2"/>
    <w:rsid w:val="00FA22A9"/>
    <w:rsid w:val="00FA25D8"/>
    <w:rsid w:val="00FA5F4A"/>
    <w:rsid w:val="00FA7610"/>
    <w:rsid w:val="00FB02BD"/>
    <w:rsid w:val="00FB398F"/>
    <w:rsid w:val="00FB4EF8"/>
    <w:rsid w:val="00FB54AE"/>
    <w:rsid w:val="00FB56EB"/>
    <w:rsid w:val="00FB5B3D"/>
    <w:rsid w:val="00FB709A"/>
    <w:rsid w:val="00FB78DD"/>
    <w:rsid w:val="00FC3EF3"/>
    <w:rsid w:val="00FC5D35"/>
    <w:rsid w:val="00FD09CB"/>
    <w:rsid w:val="00FD2049"/>
    <w:rsid w:val="00FD2140"/>
    <w:rsid w:val="00FD4869"/>
    <w:rsid w:val="00FD5B5F"/>
    <w:rsid w:val="00FD5BD6"/>
    <w:rsid w:val="00FD5BDE"/>
    <w:rsid w:val="00FD68EC"/>
    <w:rsid w:val="00FE24A5"/>
    <w:rsid w:val="00FE2B32"/>
    <w:rsid w:val="00FE3076"/>
    <w:rsid w:val="00FE31E5"/>
    <w:rsid w:val="00FE412B"/>
    <w:rsid w:val="00FE5DDC"/>
    <w:rsid w:val="00FE69B6"/>
    <w:rsid w:val="00FE6C7B"/>
    <w:rsid w:val="00FE7F09"/>
    <w:rsid w:val="00FF19AD"/>
    <w:rsid w:val="00FF1EB5"/>
    <w:rsid w:val="00FF292D"/>
    <w:rsid w:val="00FF298D"/>
    <w:rsid w:val="00FF4B55"/>
    <w:rsid w:val="00FF59BB"/>
    <w:rsid w:val="00FF6287"/>
    <w:rsid w:val="00FF6A74"/>
    <w:rsid w:val="00FF73A3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7F914"/>
  <w15:docId w15:val="{E4081A05-3F11-47DF-992D-D1B29E13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B536D6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B536D6"/>
    <w:rPr>
      <w:color w:val="605E5C"/>
      <w:shd w:val="clear" w:color="auto" w:fill="E1DFDD"/>
    </w:rPr>
  </w:style>
  <w:style w:type="table" w:customStyle="1" w:styleId="GridTable1Light-Accent11">
    <w:name w:val="Grid Table 1 Light - Accent 11"/>
    <w:basedOn w:val="TableNormal"/>
    <w:uiPriority w:val="46"/>
    <w:rsid w:val="00A92E0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ikis@cystat.mof.gov.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ystatdb23px.cystat.gov.cy/pxweb/el/8.CYSTAT-DB/8.CYSTAT-DB__Price%20Indice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B5724-D3FC-4721-A520-D7BC2C19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6995</CharactersWithSpaces>
  <SharedDoc>false</SharedDoc>
  <HLinks>
    <vt:vector size="42" baseType="variant">
      <vt:variant>
        <vt:i4>2883594</vt:i4>
      </vt:variant>
      <vt:variant>
        <vt:i4>15</vt:i4>
      </vt:variant>
      <vt:variant>
        <vt:i4>0</vt:i4>
      </vt:variant>
      <vt:variant>
        <vt:i4>5</vt:i4>
      </vt:variant>
      <vt:variant>
        <vt:lpwstr>mailto:cpapageorgiou@cystat.mof.gov.cy</vt:lpwstr>
      </vt:variant>
      <vt:variant>
        <vt:lpwstr/>
      </vt:variant>
      <vt:variant>
        <vt:i4>1179738</vt:i4>
      </vt:variant>
      <vt:variant>
        <vt:i4>12</vt:i4>
      </vt:variant>
      <vt:variant>
        <vt:i4>0</vt:i4>
      </vt:variant>
      <vt:variant>
        <vt:i4>5</vt:i4>
      </vt:variant>
      <vt:variant>
        <vt:lpwstr>https://www.cystat.gov.cy/el/MethodologicalDetails?m=2091</vt:lpwstr>
      </vt:variant>
      <vt:variant>
        <vt:lpwstr/>
      </vt:variant>
      <vt:variant>
        <vt:i4>4259922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https://www.cystat.gov.cy/el/KeyFiguresList?s=47</vt:lpwstr>
      </vt:variant>
      <vt:variant>
        <vt:lpwstr/>
      </vt:variant>
      <vt:variant>
        <vt:i4>786514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https://cystatdb.cystat.gov.cy/pxweb/el/8.CYSTAT-DB/8.CYSTAT-DB__Price Indices__</vt:lpwstr>
      </vt:variant>
      <vt:variant>
        <vt:lpwstr/>
      </vt:variant>
      <vt:variant>
        <vt:i4>5046338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https://www.cystat.gov.cy/el/SubthemeStatistics?s=47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Christos Papageorgiou</cp:lastModifiedBy>
  <cp:revision>115</cp:revision>
  <cp:lastPrinted>2026-01-19T09:09:00Z</cp:lastPrinted>
  <dcterms:created xsi:type="dcterms:W3CDTF">2025-09-16T04:42:00Z</dcterms:created>
  <dcterms:modified xsi:type="dcterms:W3CDTF">2026-01-19T09:11:00Z</dcterms:modified>
</cp:coreProperties>
</file>