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CC6" w:rsidRPr="008774AA" w:rsidRDefault="00AF5CC6" w:rsidP="00AF5CC6">
      <w:pPr>
        <w:jc w:val="right"/>
        <w:rPr>
          <w:rFonts w:ascii="Verdana" w:hAnsi="Verdana" w:cs="Arial"/>
          <w:sz w:val="18"/>
          <w:szCs w:val="18"/>
        </w:rPr>
      </w:pPr>
    </w:p>
    <w:p w:rsidR="00AF5CC6" w:rsidRPr="00A12E81" w:rsidRDefault="00AF5CC6" w:rsidP="00AF5CC6">
      <w:pPr>
        <w:jc w:val="both"/>
        <w:rPr>
          <w:rFonts w:ascii="Verdana" w:hAnsi="Verdana"/>
          <w:sz w:val="18"/>
          <w:szCs w:val="18"/>
          <w:shd w:val="clear" w:color="auto" w:fill="FFFFFF"/>
          <w:lang w:val="el-GR"/>
        </w:rPr>
      </w:pPr>
    </w:p>
    <w:p w:rsidR="00AF5CC6" w:rsidRDefault="00FA02B6" w:rsidP="00AF5CC6">
      <w:pPr>
        <w:jc w:val="right"/>
        <w:rPr>
          <w:rFonts w:ascii="Verdana" w:eastAsia="Malgun Gothic" w:hAnsi="Verdana" w:cs="Arial"/>
          <w:sz w:val="18"/>
          <w:szCs w:val="18"/>
          <w:lang w:val="el-GR"/>
        </w:rPr>
      </w:pPr>
      <w:r w:rsidRPr="001B25A4">
        <w:rPr>
          <w:rFonts w:ascii="Verdana" w:eastAsia="Malgun Gothic" w:hAnsi="Verdana" w:cs="Arial"/>
          <w:sz w:val="18"/>
          <w:szCs w:val="18"/>
          <w:lang w:val="el-GR"/>
        </w:rPr>
        <w:t>1</w:t>
      </w:r>
      <w:r w:rsidR="001B25A4">
        <w:rPr>
          <w:rFonts w:ascii="Verdana" w:eastAsia="Malgun Gothic" w:hAnsi="Verdana" w:cs="Arial"/>
          <w:sz w:val="18"/>
          <w:szCs w:val="18"/>
          <w:lang/>
        </w:rPr>
        <w:t>7</w:t>
      </w:r>
      <w:r w:rsidR="00AF5CC6">
        <w:rPr>
          <w:rFonts w:ascii="Verdana" w:eastAsia="Malgun Gothic" w:hAnsi="Verdana" w:cs="Arial"/>
          <w:sz w:val="18"/>
          <w:szCs w:val="18"/>
          <w:lang w:val="el-GR"/>
        </w:rPr>
        <w:t xml:space="preserve"> </w:t>
      </w:r>
      <w:r w:rsidR="001B25A4">
        <w:rPr>
          <w:rFonts w:ascii="Verdana" w:eastAsia="Malgun Gothic" w:hAnsi="Verdana" w:cs="Arial"/>
          <w:sz w:val="18"/>
          <w:szCs w:val="18"/>
          <w:lang w:val="el-GR"/>
        </w:rPr>
        <w:t>Μαΐου</w:t>
      </w:r>
      <w:r w:rsidR="00AF5CC6" w:rsidRPr="00936735">
        <w:rPr>
          <w:rFonts w:ascii="Verdana" w:eastAsia="Malgun Gothic" w:hAnsi="Verdana" w:cs="Arial"/>
          <w:sz w:val="18"/>
          <w:szCs w:val="18"/>
          <w:lang w:val="el-GR"/>
        </w:rPr>
        <w:t>, 202</w:t>
      </w:r>
      <w:r w:rsidR="00FB56EB">
        <w:rPr>
          <w:rFonts w:ascii="Verdana" w:eastAsia="Malgun Gothic" w:hAnsi="Verdana" w:cs="Arial"/>
          <w:sz w:val="18"/>
          <w:szCs w:val="18"/>
          <w:lang w:val="el-GR"/>
        </w:rPr>
        <w:t>3</w:t>
      </w:r>
    </w:p>
    <w:p w:rsidR="00AF5CC6" w:rsidRDefault="00AF5CC6" w:rsidP="00AF5CC6">
      <w:pPr>
        <w:jc w:val="right"/>
        <w:rPr>
          <w:rFonts w:ascii="Verdana" w:eastAsia="Malgun Gothic" w:hAnsi="Verdana" w:cs="Arial"/>
          <w:sz w:val="18"/>
          <w:szCs w:val="18"/>
          <w:lang w:val="el-GR"/>
        </w:rPr>
      </w:pPr>
    </w:p>
    <w:p w:rsidR="008774AA" w:rsidRDefault="008774AA" w:rsidP="00AF5CC6">
      <w:pPr>
        <w:jc w:val="right"/>
        <w:rPr>
          <w:rFonts w:ascii="Verdana" w:eastAsia="Malgun Gothic" w:hAnsi="Verdana" w:cs="Arial"/>
          <w:sz w:val="18"/>
          <w:szCs w:val="18"/>
          <w:lang w:val="el-GR"/>
        </w:rPr>
      </w:pPr>
    </w:p>
    <w:p w:rsidR="008774AA" w:rsidRPr="00936735" w:rsidRDefault="008774AA" w:rsidP="00AF5CC6">
      <w:pPr>
        <w:jc w:val="right"/>
        <w:rPr>
          <w:rFonts w:ascii="Verdana" w:eastAsia="Malgun Gothic" w:hAnsi="Verdana" w:cs="Arial"/>
          <w:sz w:val="18"/>
          <w:szCs w:val="18"/>
          <w:lang w:val="el-GR"/>
        </w:rPr>
      </w:pPr>
    </w:p>
    <w:p w:rsidR="00AF5CC6" w:rsidRPr="00F06A85" w:rsidRDefault="00AF5CC6" w:rsidP="00AF5CC6">
      <w:pPr>
        <w:jc w:val="center"/>
        <w:rPr>
          <w:rFonts w:ascii="Verdana" w:eastAsia="Malgun Gothic" w:hAnsi="Verdana" w:cs="Arial"/>
          <w:b/>
          <w:lang w:val="el-GR"/>
        </w:rPr>
      </w:pPr>
      <w:r w:rsidRPr="00936735">
        <w:rPr>
          <w:rFonts w:ascii="Verdana" w:eastAsia="Malgun Gothic" w:hAnsi="Verdana" w:cs="Arial"/>
          <w:b/>
          <w:sz w:val="24"/>
          <w:szCs w:val="24"/>
          <w:lang w:val="el-GR"/>
        </w:rPr>
        <w:t>ΔΕΛΤΙΟ</w:t>
      </w:r>
      <w:r w:rsidRPr="00F06A85">
        <w:rPr>
          <w:rFonts w:ascii="Verdana" w:eastAsia="Malgun Gothic" w:hAnsi="Verdana" w:cs="Arial"/>
          <w:b/>
          <w:lang w:val="el-GR"/>
        </w:rPr>
        <w:t xml:space="preserve"> ΤΥΠΟΥ</w:t>
      </w:r>
    </w:p>
    <w:p w:rsidR="00AF5CC6" w:rsidRDefault="00AF5CC6" w:rsidP="00AF5CC6">
      <w:pPr>
        <w:pStyle w:val="Heading6"/>
        <w:jc w:val="left"/>
        <w:rPr>
          <w:rFonts w:ascii="Verdana" w:eastAsia="Malgun Gothic" w:hAnsi="Verdana" w:cs="Arial"/>
          <w:b w:val="0"/>
          <w:szCs w:val="22"/>
        </w:rPr>
      </w:pPr>
    </w:p>
    <w:p w:rsidR="00AF5CC6" w:rsidRPr="000E7206" w:rsidRDefault="00AF5CC6" w:rsidP="00AF5CC6">
      <w:pPr>
        <w:pStyle w:val="Heading6"/>
        <w:jc w:val="left"/>
        <w:rPr>
          <w:rFonts w:ascii="Verdana" w:eastAsia="Malgun Gothic" w:hAnsi="Verdana" w:cs="Arial"/>
          <w:b w:val="0"/>
          <w:szCs w:val="22"/>
        </w:rPr>
      </w:pPr>
      <w:r>
        <w:rPr>
          <w:rFonts w:ascii="Verdana" w:eastAsia="Malgun Gothic" w:hAnsi="Verdana" w:cs="Arial"/>
          <w:b w:val="0"/>
          <w:szCs w:val="22"/>
        </w:rPr>
        <w:t xml:space="preserve">ΕΝΑΡΜΟΝΙΣΜΕΝΟΣ </w:t>
      </w:r>
      <w:r w:rsidRPr="004F03FD">
        <w:rPr>
          <w:rFonts w:ascii="Verdana" w:eastAsia="Malgun Gothic" w:hAnsi="Verdana" w:cs="Arial"/>
          <w:b w:val="0"/>
          <w:szCs w:val="22"/>
        </w:rPr>
        <w:t>ΔΕΙΚΤΗΣ ΤΙΜΩΝ ΚΑΤΑΝΑΛΩΤΗ(</w:t>
      </w:r>
      <w:proofErr w:type="spellStart"/>
      <w:r>
        <w:rPr>
          <w:rFonts w:ascii="Verdana" w:eastAsia="Malgun Gothic" w:hAnsi="Verdana" w:cs="Arial"/>
          <w:b w:val="0"/>
          <w:szCs w:val="22"/>
        </w:rPr>
        <w:t>Εν</w:t>
      </w:r>
      <w:r w:rsidRPr="004F03FD">
        <w:rPr>
          <w:rFonts w:ascii="Verdana" w:eastAsia="Malgun Gothic" w:hAnsi="Verdana" w:cs="Arial"/>
          <w:b w:val="0"/>
          <w:szCs w:val="22"/>
        </w:rPr>
        <w:t>ΔΤΚ</w:t>
      </w:r>
      <w:proofErr w:type="spellEnd"/>
      <w:r w:rsidRPr="004F03FD">
        <w:rPr>
          <w:rFonts w:ascii="Verdana" w:eastAsia="Malgun Gothic" w:hAnsi="Verdana" w:cs="Arial"/>
          <w:b w:val="0"/>
          <w:szCs w:val="22"/>
        </w:rPr>
        <w:t>):</w:t>
      </w:r>
      <w:r>
        <w:rPr>
          <w:rFonts w:ascii="Verdana" w:eastAsia="Malgun Gothic" w:hAnsi="Verdana" w:cs="Arial"/>
          <w:b w:val="0"/>
          <w:szCs w:val="22"/>
        </w:rPr>
        <w:t xml:space="preserve"> </w:t>
      </w:r>
      <w:r w:rsidR="001B25A4">
        <w:rPr>
          <w:rFonts w:ascii="Verdana" w:eastAsia="Malgun Gothic" w:hAnsi="Verdana" w:cs="Arial"/>
          <w:szCs w:val="22"/>
        </w:rPr>
        <w:t>ΑΠΡΙΛΙΟΣ</w:t>
      </w:r>
      <w:r>
        <w:rPr>
          <w:rFonts w:ascii="Verdana" w:eastAsia="Malgun Gothic" w:hAnsi="Verdana" w:cs="Arial"/>
          <w:szCs w:val="22"/>
        </w:rPr>
        <w:t xml:space="preserve"> 20</w:t>
      </w:r>
      <w:r w:rsidRPr="00CB2AC0">
        <w:rPr>
          <w:rFonts w:ascii="Verdana" w:eastAsia="Malgun Gothic" w:hAnsi="Verdana" w:cs="Arial"/>
          <w:szCs w:val="22"/>
        </w:rPr>
        <w:t>2</w:t>
      </w:r>
      <w:r w:rsidR="000E7206">
        <w:rPr>
          <w:rFonts w:ascii="Verdana" w:eastAsia="Malgun Gothic" w:hAnsi="Verdana" w:cs="Arial"/>
          <w:szCs w:val="22"/>
        </w:rPr>
        <w:t>3</w:t>
      </w:r>
    </w:p>
    <w:p w:rsidR="00AF5CC6" w:rsidRPr="000905DD" w:rsidRDefault="00AF5CC6" w:rsidP="00AF5CC6">
      <w:pPr>
        <w:rPr>
          <w:rFonts w:ascii="Verdana" w:eastAsia="Malgun Gothic" w:hAnsi="Verdana" w:cs="Arial"/>
          <w:lang w:val="el-GR"/>
        </w:rPr>
      </w:pPr>
    </w:p>
    <w:p w:rsidR="00AF5CC6" w:rsidRPr="004F03FD" w:rsidRDefault="00AF5CC6" w:rsidP="00AF5CC6">
      <w:pPr>
        <w:tabs>
          <w:tab w:val="left" w:pos="1080"/>
          <w:tab w:val="left" w:pos="6840"/>
        </w:tabs>
        <w:jc w:val="center"/>
        <w:rPr>
          <w:rFonts w:ascii="Verdana" w:eastAsia="Malgun Gothic" w:hAnsi="Verdana" w:cs="Arial"/>
          <w:b/>
          <w:lang w:val="el-GR"/>
        </w:rPr>
      </w:pPr>
      <w:r>
        <w:rPr>
          <w:rFonts w:ascii="Verdana" w:eastAsia="Malgun Gothic" w:hAnsi="Verdana" w:cs="Arial"/>
          <w:b/>
          <w:lang w:val="el-GR"/>
        </w:rPr>
        <w:t xml:space="preserve">Ετήσια Μεταβολή </w:t>
      </w:r>
      <w:r w:rsidR="001B25A4">
        <w:rPr>
          <w:rFonts w:ascii="Verdana" w:eastAsia="Malgun Gothic" w:hAnsi="Verdana" w:cs="Arial"/>
          <w:b/>
          <w:lang w:val="el-GR"/>
        </w:rPr>
        <w:t>3</w:t>
      </w:r>
      <w:r>
        <w:rPr>
          <w:rFonts w:ascii="Verdana" w:eastAsia="Malgun Gothic" w:hAnsi="Verdana" w:cs="Arial"/>
          <w:b/>
          <w:lang w:val="el-GR"/>
        </w:rPr>
        <w:t>,</w:t>
      </w:r>
      <w:r w:rsidR="001B25A4">
        <w:rPr>
          <w:rFonts w:ascii="Verdana" w:eastAsia="Malgun Gothic" w:hAnsi="Verdana" w:cs="Arial"/>
          <w:b/>
          <w:lang w:val="el-GR"/>
        </w:rPr>
        <w:t>9</w:t>
      </w:r>
      <w:r w:rsidRPr="004F03FD">
        <w:rPr>
          <w:rFonts w:ascii="Verdana" w:eastAsia="Malgun Gothic" w:hAnsi="Verdana" w:cs="Arial"/>
          <w:b/>
          <w:lang w:val="el-GR"/>
        </w:rPr>
        <w:t>%</w:t>
      </w:r>
    </w:p>
    <w:p w:rsidR="00AF5CC6" w:rsidRDefault="00AF5CC6" w:rsidP="00AF5CC6">
      <w:pPr>
        <w:tabs>
          <w:tab w:val="left" w:pos="1080"/>
          <w:tab w:val="left" w:pos="6840"/>
        </w:tabs>
        <w:jc w:val="both"/>
        <w:rPr>
          <w:rFonts w:ascii="Arial" w:hAnsi="Arial" w:cs="Arial"/>
          <w:sz w:val="20"/>
          <w:szCs w:val="20"/>
          <w:lang w:val="el-GR"/>
        </w:rPr>
      </w:pPr>
    </w:p>
    <w:p w:rsidR="00871E9E" w:rsidRPr="00842BFB" w:rsidRDefault="00871E9E" w:rsidP="00AF5CC6">
      <w:pPr>
        <w:tabs>
          <w:tab w:val="left" w:pos="1080"/>
          <w:tab w:val="left" w:pos="6840"/>
        </w:tabs>
        <w:jc w:val="both"/>
        <w:rPr>
          <w:rFonts w:ascii="Arial" w:hAnsi="Arial" w:cs="Arial"/>
          <w:sz w:val="20"/>
          <w:szCs w:val="20"/>
          <w:lang w:val="el-GR"/>
        </w:rPr>
      </w:pPr>
    </w:p>
    <w:p w:rsidR="00997147" w:rsidRDefault="00AF5CC6" w:rsidP="00997147">
      <w:pPr>
        <w:tabs>
          <w:tab w:val="left" w:pos="1080"/>
          <w:tab w:val="left" w:pos="6840"/>
        </w:tabs>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Ο </w:t>
      </w:r>
      <w:r>
        <w:rPr>
          <w:rFonts w:ascii="Verdana" w:eastAsia="Malgun Gothic" w:hAnsi="Verdana" w:cs="Arial"/>
          <w:sz w:val="18"/>
          <w:szCs w:val="18"/>
          <w:lang w:val="el-GR"/>
        </w:rPr>
        <w:t xml:space="preserve">Εναρμονισμένος </w:t>
      </w:r>
      <w:r w:rsidRPr="004F03FD">
        <w:rPr>
          <w:rFonts w:ascii="Verdana" w:eastAsia="Malgun Gothic" w:hAnsi="Verdana" w:cs="Arial"/>
          <w:sz w:val="18"/>
          <w:szCs w:val="18"/>
          <w:lang w:val="el-GR"/>
        </w:rPr>
        <w:t xml:space="preserve">Δείκτης Τιμών Καταναλωτή </w:t>
      </w:r>
      <w:r>
        <w:rPr>
          <w:rFonts w:ascii="Verdana" w:eastAsia="Malgun Gothic" w:hAnsi="Verdana" w:cs="Arial"/>
          <w:sz w:val="18"/>
          <w:szCs w:val="18"/>
          <w:lang w:val="el-GR"/>
        </w:rPr>
        <w:t>τον</w:t>
      </w:r>
      <w:r w:rsidR="00B14E17">
        <w:rPr>
          <w:rFonts w:ascii="Verdana" w:eastAsia="Malgun Gothic" w:hAnsi="Verdana" w:cs="Arial"/>
          <w:sz w:val="18"/>
          <w:szCs w:val="18"/>
          <w:lang w:val="el-GR"/>
        </w:rPr>
        <w:t xml:space="preserve"> </w:t>
      </w:r>
      <w:r w:rsidR="001B25A4">
        <w:rPr>
          <w:rFonts w:ascii="Verdana" w:eastAsia="Malgun Gothic" w:hAnsi="Verdana" w:cs="Arial"/>
          <w:sz w:val="18"/>
          <w:szCs w:val="18"/>
          <w:lang w:val="el-GR"/>
        </w:rPr>
        <w:t>Απρίλιο</w:t>
      </w:r>
      <w:r w:rsidR="00B14E17">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20</w:t>
      </w:r>
      <w:r>
        <w:rPr>
          <w:rFonts w:ascii="Verdana" w:eastAsia="Malgun Gothic" w:hAnsi="Verdana" w:cs="Arial"/>
          <w:sz w:val="18"/>
          <w:szCs w:val="18"/>
          <w:lang w:val="el-GR"/>
        </w:rPr>
        <w:t>2</w:t>
      </w:r>
      <w:r w:rsidR="000E7206">
        <w:rPr>
          <w:rFonts w:ascii="Verdana" w:eastAsia="Malgun Gothic" w:hAnsi="Verdana" w:cs="Arial"/>
          <w:sz w:val="18"/>
          <w:szCs w:val="18"/>
          <w:lang w:val="el-GR"/>
        </w:rPr>
        <w:t>3</w:t>
      </w:r>
      <w:r w:rsidRPr="00FF628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αυξήθηκε </w:t>
      </w:r>
      <w:r w:rsidRPr="004F03FD">
        <w:rPr>
          <w:rFonts w:ascii="Verdana" w:eastAsia="Malgun Gothic" w:hAnsi="Verdana" w:cs="Arial"/>
          <w:sz w:val="18"/>
          <w:szCs w:val="18"/>
          <w:lang w:val="el-GR"/>
        </w:rPr>
        <w:t xml:space="preserve">κατά </w:t>
      </w:r>
      <w:r w:rsidR="00F65DEC">
        <w:rPr>
          <w:rFonts w:ascii="Verdana" w:eastAsia="Malgun Gothic" w:hAnsi="Verdana" w:cs="Arial"/>
          <w:sz w:val="18"/>
          <w:szCs w:val="18"/>
          <w:lang/>
        </w:rPr>
        <w:t>3</w:t>
      </w:r>
      <w:r>
        <w:rPr>
          <w:rFonts w:ascii="Verdana" w:eastAsia="Malgun Gothic" w:hAnsi="Verdana" w:cs="Arial"/>
          <w:sz w:val="18"/>
          <w:szCs w:val="18"/>
          <w:lang w:val="el-GR"/>
        </w:rPr>
        <w:t>,</w:t>
      </w:r>
      <w:r w:rsidR="00F65DEC">
        <w:rPr>
          <w:rFonts w:ascii="Verdana" w:eastAsia="Malgun Gothic" w:hAnsi="Verdana" w:cs="Arial"/>
          <w:sz w:val="18"/>
          <w:szCs w:val="18"/>
          <w:lang/>
        </w:rPr>
        <w:t>9</w:t>
      </w:r>
      <w:r>
        <w:rPr>
          <w:rFonts w:ascii="Verdana" w:eastAsia="Malgun Gothic" w:hAnsi="Verdana" w:cs="Arial"/>
          <w:sz w:val="18"/>
          <w:szCs w:val="18"/>
          <w:lang w:val="el-GR"/>
        </w:rPr>
        <w:t xml:space="preserve">% σε σχέση με τον </w:t>
      </w:r>
      <w:r w:rsidR="005A27EE">
        <w:rPr>
          <w:rFonts w:ascii="Verdana" w:eastAsia="Malgun Gothic" w:hAnsi="Verdana" w:cs="Arial"/>
          <w:sz w:val="18"/>
          <w:szCs w:val="18"/>
          <w:lang w:val="el-GR"/>
        </w:rPr>
        <w:t>Απρίλιο</w:t>
      </w:r>
      <w:r w:rsidR="00551328">
        <w:rPr>
          <w:rFonts w:ascii="Verdana" w:eastAsia="Malgun Gothic" w:hAnsi="Verdana" w:cs="Arial"/>
          <w:sz w:val="18"/>
          <w:szCs w:val="18"/>
          <w:lang w:val="el-GR"/>
        </w:rPr>
        <w:t xml:space="preserve"> </w:t>
      </w:r>
      <w:r>
        <w:rPr>
          <w:rFonts w:ascii="Verdana" w:eastAsia="Malgun Gothic" w:hAnsi="Verdana" w:cs="Arial"/>
          <w:sz w:val="18"/>
          <w:szCs w:val="18"/>
          <w:lang w:val="el-GR"/>
        </w:rPr>
        <w:t>του 202</w:t>
      </w:r>
      <w:r w:rsidR="000E7206">
        <w:rPr>
          <w:rFonts w:ascii="Verdana" w:eastAsia="Malgun Gothic" w:hAnsi="Verdana" w:cs="Arial"/>
          <w:sz w:val="18"/>
          <w:szCs w:val="18"/>
          <w:lang w:val="el-GR"/>
        </w:rPr>
        <w:t>2</w:t>
      </w:r>
      <w:r>
        <w:rPr>
          <w:rFonts w:ascii="Verdana" w:eastAsia="Malgun Gothic" w:hAnsi="Verdana" w:cs="Arial"/>
          <w:sz w:val="18"/>
          <w:szCs w:val="18"/>
          <w:lang w:val="el-GR"/>
        </w:rPr>
        <w:t xml:space="preserve">, ενώ σε σχέση με τον προηγούμενο μήνα </w:t>
      </w:r>
      <w:r w:rsidR="008E5324">
        <w:rPr>
          <w:rFonts w:ascii="Verdana" w:eastAsia="Malgun Gothic" w:hAnsi="Verdana" w:cs="Arial"/>
          <w:sz w:val="18"/>
          <w:szCs w:val="18"/>
          <w:lang w:val="el-GR"/>
        </w:rPr>
        <w:t>αυξήθηκ</w:t>
      </w:r>
      <w:r w:rsidR="006B2083">
        <w:rPr>
          <w:rFonts w:ascii="Verdana" w:eastAsia="Malgun Gothic" w:hAnsi="Verdana" w:cs="Arial"/>
          <w:sz w:val="18"/>
          <w:szCs w:val="18"/>
          <w:lang w:val="el-GR"/>
        </w:rPr>
        <w:t>ε</w:t>
      </w:r>
      <w:r>
        <w:rPr>
          <w:rFonts w:ascii="Verdana" w:eastAsia="Malgun Gothic" w:hAnsi="Verdana" w:cs="Arial"/>
          <w:sz w:val="18"/>
          <w:szCs w:val="18"/>
          <w:lang w:val="el-GR"/>
        </w:rPr>
        <w:t xml:space="preserve"> κατά </w:t>
      </w:r>
      <w:r w:rsidR="005A27EE">
        <w:rPr>
          <w:rFonts w:ascii="Verdana" w:eastAsia="Malgun Gothic" w:hAnsi="Verdana" w:cs="Arial"/>
          <w:sz w:val="18"/>
          <w:szCs w:val="18"/>
          <w:lang w:val="el-GR"/>
        </w:rPr>
        <w:t>0</w:t>
      </w:r>
      <w:r>
        <w:rPr>
          <w:rFonts w:ascii="Verdana" w:eastAsia="Malgun Gothic" w:hAnsi="Verdana" w:cs="Arial"/>
          <w:sz w:val="18"/>
          <w:szCs w:val="18"/>
          <w:lang w:val="el-GR"/>
        </w:rPr>
        <w:t>,</w:t>
      </w:r>
      <w:r w:rsidR="005A27EE">
        <w:rPr>
          <w:rFonts w:ascii="Verdana" w:eastAsia="Malgun Gothic" w:hAnsi="Verdana" w:cs="Arial"/>
          <w:sz w:val="18"/>
          <w:szCs w:val="18"/>
          <w:lang w:val="el-GR"/>
        </w:rPr>
        <w:t>9</w:t>
      </w:r>
      <w:r>
        <w:rPr>
          <w:rFonts w:ascii="Verdana" w:eastAsia="Malgun Gothic" w:hAnsi="Verdana" w:cs="Arial"/>
          <w:sz w:val="18"/>
          <w:szCs w:val="18"/>
          <w:lang w:val="el-GR"/>
        </w:rPr>
        <w:t>%.</w:t>
      </w:r>
      <w:r w:rsidRPr="001B25A4">
        <w:rPr>
          <w:rFonts w:ascii="Verdana" w:eastAsia="Malgun Gothic" w:hAnsi="Verdana" w:cs="Arial"/>
          <w:sz w:val="18"/>
          <w:szCs w:val="18"/>
          <w:lang w:val="el-GR"/>
        </w:rPr>
        <w:t xml:space="preserve"> </w:t>
      </w:r>
      <w:r w:rsidR="00997147">
        <w:rPr>
          <w:rFonts w:ascii="Verdana" w:eastAsia="Malgun Gothic" w:hAnsi="Verdana" w:cs="Arial"/>
          <w:sz w:val="18"/>
          <w:szCs w:val="18"/>
          <w:lang w:val="el-GR"/>
        </w:rPr>
        <w:t xml:space="preserve">Για την περίοδο Ιανουαρίου – </w:t>
      </w:r>
      <w:r w:rsidR="005A27EE">
        <w:rPr>
          <w:rFonts w:ascii="Verdana" w:eastAsia="Malgun Gothic" w:hAnsi="Verdana" w:cs="Arial"/>
          <w:sz w:val="18"/>
          <w:szCs w:val="18"/>
          <w:lang w:val="el-GR"/>
        </w:rPr>
        <w:t>Απριλίου</w:t>
      </w:r>
      <w:r w:rsidR="00997147">
        <w:rPr>
          <w:rFonts w:ascii="Verdana" w:eastAsia="Malgun Gothic" w:hAnsi="Verdana" w:cs="Arial"/>
          <w:sz w:val="18"/>
          <w:szCs w:val="18"/>
          <w:lang w:val="el-GR"/>
        </w:rPr>
        <w:t xml:space="preserve"> 202</w:t>
      </w:r>
      <w:r w:rsidR="008E5324">
        <w:rPr>
          <w:rFonts w:ascii="Verdana" w:eastAsia="Malgun Gothic" w:hAnsi="Verdana" w:cs="Arial"/>
          <w:sz w:val="18"/>
          <w:szCs w:val="18"/>
          <w:lang w:val="el-GR"/>
        </w:rPr>
        <w:t>3</w:t>
      </w:r>
      <w:r w:rsidR="00997147">
        <w:rPr>
          <w:rFonts w:ascii="Verdana" w:eastAsia="Malgun Gothic" w:hAnsi="Verdana" w:cs="Arial"/>
          <w:sz w:val="18"/>
          <w:szCs w:val="18"/>
          <w:lang w:val="el-GR"/>
        </w:rPr>
        <w:t xml:space="preserve">, σημειώθηκε αύξηση </w:t>
      </w:r>
      <w:r w:rsidR="005A27EE">
        <w:rPr>
          <w:rFonts w:ascii="Verdana" w:eastAsia="Malgun Gothic" w:hAnsi="Verdana" w:cs="Arial"/>
          <w:sz w:val="18"/>
          <w:szCs w:val="18"/>
          <w:lang w:val="el-GR"/>
        </w:rPr>
        <w:t>5</w:t>
      </w:r>
      <w:r w:rsidR="00997147">
        <w:rPr>
          <w:rFonts w:ascii="Verdana" w:eastAsia="Malgun Gothic" w:hAnsi="Verdana" w:cs="Arial"/>
          <w:sz w:val="18"/>
          <w:szCs w:val="18"/>
          <w:lang w:val="el-GR"/>
        </w:rPr>
        <w:t>,</w:t>
      </w:r>
      <w:r w:rsidR="005A27EE">
        <w:rPr>
          <w:rFonts w:ascii="Verdana" w:eastAsia="Malgun Gothic" w:hAnsi="Verdana" w:cs="Arial"/>
          <w:sz w:val="18"/>
          <w:szCs w:val="18"/>
          <w:lang w:val="el-GR"/>
        </w:rPr>
        <w:t>9</w:t>
      </w:r>
      <w:r w:rsidR="00997147">
        <w:rPr>
          <w:rFonts w:ascii="Verdana" w:eastAsia="Malgun Gothic" w:hAnsi="Verdana" w:cs="Arial"/>
          <w:sz w:val="18"/>
          <w:szCs w:val="18"/>
          <w:lang w:val="el-GR"/>
        </w:rPr>
        <w:t>% σε σχέση με την αντίστοιχη περσινή περίοδο.</w:t>
      </w:r>
    </w:p>
    <w:p w:rsidR="00CF6799" w:rsidRDefault="00AF5CC6" w:rsidP="00AF5CC6">
      <w:pPr>
        <w:tabs>
          <w:tab w:val="left" w:pos="1080"/>
          <w:tab w:val="left" w:pos="6840"/>
        </w:tabs>
        <w:jc w:val="both"/>
        <w:rPr>
          <w:rFonts w:ascii="Verdana" w:eastAsia="Malgun Gothic" w:hAnsi="Verdana" w:cs="Arial"/>
          <w:sz w:val="18"/>
          <w:szCs w:val="18"/>
          <w:lang w:val="el-GR"/>
        </w:rPr>
      </w:pPr>
      <w:r w:rsidRPr="00D876E0">
        <w:rPr>
          <w:rFonts w:ascii="Verdana" w:eastAsia="Malgun Gothic" w:hAnsi="Verdana" w:cs="Arial"/>
          <w:sz w:val="18"/>
          <w:szCs w:val="18"/>
          <w:lang w:val="el-GR"/>
        </w:rPr>
        <w:t>(</w:t>
      </w:r>
      <w:r>
        <w:rPr>
          <w:rFonts w:ascii="Verdana" w:eastAsia="Malgun Gothic" w:hAnsi="Verdana" w:cs="Arial"/>
          <w:sz w:val="18"/>
          <w:szCs w:val="18"/>
          <w:lang w:val="el-GR"/>
        </w:rPr>
        <w:t>Πίνακας 1)</w:t>
      </w:r>
    </w:p>
    <w:p w:rsidR="005A27EE" w:rsidRDefault="005A27EE" w:rsidP="00AF5CC6">
      <w:pPr>
        <w:tabs>
          <w:tab w:val="left" w:pos="1080"/>
          <w:tab w:val="left" w:pos="6840"/>
        </w:tabs>
        <w:jc w:val="both"/>
        <w:rPr>
          <w:rFonts w:ascii="Verdana" w:eastAsia="Malgun Gothic" w:hAnsi="Verdana" w:cs="Arial"/>
          <w:sz w:val="18"/>
          <w:szCs w:val="18"/>
        </w:rPr>
      </w:pPr>
    </w:p>
    <w:p w:rsidR="000E7206" w:rsidRDefault="000E7206" w:rsidP="008774AA">
      <w:pPr>
        <w:tabs>
          <w:tab w:val="left" w:pos="1080"/>
          <w:tab w:val="left" w:pos="6840"/>
        </w:tabs>
        <w:jc w:val="both"/>
        <w:rPr>
          <w:rFonts w:ascii="Verdana" w:eastAsia="Malgun Gothic" w:hAnsi="Verdana" w:cs="Arial"/>
          <w:sz w:val="18"/>
          <w:szCs w:val="18"/>
        </w:rPr>
      </w:pPr>
    </w:p>
    <w:p w:rsidR="000E7206" w:rsidRPr="00CF6799" w:rsidRDefault="00A35DC3" w:rsidP="008774AA">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26E2E355">
            <wp:extent cx="6108700" cy="4498975"/>
            <wp:effectExtent l="0" t="0" r="6350" b="0"/>
            <wp:docPr id="1060223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498975"/>
                    </a:xfrm>
                    <a:prstGeom prst="rect">
                      <a:avLst/>
                    </a:prstGeom>
                    <a:noFill/>
                  </pic:spPr>
                </pic:pic>
              </a:graphicData>
            </a:graphic>
          </wp:inline>
        </w:drawing>
      </w:r>
    </w:p>
    <w:p w:rsidR="00AF5CC6" w:rsidRPr="00637055" w:rsidRDefault="00AF5CC6" w:rsidP="00AF5CC6">
      <w:pPr>
        <w:tabs>
          <w:tab w:val="left" w:pos="1080"/>
          <w:tab w:val="left" w:pos="6840"/>
        </w:tabs>
        <w:jc w:val="both"/>
        <w:rPr>
          <w:rFonts w:ascii="Verdana" w:eastAsia="Malgun Gothic" w:hAnsi="Verdana" w:cs="Arial"/>
          <w:color w:val="365F91"/>
          <w:sz w:val="16"/>
          <w:szCs w:val="16"/>
          <w:lang w:val="el-GR"/>
        </w:rPr>
      </w:pPr>
      <w:r w:rsidRPr="005944FF">
        <w:rPr>
          <w:rFonts w:ascii="Verdana" w:eastAsia="Malgun Gothic" w:hAnsi="Verdana" w:cs="Arial"/>
          <w:sz w:val="18"/>
          <w:szCs w:val="18"/>
          <w:lang w:val="el-GR"/>
        </w:rPr>
        <w:t xml:space="preserve"> </w:t>
      </w:r>
      <w:r w:rsidRPr="003C2392">
        <w:rPr>
          <w:rFonts w:ascii="Verdana" w:eastAsia="Malgun Gothic" w:hAnsi="Verdana" w:cs="Arial"/>
          <w:color w:val="365F91"/>
          <w:sz w:val="16"/>
          <w:szCs w:val="16"/>
          <w:u w:val="single"/>
          <w:lang w:val="el-GR"/>
        </w:rPr>
        <w:t>Σημείωση</w:t>
      </w:r>
      <w:r w:rsidRPr="003C2392">
        <w:rPr>
          <w:rFonts w:ascii="Verdana" w:eastAsia="Malgun Gothic" w:hAnsi="Verdana" w:cs="Arial"/>
          <w:color w:val="365F91"/>
          <w:sz w:val="16"/>
          <w:szCs w:val="16"/>
          <w:lang w:val="el-GR"/>
        </w:rPr>
        <w:t xml:space="preserve">: </w:t>
      </w:r>
      <w:r w:rsidRPr="00637055">
        <w:rPr>
          <w:rFonts w:ascii="Verdana" w:eastAsia="Malgun Gothic" w:hAnsi="Verdana" w:cs="Arial"/>
          <w:color w:val="365F91"/>
          <w:sz w:val="16"/>
          <w:szCs w:val="16"/>
          <w:lang w:val="el-GR"/>
        </w:rPr>
        <w:t xml:space="preserve">Ο </w:t>
      </w:r>
      <w:proofErr w:type="spellStart"/>
      <w:r w:rsidRPr="00637055">
        <w:rPr>
          <w:rFonts w:ascii="Verdana" w:eastAsia="Malgun Gothic" w:hAnsi="Verdana" w:cs="Arial"/>
          <w:color w:val="365F91"/>
          <w:sz w:val="16"/>
          <w:szCs w:val="16"/>
          <w:lang w:val="el-GR"/>
        </w:rPr>
        <w:t>ΕνΔΤΚ</w:t>
      </w:r>
      <w:proofErr w:type="spellEnd"/>
      <w:r w:rsidRPr="0063705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l-GR"/>
        </w:rPr>
        <w:t>Ευρωζώνης</w:t>
      </w:r>
      <w:r w:rsidRPr="00637055">
        <w:rPr>
          <w:rFonts w:ascii="Verdana" w:eastAsia="Malgun Gothic" w:hAnsi="Verdana" w:cs="Arial"/>
          <w:color w:val="365F91"/>
          <w:sz w:val="16"/>
          <w:szCs w:val="16"/>
          <w:lang w:val="el-GR"/>
        </w:rPr>
        <w:t xml:space="preserve"> για τον τελευταίο μήνα </w:t>
      </w:r>
      <w:r>
        <w:rPr>
          <w:rFonts w:ascii="Verdana" w:eastAsia="Malgun Gothic" w:hAnsi="Verdana" w:cs="Arial"/>
          <w:color w:val="365F91"/>
          <w:sz w:val="16"/>
          <w:szCs w:val="16"/>
          <w:lang w:val="el-GR"/>
        </w:rPr>
        <w:t xml:space="preserve">βασίζεται σε εκτίμηση της </w:t>
      </w:r>
      <w:r>
        <w:rPr>
          <w:rFonts w:ascii="Verdana" w:eastAsia="Malgun Gothic" w:hAnsi="Verdana" w:cs="Arial"/>
          <w:color w:val="365F91"/>
          <w:sz w:val="16"/>
          <w:szCs w:val="16"/>
          <w:lang w:val="en-GB"/>
        </w:rPr>
        <w:t>EUROSTAT</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flash</w:t>
      </w:r>
      <w:r w:rsidRPr="00B54A25">
        <w:rPr>
          <w:rFonts w:ascii="Verdana" w:eastAsia="Malgun Gothic" w:hAnsi="Verdana" w:cs="Arial"/>
          <w:color w:val="365F91"/>
          <w:sz w:val="16"/>
          <w:szCs w:val="16"/>
          <w:lang w:val="el-GR"/>
        </w:rPr>
        <w:t xml:space="preserve"> </w:t>
      </w:r>
      <w:r>
        <w:rPr>
          <w:rFonts w:ascii="Verdana" w:eastAsia="Malgun Gothic" w:hAnsi="Verdana" w:cs="Arial"/>
          <w:color w:val="365F91"/>
          <w:sz w:val="16"/>
          <w:szCs w:val="16"/>
          <w:lang w:val="en-GB"/>
        </w:rPr>
        <w:t>estimate</w:t>
      </w:r>
      <w:r w:rsidRPr="00B54A25">
        <w:rPr>
          <w:rFonts w:ascii="Verdana" w:eastAsia="Malgun Gothic" w:hAnsi="Verdana" w:cs="Arial"/>
          <w:color w:val="365F91"/>
          <w:sz w:val="16"/>
          <w:szCs w:val="16"/>
          <w:lang w:val="el-GR"/>
        </w:rPr>
        <w:t>)</w:t>
      </w:r>
      <w:r w:rsidRPr="00637055">
        <w:rPr>
          <w:rFonts w:ascii="Verdana" w:eastAsia="Malgun Gothic" w:hAnsi="Verdana" w:cs="Arial"/>
          <w:color w:val="365F91"/>
          <w:sz w:val="16"/>
          <w:szCs w:val="16"/>
          <w:lang w:val="el-GR"/>
        </w:rPr>
        <w:t xml:space="preserve">. </w:t>
      </w:r>
    </w:p>
    <w:p w:rsidR="00AF5CC6" w:rsidRDefault="00AF5CC6" w:rsidP="00AF5CC6">
      <w:pPr>
        <w:tabs>
          <w:tab w:val="left" w:pos="1080"/>
          <w:tab w:val="left" w:pos="6840"/>
        </w:tabs>
        <w:jc w:val="both"/>
        <w:rPr>
          <w:rFonts w:ascii="Verdana" w:eastAsia="Malgun Gothic" w:hAnsi="Verdana" w:cs="Arial"/>
          <w:sz w:val="18"/>
          <w:szCs w:val="18"/>
          <w:lang w:val="el-GR"/>
        </w:rPr>
      </w:pPr>
    </w:p>
    <w:p w:rsidR="00AF5CC6" w:rsidRDefault="00AF5CC6" w:rsidP="00AF5CC6">
      <w:pPr>
        <w:tabs>
          <w:tab w:val="left" w:pos="1080"/>
          <w:tab w:val="left" w:pos="6840"/>
        </w:tabs>
        <w:jc w:val="both"/>
        <w:rPr>
          <w:rFonts w:ascii="Verdana" w:eastAsia="Malgun Gothic" w:hAnsi="Verdana" w:cs="Arial"/>
          <w:sz w:val="18"/>
          <w:szCs w:val="18"/>
          <w:lang w:val="el-GR"/>
        </w:rPr>
      </w:pPr>
    </w:p>
    <w:p w:rsidR="008C03B7" w:rsidRDefault="008C03B7" w:rsidP="00AF5CC6">
      <w:pPr>
        <w:tabs>
          <w:tab w:val="left" w:pos="1080"/>
          <w:tab w:val="left" w:pos="6840"/>
        </w:tabs>
        <w:jc w:val="both"/>
        <w:rPr>
          <w:rFonts w:ascii="Verdana" w:eastAsia="Malgun Gothic" w:hAnsi="Verdana" w:cs="Arial"/>
          <w:sz w:val="18"/>
          <w:szCs w:val="18"/>
          <w:lang w:val="el-GR"/>
        </w:rPr>
      </w:pPr>
    </w:p>
    <w:p w:rsidR="008774AA" w:rsidRDefault="008774AA" w:rsidP="00AF5CC6">
      <w:pPr>
        <w:tabs>
          <w:tab w:val="left" w:pos="1080"/>
          <w:tab w:val="left" w:pos="6840"/>
        </w:tabs>
        <w:jc w:val="both"/>
        <w:rPr>
          <w:rFonts w:ascii="Verdana" w:eastAsia="Malgun Gothic" w:hAnsi="Verdana" w:cs="Arial"/>
          <w:sz w:val="18"/>
          <w:szCs w:val="18"/>
          <w:lang w:val="el-GR"/>
        </w:rPr>
      </w:pPr>
    </w:p>
    <w:p w:rsidR="00AF5CC6" w:rsidRDefault="00AF5CC6" w:rsidP="00AF5CC6">
      <w:pPr>
        <w:tabs>
          <w:tab w:val="left" w:pos="1080"/>
          <w:tab w:val="left" w:pos="6840"/>
        </w:tabs>
        <w:jc w:val="both"/>
        <w:rPr>
          <w:rFonts w:ascii="Verdana" w:eastAsia="Malgun Gothic" w:hAnsi="Verdana" w:cs="Arial"/>
          <w:sz w:val="18"/>
          <w:szCs w:val="18"/>
          <w:lang w:val="el-GR"/>
        </w:rPr>
      </w:pPr>
    </w:p>
    <w:p w:rsidR="00AF5CC6" w:rsidRPr="00C23701" w:rsidRDefault="00AF5CC6"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Συγκριτικά με τον </w:t>
      </w:r>
      <w:r w:rsidR="005A27EE">
        <w:rPr>
          <w:rFonts w:ascii="Verdana" w:eastAsia="Malgun Gothic" w:hAnsi="Verdana" w:cs="Arial"/>
          <w:sz w:val="18"/>
          <w:szCs w:val="18"/>
          <w:lang w:val="el-GR"/>
        </w:rPr>
        <w:t>Απρίλιο</w:t>
      </w:r>
      <w:r>
        <w:rPr>
          <w:rFonts w:ascii="Verdana" w:eastAsia="Malgun Gothic" w:hAnsi="Verdana" w:cs="Arial"/>
          <w:sz w:val="18"/>
          <w:szCs w:val="18"/>
          <w:lang w:val="el-GR"/>
        </w:rPr>
        <w:t xml:space="preserve"> του 202</w:t>
      </w:r>
      <w:r w:rsidR="0074243C">
        <w:rPr>
          <w:rFonts w:ascii="Verdana" w:eastAsia="Malgun Gothic" w:hAnsi="Verdana" w:cs="Arial"/>
          <w:sz w:val="18"/>
          <w:szCs w:val="18"/>
          <w:lang w:val="el-GR"/>
        </w:rPr>
        <w:t>2</w:t>
      </w:r>
      <w:r w:rsidRPr="002B4E6C">
        <w:rPr>
          <w:rFonts w:ascii="Verdana" w:eastAsia="Malgun Gothic" w:hAnsi="Verdana" w:cs="Arial"/>
          <w:sz w:val="18"/>
          <w:szCs w:val="18"/>
          <w:lang w:val="el-GR"/>
        </w:rPr>
        <w:t xml:space="preserve">, </w:t>
      </w:r>
      <w:r>
        <w:rPr>
          <w:rFonts w:ascii="Verdana" w:eastAsia="Malgun Gothic" w:hAnsi="Verdana" w:cs="Arial"/>
          <w:sz w:val="18"/>
          <w:szCs w:val="18"/>
          <w:lang w:val="el-GR"/>
        </w:rPr>
        <w:t>οι</w:t>
      </w:r>
      <w:r w:rsidRPr="004F03FD">
        <w:rPr>
          <w:rFonts w:ascii="Verdana" w:eastAsia="Malgun Gothic" w:hAnsi="Verdana" w:cs="Arial"/>
          <w:sz w:val="18"/>
          <w:szCs w:val="18"/>
          <w:lang w:val="el-GR"/>
        </w:rPr>
        <w:t xml:space="preserve"> κατηγορί</w:t>
      </w:r>
      <w:r>
        <w:rPr>
          <w:rFonts w:ascii="Verdana" w:eastAsia="Malgun Gothic" w:hAnsi="Verdana" w:cs="Arial"/>
          <w:sz w:val="18"/>
          <w:szCs w:val="18"/>
          <w:lang w:val="el-GR"/>
        </w:rPr>
        <w:t xml:space="preserve">ες </w:t>
      </w:r>
      <w:r w:rsidR="006F64F6" w:rsidRPr="006F64F6">
        <w:rPr>
          <w:rFonts w:ascii="Verdana" w:eastAsia="Malgun Gothic" w:hAnsi="Verdana" w:cs="Arial"/>
          <w:i/>
          <w:sz w:val="18"/>
          <w:szCs w:val="18"/>
          <w:lang w:val="el-GR"/>
        </w:rPr>
        <w:t xml:space="preserve">Τρόφιμα και μη Αλκοολούχα Ποτά </w:t>
      </w:r>
      <w:r w:rsidRPr="001B25A4">
        <w:rPr>
          <w:rFonts w:ascii="Verdana" w:eastAsia="Malgun Gothic" w:hAnsi="Verdana" w:cs="Arial"/>
          <w:iCs/>
          <w:sz w:val="18"/>
          <w:szCs w:val="18"/>
          <w:lang w:val="el-GR"/>
        </w:rPr>
        <w:t>(</w:t>
      </w:r>
      <w:r w:rsidR="006F64F6">
        <w:rPr>
          <w:rFonts w:ascii="Verdana" w:eastAsia="Malgun Gothic" w:hAnsi="Verdana" w:cs="Arial"/>
          <w:iCs/>
          <w:sz w:val="18"/>
          <w:szCs w:val="18"/>
          <w:lang w:val="el-GR"/>
        </w:rPr>
        <w:t>6</w:t>
      </w:r>
      <w:r w:rsidRPr="001B25A4">
        <w:rPr>
          <w:rFonts w:ascii="Verdana" w:eastAsia="Malgun Gothic" w:hAnsi="Verdana" w:cs="Arial"/>
          <w:iCs/>
          <w:sz w:val="18"/>
          <w:szCs w:val="18"/>
          <w:lang w:val="el-GR"/>
        </w:rPr>
        <w:t>,</w:t>
      </w:r>
      <w:r w:rsidR="006F64F6">
        <w:rPr>
          <w:rFonts w:ascii="Verdana" w:eastAsia="Malgun Gothic" w:hAnsi="Verdana" w:cs="Arial"/>
          <w:iCs/>
          <w:sz w:val="18"/>
          <w:szCs w:val="18"/>
          <w:lang w:val="el-GR"/>
        </w:rPr>
        <w:t>9</w:t>
      </w:r>
      <w:r w:rsidRPr="001B25A4">
        <w:rPr>
          <w:rFonts w:ascii="Verdana" w:eastAsia="Malgun Gothic" w:hAnsi="Verdana" w:cs="Arial"/>
          <w:iCs/>
          <w:sz w:val="18"/>
          <w:szCs w:val="18"/>
          <w:lang w:val="el-GR"/>
        </w:rPr>
        <w:t>%)</w:t>
      </w:r>
      <w:r w:rsidR="006F64F6">
        <w:rPr>
          <w:rFonts w:ascii="Verdana" w:eastAsia="Malgun Gothic" w:hAnsi="Verdana" w:cs="Arial"/>
          <w:iCs/>
          <w:sz w:val="18"/>
          <w:szCs w:val="18"/>
          <w:lang w:val="el-GR"/>
        </w:rPr>
        <w:t xml:space="preserve">, </w:t>
      </w:r>
      <w:r w:rsidR="006F64F6" w:rsidRPr="006F64F6">
        <w:rPr>
          <w:rFonts w:ascii="Verdana" w:eastAsia="Malgun Gothic" w:hAnsi="Verdana" w:cs="Arial"/>
          <w:i/>
          <w:sz w:val="18"/>
          <w:szCs w:val="18"/>
          <w:lang w:val="el-GR"/>
        </w:rPr>
        <w:t>Επίπλωση, Οικιακός Εξοπλισμός και Προϊόντα Καθαρισμού</w:t>
      </w:r>
      <w:r w:rsidR="006F64F6" w:rsidRPr="006F64F6">
        <w:rPr>
          <w:rFonts w:ascii="Verdana" w:eastAsia="Malgun Gothic" w:hAnsi="Verdana" w:cs="Arial"/>
          <w:iCs/>
          <w:sz w:val="18"/>
          <w:szCs w:val="18"/>
          <w:lang w:val="el-GR"/>
        </w:rPr>
        <w:t xml:space="preserve"> </w:t>
      </w:r>
      <w:r w:rsidR="006F64F6">
        <w:rPr>
          <w:rFonts w:ascii="Verdana" w:eastAsia="Malgun Gothic" w:hAnsi="Verdana" w:cs="Arial"/>
          <w:iCs/>
          <w:sz w:val="18"/>
          <w:szCs w:val="18"/>
          <w:lang w:val="el-GR"/>
        </w:rPr>
        <w:t xml:space="preserve">(6,7%) </w:t>
      </w:r>
      <w:r w:rsidR="000039A3">
        <w:rPr>
          <w:rFonts w:ascii="Verdana" w:eastAsia="Malgun Gothic" w:hAnsi="Verdana" w:cs="Arial"/>
          <w:iCs/>
          <w:sz w:val="18"/>
          <w:szCs w:val="18"/>
          <w:lang w:val="el-GR"/>
        </w:rPr>
        <w:t>και</w:t>
      </w:r>
      <w:r w:rsidR="000039A3" w:rsidRPr="00C37050">
        <w:rPr>
          <w:rFonts w:ascii="Verdana" w:eastAsia="Malgun Gothic" w:hAnsi="Verdana" w:cs="Arial"/>
          <w:i/>
          <w:iCs/>
          <w:sz w:val="18"/>
          <w:szCs w:val="18"/>
          <w:lang w:val="el-GR"/>
        </w:rPr>
        <w:t xml:space="preserve"> </w:t>
      </w:r>
      <w:r w:rsidR="00566ACF" w:rsidRPr="00566ACF">
        <w:rPr>
          <w:rFonts w:ascii="Verdana" w:eastAsia="Malgun Gothic" w:hAnsi="Verdana" w:cs="Arial"/>
          <w:i/>
          <w:sz w:val="18"/>
          <w:szCs w:val="18"/>
          <w:lang w:val="el-GR"/>
        </w:rPr>
        <w:t xml:space="preserve">Εστιατόρια και Ξενοδοχεία </w:t>
      </w:r>
      <w:r w:rsidR="00856A74">
        <w:rPr>
          <w:rFonts w:ascii="Verdana" w:eastAsia="Malgun Gothic" w:hAnsi="Verdana" w:cs="Arial"/>
          <w:iCs/>
          <w:sz w:val="18"/>
          <w:szCs w:val="18"/>
          <w:lang w:val="el-GR"/>
        </w:rPr>
        <w:t>(</w:t>
      </w:r>
      <w:r w:rsidR="006F64F6">
        <w:rPr>
          <w:rFonts w:ascii="Verdana" w:eastAsia="Malgun Gothic" w:hAnsi="Verdana" w:cs="Arial"/>
          <w:iCs/>
          <w:sz w:val="18"/>
          <w:szCs w:val="18"/>
          <w:lang w:val="el-GR"/>
        </w:rPr>
        <w:t>6</w:t>
      </w:r>
      <w:r w:rsidR="00856A74">
        <w:rPr>
          <w:rFonts w:ascii="Verdana" w:eastAsia="Malgun Gothic" w:hAnsi="Verdana" w:cs="Arial"/>
          <w:iCs/>
          <w:sz w:val="18"/>
          <w:szCs w:val="18"/>
          <w:lang w:val="el-GR"/>
        </w:rPr>
        <w:t>,</w:t>
      </w:r>
      <w:r w:rsidR="006F64F6">
        <w:rPr>
          <w:rFonts w:ascii="Verdana" w:eastAsia="Malgun Gothic" w:hAnsi="Verdana" w:cs="Arial"/>
          <w:iCs/>
          <w:sz w:val="18"/>
          <w:szCs w:val="18"/>
          <w:lang w:val="el-GR"/>
        </w:rPr>
        <w:t>5</w:t>
      </w:r>
      <w:r w:rsidR="00856A74">
        <w:rPr>
          <w:rFonts w:ascii="Verdana" w:eastAsia="Malgun Gothic" w:hAnsi="Verdana" w:cs="Arial"/>
          <w:iCs/>
          <w:sz w:val="18"/>
          <w:szCs w:val="18"/>
          <w:lang w:val="el-GR"/>
        </w:rPr>
        <w:t>%)</w:t>
      </w:r>
      <w:r w:rsidR="008C03B7" w:rsidRPr="00C37050">
        <w:rPr>
          <w:rFonts w:ascii="Verdana" w:eastAsia="Malgun Gothic" w:hAnsi="Verdana" w:cs="Arial"/>
          <w:i/>
          <w:iCs/>
          <w:sz w:val="18"/>
          <w:szCs w:val="18"/>
          <w:lang w:val="el-GR"/>
        </w:rPr>
        <w:t xml:space="preserve"> </w:t>
      </w:r>
      <w:r>
        <w:rPr>
          <w:rFonts w:ascii="Verdana" w:eastAsia="Malgun Gothic" w:hAnsi="Verdana" w:cs="Arial"/>
          <w:sz w:val="18"/>
          <w:szCs w:val="18"/>
          <w:lang w:val="el-GR"/>
        </w:rPr>
        <w:t>παρουσίασαν τις μεγαλύτερες μεταβολές.</w:t>
      </w:r>
      <w:r w:rsidR="007903FF">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 xml:space="preserve">(Πίνακας </w:t>
      </w:r>
      <w:r>
        <w:rPr>
          <w:rFonts w:ascii="Verdana" w:eastAsia="Malgun Gothic" w:hAnsi="Verdana" w:cs="Arial"/>
          <w:sz w:val="18"/>
          <w:szCs w:val="18"/>
          <w:lang w:val="el-GR"/>
        </w:rPr>
        <w:t>1</w:t>
      </w:r>
      <w:r w:rsidRPr="004F03FD">
        <w:rPr>
          <w:rFonts w:ascii="Verdana" w:eastAsia="Malgun Gothic" w:hAnsi="Verdana" w:cs="Arial"/>
          <w:sz w:val="18"/>
          <w:szCs w:val="18"/>
          <w:lang w:val="el-GR"/>
        </w:rPr>
        <w:t>)</w:t>
      </w:r>
    </w:p>
    <w:p w:rsidR="00AF5CC6" w:rsidRPr="00C23701" w:rsidRDefault="00AF5CC6" w:rsidP="00AF5CC6">
      <w:pPr>
        <w:tabs>
          <w:tab w:val="left" w:pos="1080"/>
          <w:tab w:val="left" w:pos="6840"/>
        </w:tabs>
        <w:jc w:val="both"/>
        <w:rPr>
          <w:rFonts w:ascii="Verdana" w:eastAsia="Malgun Gothic" w:hAnsi="Verdana" w:cs="Arial"/>
          <w:sz w:val="18"/>
          <w:szCs w:val="18"/>
          <w:lang w:val="el-GR"/>
        </w:rPr>
      </w:pPr>
    </w:p>
    <w:p w:rsidR="00AF5CC6" w:rsidRDefault="00AF5CC6" w:rsidP="00AF5CC6">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 xml:space="preserve">Σε σχέση με </w:t>
      </w:r>
      <w:r>
        <w:rPr>
          <w:rFonts w:ascii="Verdana" w:eastAsia="Malgun Gothic" w:hAnsi="Verdana" w:cs="Arial"/>
          <w:sz w:val="18"/>
          <w:szCs w:val="18"/>
          <w:lang w:val="el-GR"/>
        </w:rPr>
        <w:t xml:space="preserve">τον </w:t>
      </w:r>
      <w:r w:rsidR="00FE3076">
        <w:rPr>
          <w:rFonts w:ascii="Verdana" w:eastAsia="Malgun Gothic" w:hAnsi="Verdana" w:cs="Arial"/>
          <w:sz w:val="18"/>
          <w:szCs w:val="18"/>
          <w:lang w:val="el-GR"/>
        </w:rPr>
        <w:t>Μάρτιο</w:t>
      </w:r>
      <w:r>
        <w:rPr>
          <w:rFonts w:ascii="Verdana" w:eastAsia="Malgun Gothic" w:hAnsi="Verdana" w:cs="Arial"/>
          <w:sz w:val="18"/>
          <w:szCs w:val="18"/>
          <w:lang w:val="el-GR"/>
        </w:rPr>
        <w:t xml:space="preserve"> 202</w:t>
      </w:r>
      <w:r w:rsidR="00B97650">
        <w:rPr>
          <w:rFonts w:ascii="Verdana" w:eastAsia="Malgun Gothic" w:hAnsi="Verdana" w:cs="Arial"/>
          <w:sz w:val="18"/>
          <w:szCs w:val="18"/>
          <w:lang w:val="el-GR"/>
        </w:rPr>
        <w:t>3</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η μεγαλύτερη μεταβολή καταγράφηκε στην κατηγορία </w:t>
      </w:r>
      <w:r w:rsidR="00566ACF" w:rsidRPr="00566ACF">
        <w:rPr>
          <w:rFonts w:ascii="Verdana" w:eastAsia="Malgun Gothic" w:hAnsi="Verdana" w:cs="Arial"/>
          <w:i/>
          <w:sz w:val="18"/>
          <w:szCs w:val="18"/>
          <w:lang w:val="el-GR"/>
        </w:rPr>
        <w:t>Ένδυση και Υπόδηση</w:t>
      </w:r>
      <w:r w:rsidR="000B37AC" w:rsidRPr="000B37AC">
        <w:rPr>
          <w:rFonts w:ascii="Verdana" w:eastAsia="Malgun Gothic" w:hAnsi="Verdana" w:cs="Arial"/>
          <w:i/>
          <w:sz w:val="18"/>
          <w:szCs w:val="18"/>
          <w:lang w:val="el-GR"/>
        </w:rPr>
        <w:t xml:space="preserve"> </w:t>
      </w:r>
      <w:r>
        <w:rPr>
          <w:rFonts w:ascii="Verdana" w:eastAsia="Malgun Gothic" w:hAnsi="Verdana" w:cs="Arial"/>
          <w:sz w:val="18"/>
          <w:szCs w:val="18"/>
          <w:lang w:val="el-GR"/>
        </w:rPr>
        <w:t>(</w:t>
      </w:r>
      <w:r w:rsidR="00FE3076">
        <w:rPr>
          <w:rFonts w:ascii="Verdana" w:eastAsia="Malgun Gothic" w:hAnsi="Verdana" w:cs="Arial"/>
          <w:sz w:val="18"/>
          <w:szCs w:val="18"/>
          <w:lang w:val="el-GR"/>
        </w:rPr>
        <w:t>4</w:t>
      </w:r>
      <w:r>
        <w:rPr>
          <w:rFonts w:ascii="Verdana" w:eastAsia="Malgun Gothic" w:hAnsi="Verdana" w:cs="Arial"/>
          <w:sz w:val="18"/>
          <w:szCs w:val="18"/>
          <w:lang w:val="el-GR"/>
        </w:rPr>
        <w:t>,</w:t>
      </w:r>
      <w:r w:rsidR="00FE3076">
        <w:rPr>
          <w:rFonts w:ascii="Verdana" w:eastAsia="Malgun Gothic" w:hAnsi="Verdana" w:cs="Arial"/>
          <w:sz w:val="18"/>
          <w:szCs w:val="18"/>
          <w:lang w:val="el-GR"/>
        </w:rPr>
        <w:t>2</w:t>
      </w:r>
      <w:r>
        <w:rPr>
          <w:rFonts w:ascii="Verdana" w:eastAsia="Malgun Gothic" w:hAnsi="Verdana" w:cs="Arial"/>
          <w:sz w:val="18"/>
          <w:szCs w:val="18"/>
          <w:lang w:val="el-GR"/>
        </w:rPr>
        <w:t>%)</w:t>
      </w:r>
      <w:r w:rsidR="00F80821">
        <w:rPr>
          <w:rFonts w:ascii="Verdana" w:eastAsia="Malgun Gothic" w:hAnsi="Verdana" w:cs="Arial"/>
          <w:sz w:val="18"/>
          <w:szCs w:val="18"/>
          <w:lang w:val="el-GR"/>
        </w:rPr>
        <w:t>.</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rsidR="007B2DD9" w:rsidRDefault="007B2DD9" w:rsidP="00AF5CC6">
      <w:pPr>
        <w:jc w:val="both"/>
        <w:rPr>
          <w:rFonts w:ascii="Verdana" w:eastAsia="Malgun Gothic" w:hAnsi="Verdana" w:cs="Arial"/>
          <w:sz w:val="18"/>
          <w:szCs w:val="18"/>
          <w:lang w:val="el-GR"/>
        </w:rPr>
      </w:pPr>
    </w:p>
    <w:p w:rsidR="007B2DD9" w:rsidRDefault="007B2DD9" w:rsidP="007B2DD9">
      <w:pPr>
        <w:jc w:val="both"/>
        <w:rPr>
          <w:rFonts w:ascii="Verdana" w:eastAsia="Malgun Gothic" w:hAnsi="Verdana" w:cs="Arial"/>
          <w:sz w:val="18"/>
          <w:szCs w:val="18"/>
          <w:lang w:val="el-GR"/>
        </w:rPr>
      </w:pPr>
      <w:r w:rsidRPr="004F03FD">
        <w:rPr>
          <w:rFonts w:ascii="Verdana" w:eastAsia="Malgun Gothic" w:hAnsi="Verdana" w:cs="Arial"/>
          <w:sz w:val="18"/>
          <w:szCs w:val="18"/>
          <w:lang w:val="el-GR"/>
        </w:rPr>
        <w:t>Για την περίοδο Ιανου</w:t>
      </w:r>
      <w:r>
        <w:rPr>
          <w:rFonts w:ascii="Verdana" w:eastAsia="Malgun Gothic" w:hAnsi="Verdana" w:cs="Arial"/>
          <w:sz w:val="18"/>
          <w:szCs w:val="18"/>
          <w:lang w:val="el-GR"/>
        </w:rPr>
        <w:t xml:space="preserve">αρίου – </w:t>
      </w:r>
      <w:r w:rsidR="00FE3076">
        <w:rPr>
          <w:rFonts w:ascii="Verdana" w:eastAsia="Malgun Gothic" w:hAnsi="Verdana" w:cs="Arial"/>
          <w:sz w:val="18"/>
          <w:szCs w:val="18"/>
          <w:lang w:val="el-GR"/>
        </w:rPr>
        <w:t>Απριλίου</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2023 </w:t>
      </w:r>
      <w:r w:rsidRPr="004F03FD">
        <w:rPr>
          <w:rFonts w:ascii="Verdana" w:eastAsia="Malgun Gothic" w:hAnsi="Verdana" w:cs="Arial"/>
          <w:sz w:val="18"/>
          <w:szCs w:val="18"/>
          <w:lang w:val="el-GR"/>
        </w:rPr>
        <w:t>σε σύγκριση με την αντίστοιχη περσινή περίοδο</w:t>
      </w:r>
      <w:r>
        <w:rPr>
          <w:rFonts w:ascii="Verdana" w:eastAsia="Malgun Gothic" w:hAnsi="Verdana" w:cs="Arial"/>
          <w:sz w:val="18"/>
          <w:szCs w:val="18"/>
          <w:lang w:val="el-GR"/>
        </w:rPr>
        <w:t>, οι</w:t>
      </w:r>
      <w:r w:rsidRPr="004F03FD">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 xml:space="preserve">ες </w:t>
      </w:r>
      <w:r w:rsidRPr="004F03FD">
        <w:rPr>
          <w:rFonts w:ascii="Verdana" w:eastAsia="Malgun Gothic" w:hAnsi="Verdana" w:cs="Arial"/>
          <w:sz w:val="18"/>
          <w:szCs w:val="18"/>
          <w:lang w:val="el-GR"/>
        </w:rPr>
        <w:t>μεταβολ</w:t>
      </w:r>
      <w:r>
        <w:rPr>
          <w:rFonts w:ascii="Verdana" w:eastAsia="Malgun Gothic" w:hAnsi="Verdana" w:cs="Arial"/>
          <w:sz w:val="18"/>
          <w:szCs w:val="18"/>
          <w:lang w:val="el-GR"/>
        </w:rPr>
        <w:t>ές</w:t>
      </w:r>
      <w:r w:rsidRPr="004F03FD">
        <w:rPr>
          <w:rFonts w:ascii="Verdana" w:eastAsia="Malgun Gothic" w:hAnsi="Verdana" w:cs="Arial"/>
          <w:sz w:val="18"/>
          <w:szCs w:val="18"/>
          <w:lang w:val="el-GR"/>
        </w:rPr>
        <w:t xml:space="preserve"> παρατηρήθηκ</w:t>
      </w:r>
      <w:r>
        <w:rPr>
          <w:rFonts w:ascii="Verdana" w:eastAsia="Malgun Gothic" w:hAnsi="Verdana" w:cs="Arial"/>
          <w:sz w:val="18"/>
          <w:szCs w:val="18"/>
          <w:lang w:val="el-GR"/>
        </w:rPr>
        <w:t>αν</w:t>
      </w:r>
      <w:r w:rsidRPr="004F03FD">
        <w:rPr>
          <w:rFonts w:ascii="Verdana" w:eastAsia="Malgun Gothic" w:hAnsi="Verdana" w:cs="Arial"/>
          <w:sz w:val="18"/>
          <w:szCs w:val="18"/>
          <w:lang w:val="el-GR"/>
        </w:rPr>
        <w:t xml:space="preserve"> </w:t>
      </w:r>
      <w:r>
        <w:rPr>
          <w:rFonts w:ascii="Verdana" w:eastAsia="Malgun Gothic" w:hAnsi="Verdana" w:cs="Arial"/>
          <w:sz w:val="18"/>
          <w:szCs w:val="18"/>
          <w:lang w:val="el-GR"/>
        </w:rPr>
        <w:t>στις</w:t>
      </w:r>
      <w:r w:rsidRPr="004F03FD">
        <w:rPr>
          <w:rFonts w:ascii="Verdana" w:eastAsia="Malgun Gothic" w:hAnsi="Verdana" w:cs="Arial"/>
          <w:sz w:val="18"/>
          <w:szCs w:val="18"/>
          <w:lang w:val="el-GR"/>
        </w:rPr>
        <w:t xml:space="preserve"> </w:t>
      </w:r>
      <w:r w:rsidRPr="00624393">
        <w:rPr>
          <w:rFonts w:ascii="Verdana" w:eastAsia="Malgun Gothic" w:hAnsi="Verdana" w:cs="Arial"/>
          <w:iCs/>
          <w:sz w:val="18"/>
          <w:szCs w:val="18"/>
          <w:lang w:val="el-GR"/>
        </w:rPr>
        <w:t>κατηγορί</w:t>
      </w:r>
      <w:r>
        <w:rPr>
          <w:rFonts w:ascii="Verdana" w:eastAsia="Malgun Gothic" w:hAnsi="Verdana" w:cs="Arial"/>
          <w:iCs/>
          <w:sz w:val="18"/>
          <w:szCs w:val="18"/>
          <w:lang w:val="el-GR"/>
        </w:rPr>
        <w:t xml:space="preserve">ες </w:t>
      </w:r>
      <w:r w:rsidRPr="004E1317">
        <w:rPr>
          <w:rFonts w:ascii="Verdana" w:eastAsia="Malgun Gothic" w:hAnsi="Verdana" w:cs="Arial"/>
          <w:i/>
          <w:iCs/>
          <w:sz w:val="18"/>
          <w:szCs w:val="18"/>
          <w:lang w:val="el-GR"/>
        </w:rPr>
        <w:t>Στέγαση, Ύδρευση, Ηλεκτρισμός και Υγραέριο</w:t>
      </w:r>
      <w:r>
        <w:rPr>
          <w:rFonts w:ascii="Verdana" w:eastAsia="Malgun Gothic" w:hAnsi="Verdana" w:cs="Arial"/>
          <w:iCs/>
          <w:sz w:val="18"/>
          <w:szCs w:val="18"/>
          <w:lang w:val="el-GR"/>
        </w:rPr>
        <w:t xml:space="preserve"> (1</w:t>
      </w:r>
      <w:r w:rsidR="00FE3076">
        <w:rPr>
          <w:rFonts w:ascii="Verdana" w:eastAsia="Malgun Gothic" w:hAnsi="Verdana" w:cs="Arial"/>
          <w:iCs/>
          <w:sz w:val="18"/>
          <w:szCs w:val="18"/>
          <w:lang w:val="el-GR"/>
        </w:rPr>
        <w:t>4</w:t>
      </w:r>
      <w:r>
        <w:rPr>
          <w:rFonts w:ascii="Verdana" w:eastAsia="Malgun Gothic" w:hAnsi="Verdana" w:cs="Arial"/>
          <w:iCs/>
          <w:sz w:val="18"/>
          <w:szCs w:val="18"/>
          <w:lang w:val="el-GR"/>
        </w:rPr>
        <w:t>,</w:t>
      </w:r>
      <w:r w:rsidR="00FE3076">
        <w:rPr>
          <w:rFonts w:ascii="Verdana" w:eastAsia="Malgun Gothic" w:hAnsi="Verdana" w:cs="Arial"/>
          <w:iCs/>
          <w:sz w:val="18"/>
          <w:szCs w:val="18"/>
          <w:lang w:val="el-GR"/>
        </w:rPr>
        <w:t>0</w:t>
      </w:r>
      <w:r>
        <w:rPr>
          <w:rFonts w:ascii="Verdana" w:eastAsia="Malgun Gothic" w:hAnsi="Verdana" w:cs="Arial"/>
          <w:iCs/>
          <w:sz w:val="18"/>
          <w:szCs w:val="18"/>
          <w:lang w:val="el-GR"/>
        </w:rPr>
        <w:t>%)</w:t>
      </w:r>
      <w:r w:rsidR="00FE3076">
        <w:rPr>
          <w:rFonts w:ascii="Verdana" w:eastAsia="Malgun Gothic" w:hAnsi="Verdana" w:cs="Arial"/>
          <w:iCs/>
          <w:sz w:val="18"/>
          <w:szCs w:val="18"/>
          <w:lang w:val="el-GR"/>
        </w:rPr>
        <w:t>,</w:t>
      </w:r>
      <w:r>
        <w:rPr>
          <w:rFonts w:ascii="Verdana" w:eastAsia="Malgun Gothic" w:hAnsi="Verdana" w:cs="Arial"/>
          <w:iCs/>
          <w:sz w:val="18"/>
          <w:szCs w:val="18"/>
          <w:lang w:val="el-GR"/>
        </w:rPr>
        <w:t xml:space="preserve"> </w:t>
      </w:r>
      <w:r w:rsidRPr="007B2DD9">
        <w:rPr>
          <w:rFonts w:ascii="Verdana" w:eastAsia="Malgun Gothic" w:hAnsi="Verdana" w:cs="Arial"/>
          <w:i/>
          <w:sz w:val="18"/>
          <w:szCs w:val="18"/>
          <w:lang w:val="el-GR"/>
        </w:rPr>
        <w:t>Τρόφιμα και μη Αλκοολούχα Ποτά</w:t>
      </w:r>
      <w:r>
        <w:rPr>
          <w:rFonts w:ascii="Verdana" w:eastAsia="Malgun Gothic" w:hAnsi="Verdana" w:cs="Arial"/>
          <w:iCs/>
          <w:sz w:val="18"/>
          <w:szCs w:val="18"/>
          <w:lang w:val="el-GR"/>
        </w:rPr>
        <w:t xml:space="preserve"> (</w:t>
      </w:r>
      <w:r w:rsidR="00FE3076">
        <w:rPr>
          <w:rFonts w:ascii="Verdana" w:eastAsia="Malgun Gothic" w:hAnsi="Verdana" w:cs="Arial"/>
          <w:iCs/>
          <w:sz w:val="18"/>
          <w:szCs w:val="18"/>
          <w:lang w:val="el-GR"/>
        </w:rPr>
        <w:t>8</w:t>
      </w:r>
      <w:r>
        <w:rPr>
          <w:rFonts w:ascii="Verdana" w:eastAsia="Malgun Gothic" w:hAnsi="Verdana" w:cs="Arial"/>
          <w:iCs/>
          <w:sz w:val="18"/>
          <w:szCs w:val="18"/>
          <w:lang w:val="el-GR"/>
        </w:rPr>
        <w:t>,</w:t>
      </w:r>
      <w:r w:rsidR="00FE3076">
        <w:rPr>
          <w:rFonts w:ascii="Verdana" w:eastAsia="Malgun Gothic" w:hAnsi="Verdana" w:cs="Arial"/>
          <w:iCs/>
          <w:sz w:val="18"/>
          <w:szCs w:val="18"/>
          <w:lang w:val="el-GR"/>
        </w:rPr>
        <w:t>5</w:t>
      </w:r>
      <w:r>
        <w:rPr>
          <w:rFonts w:ascii="Verdana" w:eastAsia="Malgun Gothic" w:hAnsi="Verdana" w:cs="Arial"/>
          <w:iCs/>
          <w:sz w:val="18"/>
          <w:szCs w:val="18"/>
          <w:lang w:val="el-GR"/>
        </w:rPr>
        <w:t>%)</w:t>
      </w:r>
      <w:r w:rsidR="00FE3076">
        <w:rPr>
          <w:rFonts w:ascii="Verdana" w:eastAsia="Malgun Gothic" w:hAnsi="Verdana" w:cs="Arial"/>
          <w:iCs/>
          <w:sz w:val="18"/>
          <w:szCs w:val="18"/>
          <w:lang w:val="el-GR"/>
        </w:rPr>
        <w:t xml:space="preserve"> και </w:t>
      </w:r>
      <w:r w:rsidR="00FE3076" w:rsidRPr="00FE3076">
        <w:rPr>
          <w:rFonts w:ascii="Verdana" w:eastAsia="Malgun Gothic" w:hAnsi="Verdana" w:cs="Arial"/>
          <w:i/>
          <w:iCs/>
          <w:sz w:val="18"/>
          <w:szCs w:val="18"/>
          <w:lang w:val="el-GR"/>
        </w:rPr>
        <w:t>Εστιατόρια και Ξενοδοχεία</w:t>
      </w:r>
      <w:r w:rsidR="00FE3076">
        <w:rPr>
          <w:rFonts w:ascii="Verdana" w:eastAsia="Malgun Gothic" w:hAnsi="Verdana" w:cs="Arial"/>
          <w:i/>
          <w:iCs/>
          <w:sz w:val="18"/>
          <w:szCs w:val="18"/>
          <w:lang w:val="el-GR"/>
        </w:rPr>
        <w:t xml:space="preserve"> </w:t>
      </w:r>
      <w:r w:rsidR="00FE3076">
        <w:rPr>
          <w:rFonts w:ascii="Verdana" w:eastAsia="Malgun Gothic" w:hAnsi="Verdana" w:cs="Arial"/>
          <w:iCs/>
          <w:sz w:val="18"/>
          <w:szCs w:val="18"/>
          <w:lang w:val="el-GR"/>
        </w:rPr>
        <w:t>(8,2%)</w:t>
      </w:r>
      <w:r>
        <w:rPr>
          <w:rFonts w:ascii="Verdana" w:eastAsia="Malgun Gothic" w:hAnsi="Verdana" w:cs="Arial"/>
          <w:sz w:val="18"/>
          <w:szCs w:val="18"/>
          <w:lang w:val="el-GR"/>
        </w:rPr>
        <w:t xml:space="preserve">. </w:t>
      </w:r>
      <w:r w:rsidRPr="004F03FD">
        <w:rPr>
          <w:rFonts w:ascii="Verdana" w:eastAsia="Malgun Gothic" w:hAnsi="Verdana" w:cs="Arial"/>
          <w:sz w:val="18"/>
          <w:szCs w:val="18"/>
          <w:lang w:val="el-GR"/>
        </w:rPr>
        <w:t>(Πίνακας</w:t>
      </w:r>
      <w:r>
        <w:rPr>
          <w:rFonts w:ascii="Verdana" w:eastAsia="Malgun Gothic" w:hAnsi="Verdana" w:cs="Arial"/>
          <w:sz w:val="18"/>
          <w:szCs w:val="18"/>
          <w:lang w:val="el-GR"/>
        </w:rPr>
        <w:t xml:space="preserve"> 1</w:t>
      </w:r>
      <w:r w:rsidRPr="004F03FD">
        <w:rPr>
          <w:rFonts w:ascii="Verdana" w:eastAsia="Malgun Gothic" w:hAnsi="Verdana" w:cs="Arial"/>
          <w:sz w:val="18"/>
          <w:szCs w:val="18"/>
          <w:lang w:val="el-GR"/>
        </w:rPr>
        <w:t>)</w:t>
      </w:r>
    </w:p>
    <w:p w:rsidR="00AF5CC6" w:rsidRDefault="00AF5CC6" w:rsidP="00AF5CC6">
      <w:pPr>
        <w:jc w:val="both"/>
        <w:rPr>
          <w:rFonts w:ascii="Verdana" w:eastAsia="Malgun Gothic" w:hAnsi="Verdana" w:cs="Arial"/>
          <w:sz w:val="18"/>
          <w:szCs w:val="18"/>
          <w:lang w:val="el-GR"/>
        </w:rPr>
      </w:pPr>
    </w:p>
    <w:p w:rsidR="00922253" w:rsidRDefault="00AC27A7" w:rsidP="00AF5CC6">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Οι</w:t>
      </w:r>
      <w:r w:rsidR="00AF5CC6">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ες</w:t>
      </w:r>
      <w:r w:rsidR="00AF5CC6">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ές</w:t>
      </w:r>
      <w:r w:rsidR="00AF5CC6" w:rsidRPr="004F03FD">
        <w:rPr>
          <w:rFonts w:ascii="Verdana" w:eastAsia="Malgun Gothic" w:hAnsi="Verdana" w:cs="Arial"/>
          <w:sz w:val="18"/>
          <w:szCs w:val="18"/>
          <w:lang w:val="el-GR"/>
        </w:rPr>
        <w:t xml:space="preserve"> </w:t>
      </w:r>
      <w:r w:rsidR="00AF5CC6">
        <w:rPr>
          <w:rFonts w:ascii="Verdana" w:eastAsia="Malgun Gothic" w:hAnsi="Verdana" w:cs="Arial"/>
          <w:sz w:val="18"/>
          <w:szCs w:val="18"/>
          <w:lang w:val="el-GR"/>
        </w:rPr>
        <w:t xml:space="preserve">στις οικονομικές κατηγορίες </w:t>
      </w:r>
      <w:r w:rsidR="00AF5CC6" w:rsidRPr="009D1A55">
        <w:rPr>
          <w:rFonts w:ascii="Verdana" w:eastAsia="Malgun Gothic" w:hAnsi="Verdana" w:cs="Arial"/>
          <w:sz w:val="18"/>
          <w:szCs w:val="18"/>
          <w:lang w:val="el-GR"/>
        </w:rPr>
        <w:t xml:space="preserve">συγκριτικά με τον </w:t>
      </w:r>
      <w:r w:rsidR="00351BEC">
        <w:rPr>
          <w:rFonts w:ascii="Verdana" w:eastAsia="Malgun Gothic" w:hAnsi="Verdana" w:cs="Arial"/>
          <w:sz w:val="18"/>
          <w:szCs w:val="18"/>
          <w:lang w:val="el-GR"/>
        </w:rPr>
        <w:t>Απρίλιο</w:t>
      </w:r>
      <w:r w:rsidR="00AF5CC6">
        <w:rPr>
          <w:rFonts w:ascii="Verdana" w:eastAsia="Malgun Gothic" w:hAnsi="Verdana" w:cs="Arial"/>
          <w:sz w:val="18"/>
          <w:szCs w:val="18"/>
          <w:lang w:val="el-GR"/>
        </w:rPr>
        <w:t xml:space="preserve"> του 202</w:t>
      </w:r>
      <w:r w:rsidR="00B032BE">
        <w:rPr>
          <w:rFonts w:ascii="Verdana" w:eastAsia="Malgun Gothic" w:hAnsi="Verdana" w:cs="Arial"/>
          <w:sz w:val="18"/>
          <w:szCs w:val="18"/>
          <w:lang w:val="el-GR"/>
        </w:rPr>
        <w:t>2</w:t>
      </w:r>
      <w:r w:rsidR="00F555BC">
        <w:rPr>
          <w:rFonts w:ascii="Verdana" w:eastAsia="Malgun Gothic" w:hAnsi="Verdana" w:cs="Arial"/>
          <w:sz w:val="18"/>
          <w:szCs w:val="18"/>
          <w:lang w:val="el-GR"/>
        </w:rPr>
        <w:t xml:space="preserve"> </w:t>
      </w:r>
      <w:r w:rsidR="00F555BC" w:rsidRPr="004F03FD">
        <w:rPr>
          <w:rFonts w:ascii="Verdana" w:eastAsia="Malgun Gothic" w:hAnsi="Verdana" w:cs="Arial"/>
          <w:sz w:val="18"/>
          <w:szCs w:val="18"/>
          <w:lang w:val="el-GR"/>
        </w:rPr>
        <w:t>παρατηρήθηκ</w:t>
      </w:r>
      <w:r>
        <w:rPr>
          <w:rFonts w:ascii="Verdana" w:eastAsia="Malgun Gothic" w:hAnsi="Verdana" w:cs="Arial"/>
          <w:sz w:val="18"/>
          <w:szCs w:val="18"/>
          <w:lang w:val="el-GR"/>
        </w:rPr>
        <w:t>αν</w:t>
      </w:r>
      <w:r w:rsidR="00F555BC" w:rsidRPr="004F03FD">
        <w:rPr>
          <w:rFonts w:ascii="Verdana" w:eastAsia="Malgun Gothic" w:hAnsi="Verdana" w:cs="Arial"/>
          <w:sz w:val="18"/>
          <w:szCs w:val="18"/>
          <w:lang w:val="el-GR"/>
        </w:rPr>
        <w:t xml:space="preserve"> στ</w:t>
      </w:r>
      <w:r>
        <w:rPr>
          <w:rFonts w:ascii="Verdana" w:eastAsia="Malgun Gothic" w:hAnsi="Verdana" w:cs="Arial"/>
          <w:sz w:val="18"/>
          <w:szCs w:val="18"/>
          <w:lang w:val="el-GR"/>
        </w:rPr>
        <w:t>ις</w:t>
      </w:r>
      <w:r w:rsidR="00F555BC" w:rsidRPr="004F03FD">
        <w:rPr>
          <w:rFonts w:ascii="Verdana" w:eastAsia="Malgun Gothic" w:hAnsi="Verdana" w:cs="Arial"/>
          <w:sz w:val="18"/>
          <w:szCs w:val="18"/>
          <w:lang w:val="el-GR"/>
        </w:rPr>
        <w:t xml:space="preserve"> κατηγορί</w:t>
      </w:r>
      <w:r>
        <w:rPr>
          <w:rFonts w:ascii="Verdana" w:eastAsia="Malgun Gothic" w:hAnsi="Verdana" w:cs="Arial"/>
          <w:sz w:val="18"/>
          <w:szCs w:val="18"/>
          <w:lang w:val="el-GR"/>
        </w:rPr>
        <w:t>ες</w:t>
      </w:r>
      <w:r w:rsidR="00AF5CC6" w:rsidRPr="004F03FD">
        <w:rPr>
          <w:rFonts w:ascii="Verdana" w:eastAsia="Malgun Gothic" w:hAnsi="Verdana" w:cs="Arial"/>
          <w:sz w:val="18"/>
          <w:szCs w:val="18"/>
          <w:lang w:val="el-GR"/>
        </w:rPr>
        <w:t xml:space="preserve"> </w:t>
      </w:r>
      <w:r w:rsidR="00351BEC" w:rsidRPr="00351BEC">
        <w:rPr>
          <w:rFonts w:ascii="Verdana" w:eastAsia="Malgun Gothic" w:hAnsi="Verdana" w:cs="Arial"/>
          <w:i/>
          <w:sz w:val="18"/>
          <w:szCs w:val="18"/>
          <w:lang w:val="el-GR"/>
        </w:rPr>
        <w:t>Τρόφιμα-Αλκοολούχα Ποτά-Καπνός</w:t>
      </w:r>
      <w:r w:rsidR="00AF5CC6">
        <w:rPr>
          <w:rFonts w:ascii="Verdana" w:eastAsia="Malgun Gothic" w:hAnsi="Verdana" w:cs="Arial"/>
          <w:sz w:val="18"/>
          <w:szCs w:val="18"/>
          <w:lang w:val="el-GR"/>
        </w:rPr>
        <w:t xml:space="preserve"> </w:t>
      </w:r>
      <w:r>
        <w:rPr>
          <w:rFonts w:ascii="Verdana" w:eastAsia="Malgun Gothic" w:hAnsi="Verdana" w:cs="Arial"/>
          <w:sz w:val="18"/>
          <w:szCs w:val="18"/>
          <w:lang w:val="el-GR"/>
        </w:rPr>
        <w:t>(5,8%) και</w:t>
      </w:r>
      <w:r w:rsidRPr="00AC27A7">
        <w:rPr>
          <w:lang w:val="el-GR"/>
        </w:rPr>
        <w:t xml:space="preserve"> </w:t>
      </w:r>
      <w:r w:rsidRPr="00AC27A7">
        <w:rPr>
          <w:rFonts w:ascii="Verdana" w:eastAsia="Malgun Gothic" w:hAnsi="Verdana" w:cs="Arial"/>
          <w:i/>
          <w:sz w:val="18"/>
          <w:szCs w:val="18"/>
          <w:lang w:val="el-GR"/>
        </w:rPr>
        <w:t>Μη ενεργειακά βιομηχανικά προϊόντα</w:t>
      </w:r>
      <w:r>
        <w:rPr>
          <w:rFonts w:ascii="Verdana" w:eastAsia="Malgun Gothic" w:hAnsi="Verdana" w:cs="Arial"/>
          <w:sz w:val="18"/>
          <w:szCs w:val="18"/>
          <w:lang w:val="el-GR"/>
        </w:rPr>
        <w:t xml:space="preserve"> (5,7%)</w:t>
      </w:r>
      <w:bookmarkStart w:id="0" w:name="_Hlk119397424"/>
      <w:r w:rsidR="00DB1B7A" w:rsidRPr="001B25A4">
        <w:rPr>
          <w:rFonts w:ascii="Verdana" w:eastAsia="Malgun Gothic" w:hAnsi="Verdana" w:cs="Arial"/>
          <w:sz w:val="18"/>
          <w:szCs w:val="18"/>
          <w:lang w:val="el-GR"/>
        </w:rPr>
        <w:t xml:space="preserve">. </w:t>
      </w:r>
      <w:r w:rsidR="00DB1B7A">
        <w:rPr>
          <w:rFonts w:ascii="Verdana" w:eastAsia="Malgun Gothic" w:hAnsi="Verdana" w:cs="Arial"/>
          <w:sz w:val="18"/>
          <w:szCs w:val="18"/>
          <w:lang w:val="el-GR"/>
        </w:rPr>
        <w:t xml:space="preserve">Σε σχέση με τον προηγούμενο μήνα, </w:t>
      </w:r>
      <w:r w:rsidR="00183C7C">
        <w:rPr>
          <w:rFonts w:ascii="Verdana" w:eastAsia="Malgun Gothic" w:hAnsi="Verdana" w:cs="Arial"/>
          <w:sz w:val="18"/>
          <w:szCs w:val="18"/>
          <w:lang w:val="el-GR"/>
        </w:rPr>
        <w:t>η κατηγορία</w:t>
      </w:r>
      <w:r w:rsidR="00DB1B7A">
        <w:rPr>
          <w:rFonts w:ascii="Verdana" w:eastAsia="Malgun Gothic" w:hAnsi="Verdana" w:cs="Arial"/>
          <w:sz w:val="18"/>
          <w:szCs w:val="18"/>
          <w:lang w:val="el-GR"/>
        </w:rPr>
        <w:t xml:space="preserve"> </w:t>
      </w:r>
      <w:r w:rsidR="00351BEC" w:rsidRPr="00351BEC">
        <w:rPr>
          <w:rFonts w:ascii="Verdana" w:eastAsia="Malgun Gothic" w:hAnsi="Verdana" w:cs="Arial"/>
          <w:i/>
          <w:sz w:val="18"/>
          <w:szCs w:val="18"/>
          <w:lang w:val="el-GR"/>
        </w:rPr>
        <w:t xml:space="preserve">Ενέργεια </w:t>
      </w:r>
      <w:r w:rsidR="00DB1B7A">
        <w:rPr>
          <w:rFonts w:ascii="Verdana" w:eastAsia="Malgun Gothic" w:hAnsi="Verdana" w:cs="Arial"/>
          <w:sz w:val="18"/>
          <w:szCs w:val="18"/>
          <w:lang w:val="el-GR"/>
        </w:rPr>
        <w:t>(</w:t>
      </w:r>
      <w:r w:rsidR="00351BEC">
        <w:rPr>
          <w:rFonts w:ascii="Verdana" w:eastAsia="Malgun Gothic" w:hAnsi="Verdana" w:cs="Arial"/>
          <w:sz w:val="18"/>
          <w:szCs w:val="18"/>
          <w:lang w:val="el-GR"/>
        </w:rPr>
        <w:t>-2</w:t>
      </w:r>
      <w:r w:rsidR="00DB1B7A">
        <w:rPr>
          <w:rFonts w:ascii="Verdana" w:eastAsia="Malgun Gothic" w:hAnsi="Verdana" w:cs="Arial"/>
          <w:sz w:val="18"/>
          <w:szCs w:val="18"/>
          <w:lang w:val="el-GR"/>
        </w:rPr>
        <w:t>,</w:t>
      </w:r>
      <w:r w:rsidR="00351BEC">
        <w:rPr>
          <w:rFonts w:ascii="Verdana" w:eastAsia="Malgun Gothic" w:hAnsi="Verdana" w:cs="Arial"/>
          <w:sz w:val="18"/>
          <w:szCs w:val="18"/>
          <w:lang w:val="el-GR"/>
        </w:rPr>
        <w:t>9</w:t>
      </w:r>
      <w:r w:rsidR="00DB1B7A">
        <w:rPr>
          <w:rFonts w:ascii="Verdana" w:eastAsia="Malgun Gothic" w:hAnsi="Verdana" w:cs="Arial"/>
          <w:sz w:val="18"/>
          <w:szCs w:val="18"/>
          <w:lang w:val="el-GR"/>
        </w:rPr>
        <w:t>%) σημείωσ</w:t>
      </w:r>
      <w:r w:rsidR="00183C7C">
        <w:rPr>
          <w:rFonts w:ascii="Verdana" w:eastAsia="Malgun Gothic" w:hAnsi="Verdana" w:cs="Arial"/>
          <w:sz w:val="18"/>
          <w:szCs w:val="18"/>
          <w:lang w:val="el-GR"/>
        </w:rPr>
        <w:t>ε</w:t>
      </w:r>
      <w:r w:rsidR="00DB1B7A">
        <w:rPr>
          <w:rFonts w:ascii="Verdana" w:eastAsia="Malgun Gothic" w:hAnsi="Verdana" w:cs="Arial"/>
          <w:sz w:val="18"/>
          <w:szCs w:val="18"/>
          <w:lang w:val="el-GR"/>
        </w:rPr>
        <w:t xml:space="preserve"> τ</w:t>
      </w:r>
      <w:r w:rsidR="00183C7C">
        <w:rPr>
          <w:rFonts w:ascii="Verdana" w:eastAsia="Malgun Gothic" w:hAnsi="Verdana" w:cs="Arial"/>
          <w:sz w:val="18"/>
          <w:szCs w:val="18"/>
          <w:lang w:val="el-GR"/>
        </w:rPr>
        <w:t>η</w:t>
      </w:r>
      <w:r w:rsidR="00DB1B7A">
        <w:rPr>
          <w:rFonts w:ascii="Verdana" w:eastAsia="Malgun Gothic" w:hAnsi="Verdana" w:cs="Arial"/>
          <w:sz w:val="18"/>
          <w:szCs w:val="18"/>
          <w:lang w:val="el-GR"/>
        </w:rPr>
        <w:t xml:space="preserve"> μεγαλύτερ</w:t>
      </w:r>
      <w:r w:rsidR="00183C7C">
        <w:rPr>
          <w:rFonts w:ascii="Verdana" w:eastAsia="Malgun Gothic" w:hAnsi="Verdana" w:cs="Arial"/>
          <w:sz w:val="18"/>
          <w:szCs w:val="18"/>
          <w:lang w:val="el-GR"/>
        </w:rPr>
        <w:t>η</w:t>
      </w:r>
      <w:r w:rsidR="00DB1B7A">
        <w:rPr>
          <w:rFonts w:ascii="Verdana" w:eastAsia="Malgun Gothic" w:hAnsi="Verdana" w:cs="Arial"/>
          <w:sz w:val="18"/>
          <w:szCs w:val="18"/>
          <w:lang w:val="el-GR"/>
        </w:rPr>
        <w:t xml:space="preserve"> μεταβολ</w:t>
      </w:r>
      <w:r w:rsidR="00A823EA">
        <w:rPr>
          <w:rFonts w:ascii="Verdana" w:eastAsia="Malgun Gothic" w:hAnsi="Verdana" w:cs="Arial"/>
          <w:sz w:val="18"/>
          <w:szCs w:val="18"/>
          <w:lang w:val="el-GR"/>
        </w:rPr>
        <w:t>ή</w:t>
      </w:r>
      <w:r w:rsidR="00DB1B7A">
        <w:rPr>
          <w:rFonts w:ascii="Verdana" w:eastAsia="Malgun Gothic" w:hAnsi="Verdana" w:cs="Arial"/>
          <w:sz w:val="18"/>
          <w:szCs w:val="18"/>
          <w:lang w:val="el-GR"/>
        </w:rPr>
        <w:t>.</w:t>
      </w:r>
      <w:bookmarkEnd w:id="0"/>
      <w:r>
        <w:rPr>
          <w:rFonts w:ascii="Verdana" w:eastAsia="Malgun Gothic" w:hAnsi="Verdana" w:cs="Arial"/>
          <w:sz w:val="18"/>
          <w:szCs w:val="18"/>
          <w:lang w:val="el-GR"/>
        </w:rPr>
        <w:t xml:space="preserve"> </w:t>
      </w:r>
      <w:r w:rsidR="00922253" w:rsidRPr="004F03FD">
        <w:rPr>
          <w:rFonts w:ascii="Verdana" w:eastAsia="Malgun Gothic" w:hAnsi="Verdana" w:cs="Arial"/>
          <w:sz w:val="18"/>
          <w:szCs w:val="18"/>
          <w:lang w:val="el-GR"/>
        </w:rPr>
        <w:t xml:space="preserve">(Πίνακας </w:t>
      </w:r>
      <w:r w:rsidR="00922253">
        <w:rPr>
          <w:rFonts w:ascii="Verdana" w:eastAsia="Malgun Gothic" w:hAnsi="Verdana" w:cs="Arial"/>
          <w:sz w:val="18"/>
          <w:szCs w:val="18"/>
          <w:lang w:val="el-GR"/>
        </w:rPr>
        <w:t>2</w:t>
      </w:r>
      <w:r w:rsidR="00922253" w:rsidRPr="004F03FD">
        <w:rPr>
          <w:rFonts w:ascii="Verdana" w:eastAsia="Malgun Gothic" w:hAnsi="Verdana" w:cs="Arial"/>
          <w:sz w:val="18"/>
          <w:szCs w:val="18"/>
          <w:lang w:val="el-GR"/>
        </w:rPr>
        <w:t>)</w:t>
      </w:r>
    </w:p>
    <w:p w:rsidR="007B24C1" w:rsidRDefault="007B24C1" w:rsidP="00AF5CC6">
      <w:pPr>
        <w:tabs>
          <w:tab w:val="left" w:pos="1080"/>
          <w:tab w:val="left" w:pos="6840"/>
        </w:tabs>
        <w:jc w:val="both"/>
        <w:rPr>
          <w:rFonts w:ascii="Verdana" w:eastAsia="Malgun Gothic" w:hAnsi="Verdana" w:cs="Arial"/>
          <w:sz w:val="18"/>
          <w:szCs w:val="18"/>
          <w:lang w:val="el-GR"/>
        </w:rPr>
      </w:pPr>
    </w:p>
    <w:tbl>
      <w:tblPr>
        <w:tblW w:w="5377" w:type="pct"/>
        <w:jc w:val="center"/>
        <w:tblLayout w:type="fixed"/>
        <w:tblLook w:val="04A0" w:firstRow="1" w:lastRow="0" w:firstColumn="1" w:lastColumn="0" w:noHBand="0" w:noVBand="1"/>
      </w:tblPr>
      <w:tblGrid>
        <w:gridCol w:w="2715"/>
        <w:gridCol w:w="1543"/>
        <w:gridCol w:w="1549"/>
        <w:gridCol w:w="1454"/>
        <w:gridCol w:w="1206"/>
        <w:gridCol w:w="1844"/>
      </w:tblGrid>
      <w:tr w:rsidR="005425F7" w:rsidRPr="008774AA">
        <w:trPr>
          <w:trHeight w:val="170"/>
          <w:jc w:val="center"/>
        </w:trPr>
        <w:tc>
          <w:tcPr>
            <w:tcW w:w="5000" w:type="pct"/>
            <w:gridSpan w:val="6"/>
            <w:tcBorders>
              <w:left w:val="nil"/>
              <w:bottom w:val="single" w:sz="4" w:space="0" w:color="366092"/>
            </w:tcBorders>
            <w:shd w:val="clear" w:color="FFFFFF" w:fill="FFFFFF"/>
            <w:vAlign w:val="center"/>
            <w:hideMark/>
          </w:tcPr>
          <w:p w:rsidR="005425F7" w:rsidRPr="008774AA" w:rsidRDefault="005425F7">
            <w:pPr>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Πίνακας 1</w:t>
            </w:r>
          </w:p>
        </w:tc>
      </w:tr>
      <w:tr w:rsidR="005425F7" w:rsidRPr="008774AA">
        <w:trPr>
          <w:trHeight w:val="266"/>
          <w:jc w:val="center"/>
        </w:trPr>
        <w:tc>
          <w:tcPr>
            <w:tcW w:w="1317" w:type="pct"/>
            <w:vMerge w:val="restart"/>
            <w:tcBorders>
              <w:top w:val="single" w:sz="4" w:space="0" w:color="366092"/>
              <w:left w:val="nil"/>
              <w:bottom w:val="single" w:sz="4" w:space="0" w:color="366092"/>
            </w:tcBorders>
            <w:shd w:val="clear" w:color="FFFFFF" w:fill="FFFFFF"/>
            <w:vAlign w:val="center"/>
            <w:hideMark/>
          </w:tcPr>
          <w:p w:rsidR="005425F7" w:rsidRPr="008774AA" w:rsidRDefault="005425F7">
            <w:pPr>
              <w:rPr>
                <w:rFonts w:ascii="Verdana" w:eastAsia="Times New Roman" w:hAnsi="Verdana" w:cs="Arial"/>
                <w:b/>
                <w:color w:val="365F91"/>
                <w:sz w:val="18"/>
                <w:szCs w:val="18"/>
                <w:lang w:val="el-GR"/>
              </w:rPr>
            </w:pPr>
            <w:r w:rsidRPr="008774AA">
              <w:rPr>
                <w:rFonts w:ascii="Verdana" w:eastAsia="Times New Roman" w:hAnsi="Verdana" w:cs="Arial"/>
                <w:b/>
                <w:color w:val="365F91"/>
                <w:sz w:val="18"/>
                <w:szCs w:val="18"/>
                <w:lang w:val="el-GR"/>
              </w:rPr>
              <w:t>Κατηγορίες Αγαθών και Υπηρεσιών</w:t>
            </w:r>
          </w:p>
        </w:tc>
        <w:tc>
          <w:tcPr>
            <w:tcW w:w="1499" w:type="pct"/>
            <w:gridSpan w:val="2"/>
            <w:tcBorders>
              <w:top w:val="single" w:sz="4" w:space="0" w:color="366092"/>
              <w:bottom w:val="single" w:sz="4" w:space="0" w:color="366092"/>
            </w:tcBorders>
            <w:shd w:val="clear" w:color="FFFFFF" w:fill="FFFFFF"/>
            <w:noWrap/>
            <w:vAlign w:val="center"/>
            <w:hideMark/>
          </w:tcPr>
          <w:p w:rsidR="005425F7" w:rsidRPr="008774AA" w:rsidRDefault="005425F7">
            <w:pPr>
              <w:jc w:val="center"/>
              <w:rPr>
                <w:rFonts w:ascii="Verdana" w:eastAsia="Times New Roman" w:hAnsi="Verdana" w:cs="Arial"/>
                <w:color w:val="365F91"/>
                <w:sz w:val="18"/>
                <w:szCs w:val="18"/>
                <w:lang w:val="el-GR"/>
              </w:rPr>
            </w:pPr>
            <w:proofErr w:type="spellStart"/>
            <w:r w:rsidRPr="008774AA">
              <w:rPr>
                <w:rFonts w:ascii="Verdana" w:eastAsia="Times New Roman" w:hAnsi="Verdana" w:cs="Arial"/>
                <w:color w:val="365F91"/>
                <w:sz w:val="18"/>
                <w:szCs w:val="18"/>
                <w:lang w:val="el-GR"/>
              </w:rPr>
              <w:t>ΕνΔΤΚ</w:t>
            </w:r>
            <w:proofErr w:type="spellEnd"/>
            <w:r w:rsidRPr="008774AA">
              <w:rPr>
                <w:rFonts w:ascii="Verdana" w:eastAsia="Times New Roman" w:hAnsi="Verdana" w:cs="Arial"/>
                <w:color w:val="365F91"/>
                <w:sz w:val="18"/>
                <w:szCs w:val="18"/>
                <w:lang w:val="el-GR"/>
              </w:rPr>
              <w:t xml:space="preserve"> (2015=100)</w:t>
            </w:r>
          </w:p>
        </w:tc>
        <w:tc>
          <w:tcPr>
            <w:tcW w:w="2184" w:type="pct"/>
            <w:gridSpan w:val="3"/>
            <w:tcBorders>
              <w:top w:val="single" w:sz="4" w:space="0" w:color="366092"/>
              <w:bottom w:val="single" w:sz="4" w:space="0" w:color="366092"/>
            </w:tcBorders>
            <w:shd w:val="clear" w:color="auto" w:fill="auto"/>
            <w:noWrap/>
            <w:vAlign w:val="center"/>
            <w:hideMark/>
          </w:tcPr>
          <w:p w:rsidR="005425F7" w:rsidRPr="008774AA" w:rsidRDefault="005425F7">
            <w:pPr>
              <w:jc w:val="center"/>
              <w:rPr>
                <w:rFonts w:ascii="Verdana" w:eastAsia="Times New Roman" w:hAnsi="Verdana" w:cs="Arial"/>
                <w:color w:val="365F91"/>
                <w:sz w:val="18"/>
                <w:szCs w:val="18"/>
                <w:lang w:val="el-GR"/>
              </w:rPr>
            </w:pPr>
            <w:r w:rsidRPr="008774AA">
              <w:rPr>
                <w:rFonts w:ascii="Verdana" w:eastAsia="Times New Roman" w:hAnsi="Verdana" w:cs="Arial"/>
                <w:color w:val="365F91"/>
                <w:sz w:val="18"/>
                <w:szCs w:val="18"/>
                <w:lang w:val="el-GR"/>
              </w:rPr>
              <w:t>Μεταβολές (%)</w:t>
            </w:r>
          </w:p>
        </w:tc>
      </w:tr>
      <w:tr w:rsidR="005425F7" w:rsidRPr="008774AA" w:rsidTr="007F1828">
        <w:trPr>
          <w:trHeight w:val="594"/>
          <w:jc w:val="center"/>
        </w:trPr>
        <w:tc>
          <w:tcPr>
            <w:tcW w:w="1317" w:type="pct"/>
            <w:vMerge/>
            <w:tcBorders>
              <w:top w:val="single" w:sz="4" w:space="0" w:color="366092"/>
              <w:left w:val="nil"/>
              <w:bottom w:val="single" w:sz="4" w:space="0" w:color="366092"/>
            </w:tcBorders>
            <w:vAlign w:val="center"/>
            <w:hideMark/>
          </w:tcPr>
          <w:p w:rsidR="005425F7" w:rsidRPr="008774AA" w:rsidRDefault="005425F7">
            <w:pPr>
              <w:rPr>
                <w:rFonts w:ascii="Verdana" w:eastAsia="Times New Roman" w:hAnsi="Verdana" w:cs="Arial"/>
                <w:b/>
                <w:bCs/>
                <w:color w:val="365F91"/>
                <w:sz w:val="18"/>
                <w:szCs w:val="18"/>
              </w:rPr>
            </w:pPr>
          </w:p>
        </w:tc>
        <w:tc>
          <w:tcPr>
            <w:tcW w:w="748" w:type="pct"/>
            <w:tcBorders>
              <w:top w:val="single" w:sz="4" w:space="0" w:color="366092"/>
              <w:bottom w:val="single" w:sz="4" w:space="0" w:color="366092"/>
            </w:tcBorders>
            <w:shd w:val="clear" w:color="FFFFFF" w:fill="FFFFFF"/>
            <w:vAlign w:val="center"/>
            <w:hideMark/>
          </w:tcPr>
          <w:p w:rsidR="00360B86" w:rsidRPr="008774AA" w:rsidRDefault="00360B86" w:rsidP="00360B86">
            <w:pPr>
              <w:jc w:val="center"/>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Μάρτιος</w:t>
            </w:r>
          </w:p>
          <w:p w:rsidR="005425F7" w:rsidRPr="008774AA" w:rsidRDefault="00360B86" w:rsidP="00360B86">
            <w:pPr>
              <w:jc w:val="center"/>
              <w:rPr>
                <w:rFonts w:ascii="Verdana" w:eastAsia="Times New Roman" w:hAnsi="Verdana" w:cs="Arial"/>
                <w:b/>
                <w:bCs/>
                <w:color w:val="365F91"/>
                <w:sz w:val="18"/>
                <w:szCs w:val="18"/>
              </w:rPr>
            </w:pPr>
            <w:r w:rsidRPr="008774AA">
              <w:rPr>
                <w:rFonts w:ascii="Verdana" w:eastAsia="Times New Roman" w:hAnsi="Verdana" w:cs="Arial"/>
                <w:b/>
                <w:bCs/>
                <w:color w:val="365F91"/>
                <w:sz w:val="18"/>
                <w:szCs w:val="18"/>
                <w:lang w:val="el-GR"/>
              </w:rPr>
              <w:t>2023</w:t>
            </w:r>
          </w:p>
        </w:tc>
        <w:tc>
          <w:tcPr>
            <w:tcW w:w="751" w:type="pct"/>
            <w:tcBorders>
              <w:top w:val="single" w:sz="4" w:space="0" w:color="366092"/>
              <w:bottom w:val="single" w:sz="4" w:space="0" w:color="366092"/>
            </w:tcBorders>
            <w:shd w:val="clear" w:color="FFFFFF" w:fill="FFFFFF"/>
            <w:vAlign w:val="center"/>
            <w:hideMark/>
          </w:tcPr>
          <w:p w:rsidR="005425F7" w:rsidRPr="008774AA" w:rsidRDefault="00360B8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Απρίλιος</w:t>
            </w:r>
          </w:p>
          <w:p w:rsidR="005425F7" w:rsidRPr="008774AA" w:rsidRDefault="005425F7">
            <w:pPr>
              <w:jc w:val="center"/>
              <w:rPr>
                <w:rFonts w:ascii="Verdana" w:eastAsia="Times New Roman" w:hAnsi="Verdana" w:cs="Arial"/>
                <w:b/>
                <w:bCs/>
                <w:color w:val="365F91"/>
                <w:sz w:val="18"/>
                <w:szCs w:val="18"/>
              </w:rPr>
            </w:pPr>
            <w:r w:rsidRPr="008774AA">
              <w:rPr>
                <w:rFonts w:ascii="Verdana" w:eastAsia="Times New Roman" w:hAnsi="Verdana" w:cs="Arial"/>
                <w:b/>
                <w:bCs/>
                <w:color w:val="365F91"/>
                <w:sz w:val="18"/>
                <w:szCs w:val="18"/>
                <w:lang w:val="el-GR"/>
              </w:rPr>
              <w:t>202</w:t>
            </w:r>
            <w:r w:rsidR="00C10683" w:rsidRPr="008774AA">
              <w:rPr>
                <w:rFonts w:ascii="Verdana" w:eastAsia="Times New Roman" w:hAnsi="Verdana" w:cs="Arial"/>
                <w:b/>
                <w:bCs/>
                <w:color w:val="365F91"/>
                <w:sz w:val="18"/>
                <w:szCs w:val="18"/>
                <w:lang w:val="el-GR"/>
              </w:rPr>
              <w:t>3</w:t>
            </w:r>
          </w:p>
        </w:tc>
        <w:tc>
          <w:tcPr>
            <w:tcW w:w="705" w:type="pct"/>
            <w:tcBorders>
              <w:top w:val="single" w:sz="4" w:space="0" w:color="366092"/>
              <w:bottom w:val="single" w:sz="4" w:space="0" w:color="366092"/>
            </w:tcBorders>
            <w:shd w:val="clear" w:color="FFFFFF" w:fill="FFFFFF"/>
            <w:vAlign w:val="center"/>
            <w:hideMark/>
          </w:tcPr>
          <w:p w:rsidR="005425F7" w:rsidRPr="008774AA" w:rsidRDefault="00360B8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Απρ</w:t>
            </w:r>
            <w:r w:rsidR="005425F7" w:rsidRPr="008774AA">
              <w:rPr>
                <w:rFonts w:ascii="Verdana" w:eastAsia="Times New Roman" w:hAnsi="Verdana" w:cs="Arial"/>
                <w:b/>
                <w:bCs/>
                <w:color w:val="365F91"/>
                <w:sz w:val="18"/>
                <w:szCs w:val="18"/>
                <w:lang w:val="el-GR"/>
              </w:rPr>
              <w:t xml:space="preserve"> 2</w:t>
            </w:r>
            <w:r w:rsidR="00C10683" w:rsidRPr="008774AA">
              <w:rPr>
                <w:rFonts w:ascii="Verdana" w:eastAsia="Times New Roman" w:hAnsi="Verdana" w:cs="Arial"/>
                <w:b/>
                <w:bCs/>
                <w:color w:val="365F91"/>
                <w:sz w:val="18"/>
                <w:szCs w:val="18"/>
                <w:lang w:val="el-GR"/>
              </w:rPr>
              <w:t>3</w:t>
            </w:r>
            <w:r w:rsidR="005425F7" w:rsidRPr="008774AA">
              <w:rPr>
                <w:rFonts w:ascii="Verdana" w:eastAsia="Times New Roman" w:hAnsi="Verdana" w:cs="Arial"/>
                <w:b/>
                <w:bCs/>
                <w:color w:val="365F91"/>
                <w:sz w:val="18"/>
                <w:szCs w:val="18"/>
                <w:lang w:val="el-GR"/>
              </w:rPr>
              <w:t>/</w:t>
            </w:r>
          </w:p>
          <w:p w:rsidR="005425F7" w:rsidRPr="008774AA" w:rsidRDefault="005425F7">
            <w:pPr>
              <w:jc w:val="center"/>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 xml:space="preserve"> </w:t>
            </w:r>
            <w:r w:rsidR="00360B86">
              <w:rPr>
                <w:rFonts w:ascii="Verdana" w:eastAsia="Times New Roman" w:hAnsi="Verdana" w:cs="Arial"/>
                <w:b/>
                <w:bCs/>
                <w:color w:val="365F91"/>
                <w:sz w:val="18"/>
                <w:szCs w:val="18"/>
                <w:lang w:val="el-GR"/>
              </w:rPr>
              <w:t>Απρ</w:t>
            </w:r>
            <w:r w:rsidRPr="008774AA">
              <w:rPr>
                <w:rFonts w:ascii="Verdana" w:eastAsia="Times New Roman" w:hAnsi="Verdana" w:cs="Arial"/>
                <w:b/>
                <w:bCs/>
                <w:color w:val="365F91"/>
                <w:sz w:val="18"/>
                <w:szCs w:val="18"/>
                <w:lang w:val="el-GR"/>
              </w:rPr>
              <w:t xml:space="preserve"> 2</w:t>
            </w:r>
            <w:r w:rsidR="00C10683" w:rsidRPr="008774AA">
              <w:rPr>
                <w:rFonts w:ascii="Verdana" w:eastAsia="Times New Roman" w:hAnsi="Verdana" w:cs="Arial"/>
                <w:b/>
                <w:bCs/>
                <w:color w:val="365F91"/>
                <w:sz w:val="18"/>
                <w:szCs w:val="18"/>
                <w:lang w:val="el-GR"/>
              </w:rPr>
              <w:t>2</w:t>
            </w:r>
          </w:p>
        </w:tc>
        <w:tc>
          <w:tcPr>
            <w:tcW w:w="585" w:type="pct"/>
            <w:tcBorders>
              <w:top w:val="single" w:sz="4" w:space="0" w:color="366092"/>
              <w:bottom w:val="single" w:sz="4" w:space="0" w:color="366092"/>
            </w:tcBorders>
            <w:shd w:val="clear" w:color="FFFFFF" w:fill="FFFFFF"/>
            <w:vAlign w:val="center"/>
            <w:hideMark/>
          </w:tcPr>
          <w:p w:rsidR="005425F7" w:rsidRPr="008774AA" w:rsidRDefault="00D849D4">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Απρ</w:t>
            </w:r>
            <w:r w:rsidR="005425F7" w:rsidRPr="008774AA">
              <w:rPr>
                <w:rFonts w:ascii="Verdana" w:eastAsia="Times New Roman" w:hAnsi="Verdana" w:cs="Arial"/>
                <w:b/>
                <w:bCs/>
                <w:color w:val="365F91"/>
                <w:sz w:val="18"/>
                <w:szCs w:val="18"/>
                <w:lang w:val="el-GR"/>
              </w:rPr>
              <w:t xml:space="preserve"> 2</w:t>
            </w:r>
            <w:r w:rsidR="00C10683" w:rsidRPr="008774AA">
              <w:rPr>
                <w:rFonts w:ascii="Verdana" w:eastAsia="Times New Roman" w:hAnsi="Verdana" w:cs="Arial"/>
                <w:b/>
                <w:bCs/>
                <w:color w:val="365F91"/>
                <w:sz w:val="18"/>
                <w:szCs w:val="18"/>
                <w:lang w:val="el-GR"/>
              </w:rPr>
              <w:t>3</w:t>
            </w:r>
            <w:r w:rsidR="005425F7" w:rsidRPr="008774AA">
              <w:rPr>
                <w:rFonts w:ascii="Verdana" w:eastAsia="Times New Roman" w:hAnsi="Verdana" w:cs="Arial"/>
                <w:b/>
                <w:bCs/>
                <w:color w:val="365F91"/>
                <w:sz w:val="18"/>
                <w:szCs w:val="18"/>
                <w:lang w:val="el-GR"/>
              </w:rPr>
              <w:t>/</w:t>
            </w:r>
          </w:p>
          <w:p w:rsidR="005425F7" w:rsidRPr="008774AA" w:rsidRDefault="00D849D4">
            <w:pPr>
              <w:jc w:val="center"/>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Μαρ</w:t>
            </w:r>
            <w:r w:rsidR="005425F7" w:rsidRPr="008774AA">
              <w:rPr>
                <w:rFonts w:ascii="Verdana" w:eastAsia="Times New Roman" w:hAnsi="Verdana" w:cs="Arial"/>
                <w:b/>
                <w:bCs/>
                <w:color w:val="365F91"/>
                <w:sz w:val="18"/>
                <w:szCs w:val="18"/>
                <w:lang w:val="el-GR"/>
              </w:rPr>
              <w:t xml:space="preserve"> 2</w:t>
            </w:r>
            <w:r w:rsidR="00C10683" w:rsidRPr="008774AA">
              <w:rPr>
                <w:rFonts w:ascii="Verdana" w:eastAsia="Times New Roman" w:hAnsi="Verdana" w:cs="Arial"/>
                <w:b/>
                <w:bCs/>
                <w:color w:val="365F91"/>
                <w:sz w:val="18"/>
                <w:szCs w:val="18"/>
                <w:lang w:val="el-GR"/>
              </w:rPr>
              <w:t>3</w:t>
            </w:r>
          </w:p>
        </w:tc>
        <w:tc>
          <w:tcPr>
            <w:tcW w:w="894" w:type="pct"/>
            <w:tcBorders>
              <w:top w:val="single" w:sz="4" w:space="0" w:color="366092"/>
              <w:bottom w:val="single" w:sz="4" w:space="0" w:color="366092"/>
            </w:tcBorders>
            <w:shd w:val="clear" w:color="FFFFFF" w:fill="FFFFFF"/>
            <w:vAlign w:val="center"/>
          </w:tcPr>
          <w:p w:rsidR="005425F7" w:rsidRPr="008774AA" w:rsidRDefault="005425F7">
            <w:pPr>
              <w:jc w:val="center"/>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 xml:space="preserve">Ιαν - </w:t>
            </w:r>
            <w:r w:rsidR="00D849D4">
              <w:rPr>
                <w:rFonts w:ascii="Verdana" w:eastAsia="Times New Roman" w:hAnsi="Verdana" w:cs="Arial"/>
                <w:b/>
                <w:bCs/>
                <w:color w:val="365F91"/>
                <w:sz w:val="18"/>
                <w:szCs w:val="18"/>
                <w:lang w:val="el-GR"/>
              </w:rPr>
              <w:t>Απρ</w:t>
            </w:r>
            <w:r w:rsidRPr="008774AA">
              <w:rPr>
                <w:rFonts w:ascii="Verdana" w:eastAsia="Times New Roman" w:hAnsi="Verdana" w:cs="Arial"/>
                <w:b/>
                <w:bCs/>
                <w:color w:val="365F91"/>
                <w:sz w:val="18"/>
                <w:szCs w:val="18"/>
                <w:lang w:val="el-GR"/>
              </w:rPr>
              <w:t xml:space="preserve"> 2</w:t>
            </w:r>
            <w:r w:rsidR="00C10683" w:rsidRPr="008774AA">
              <w:rPr>
                <w:rFonts w:ascii="Verdana" w:eastAsia="Times New Roman" w:hAnsi="Verdana" w:cs="Arial"/>
                <w:b/>
                <w:bCs/>
                <w:color w:val="365F91"/>
                <w:sz w:val="18"/>
                <w:szCs w:val="18"/>
                <w:lang w:val="el-GR"/>
              </w:rPr>
              <w:t>3</w:t>
            </w:r>
            <w:r w:rsidRPr="008774AA">
              <w:rPr>
                <w:rFonts w:ascii="Verdana" w:eastAsia="Times New Roman" w:hAnsi="Verdana" w:cs="Arial"/>
                <w:b/>
                <w:bCs/>
                <w:color w:val="365F91"/>
                <w:sz w:val="18"/>
                <w:szCs w:val="18"/>
                <w:lang w:val="el-GR"/>
              </w:rPr>
              <w:t>/</w:t>
            </w:r>
          </w:p>
          <w:p w:rsidR="005425F7" w:rsidRPr="008774AA" w:rsidRDefault="005425F7">
            <w:pPr>
              <w:jc w:val="center"/>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 xml:space="preserve">Ιαν - </w:t>
            </w:r>
            <w:r w:rsidR="00D849D4">
              <w:rPr>
                <w:rFonts w:ascii="Verdana" w:eastAsia="Times New Roman" w:hAnsi="Verdana" w:cs="Arial"/>
                <w:b/>
                <w:bCs/>
                <w:color w:val="365F91"/>
                <w:sz w:val="18"/>
                <w:szCs w:val="18"/>
                <w:lang w:val="el-GR"/>
              </w:rPr>
              <w:t>Απρ</w:t>
            </w:r>
            <w:r w:rsidRPr="008774AA">
              <w:rPr>
                <w:rFonts w:ascii="Verdana" w:eastAsia="Times New Roman" w:hAnsi="Verdana" w:cs="Arial"/>
                <w:b/>
                <w:bCs/>
                <w:color w:val="365F91"/>
                <w:sz w:val="18"/>
                <w:szCs w:val="18"/>
                <w:lang w:val="el-GR"/>
              </w:rPr>
              <w:t xml:space="preserve"> 2</w:t>
            </w:r>
            <w:r w:rsidR="00C10683" w:rsidRPr="008774AA">
              <w:rPr>
                <w:rFonts w:ascii="Verdana" w:eastAsia="Times New Roman" w:hAnsi="Verdana" w:cs="Arial"/>
                <w:b/>
                <w:bCs/>
                <w:color w:val="365F91"/>
                <w:sz w:val="18"/>
                <w:szCs w:val="18"/>
                <w:lang w:val="el-GR"/>
              </w:rPr>
              <w:t>2</w:t>
            </w:r>
          </w:p>
        </w:tc>
      </w:tr>
      <w:tr w:rsidR="00D3063B" w:rsidRPr="008774AA" w:rsidTr="00D3063B">
        <w:trPr>
          <w:trHeight w:val="567"/>
          <w:jc w:val="center"/>
        </w:trPr>
        <w:tc>
          <w:tcPr>
            <w:tcW w:w="1317" w:type="pct"/>
            <w:tcBorders>
              <w:top w:val="nil"/>
              <w:left w:val="nil"/>
              <w:bottom w:val="nil"/>
            </w:tcBorders>
            <w:shd w:val="clear" w:color="FFFFFF" w:fill="FFFFFF"/>
            <w:vAlign w:val="center"/>
            <w:hideMark/>
          </w:tcPr>
          <w:p w:rsidR="00D3063B" w:rsidRPr="008774AA" w:rsidRDefault="00D3063B" w:rsidP="00D3063B">
            <w:pPr>
              <w:rPr>
                <w:rFonts w:ascii="Verdana" w:eastAsia="Times New Roman" w:hAnsi="Verdana" w:cs="Arial"/>
                <w:color w:val="365F91"/>
                <w:sz w:val="18"/>
                <w:szCs w:val="18"/>
                <w:lang w:val="el-GR"/>
              </w:rPr>
            </w:pPr>
            <w:r w:rsidRPr="008774AA">
              <w:rPr>
                <w:rFonts w:ascii="Verdana" w:eastAsia="Times New Roman" w:hAnsi="Verdana" w:cs="Arial"/>
                <w:color w:val="365F91"/>
                <w:sz w:val="18"/>
                <w:szCs w:val="18"/>
                <w:lang w:val="el-GR"/>
              </w:rPr>
              <w:t>Τρόφιμα και μη Αλκοολούχα Ποτά</w:t>
            </w:r>
          </w:p>
        </w:tc>
        <w:tc>
          <w:tcPr>
            <w:tcW w:w="748" w:type="pct"/>
            <w:tcBorders>
              <w:top w:val="nil"/>
              <w:bottom w:val="nil"/>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119,66 </w:t>
            </w:r>
          </w:p>
        </w:tc>
        <w:tc>
          <w:tcPr>
            <w:tcW w:w="751"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120</w:t>
            </w:r>
            <w:r>
              <w:rPr>
                <w:rFonts w:ascii="Verdana" w:hAnsi="Verdana"/>
                <w:color w:val="365F91"/>
                <w:sz w:val="18"/>
                <w:szCs w:val="18"/>
                <w:lang w:val="el-GR"/>
              </w:rPr>
              <w:t>,</w:t>
            </w:r>
            <w:r w:rsidRPr="00D3063B">
              <w:rPr>
                <w:rFonts w:ascii="Verdana" w:hAnsi="Verdana"/>
                <w:color w:val="365F91"/>
                <w:sz w:val="18"/>
                <w:szCs w:val="18"/>
                <w:lang w:val="el-GR"/>
              </w:rPr>
              <w:t>71</w:t>
            </w:r>
          </w:p>
        </w:tc>
        <w:tc>
          <w:tcPr>
            <w:tcW w:w="705"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6</w:t>
            </w:r>
            <w:r>
              <w:rPr>
                <w:rFonts w:ascii="Verdana" w:hAnsi="Verdana"/>
                <w:color w:val="365F91"/>
                <w:sz w:val="18"/>
                <w:szCs w:val="18"/>
                <w:lang w:val="el-GR"/>
              </w:rPr>
              <w:t>,</w:t>
            </w:r>
            <w:r w:rsidRPr="00D3063B">
              <w:rPr>
                <w:rFonts w:ascii="Verdana" w:hAnsi="Verdana"/>
                <w:color w:val="365F91"/>
                <w:sz w:val="18"/>
                <w:szCs w:val="18"/>
                <w:lang w:val="el-GR"/>
              </w:rPr>
              <w:t>9</w:t>
            </w:r>
          </w:p>
        </w:tc>
        <w:tc>
          <w:tcPr>
            <w:tcW w:w="585" w:type="pct"/>
            <w:tcBorders>
              <w:top w:val="nil"/>
              <w:bottom w:val="nil"/>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0</w:t>
            </w:r>
            <w:r>
              <w:rPr>
                <w:rFonts w:ascii="Verdana" w:hAnsi="Verdana"/>
                <w:color w:val="365F91"/>
                <w:sz w:val="18"/>
                <w:szCs w:val="18"/>
                <w:lang w:val="el-GR"/>
              </w:rPr>
              <w:t>,</w:t>
            </w:r>
            <w:r w:rsidRPr="00D3063B">
              <w:rPr>
                <w:rFonts w:ascii="Verdana" w:hAnsi="Verdana"/>
                <w:color w:val="365F91"/>
                <w:sz w:val="18"/>
                <w:szCs w:val="18"/>
                <w:lang w:val="el-GR"/>
              </w:rPr>
              <w:t>9</w:t>
            </w:r>
          </w:p>
        </w:tc>
        <w:tc>
          <w:tcPr>
            <w:tcW w:w="894" w:type="pct"/>
            <w:tcBorders>
              <w:top w:val="nil"/>
              <w:bottom w:val="nil"/>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8</w:t>
            </w:r>
            <w:r>
              <w:rPr>
                <w:rFonts w:ascii="Verdana" w:hAnsi="Verdana"/>
                <w:color w:val="365F91"/>
                <w:sz w:val="18"/>
                <w:szCs w:val="18"/>
                <w:lang w:val="el-GR"/>
              </w:rPr>
              <w:t>,</w:t>
            </w:r>
            <w:r w:rsidRPr="00D3063B">
              <w:rPr>
                <w:rFonts w:ascii="Verdana" w:hAnsi="Verdana"/>
                <w:color w:val="365F91"/>
                <w:sz w:val="18"/>
                <w:szCs w:val="18"/>
                <w:lang w:val="el-GR"/>
              </w:rPr>
              <w:t>5</w:t>
            </w:r>
          </w:p>
        </w:tc>
      </w:tr>
      <w:tr w:rsidR="00D3063B" w:rsidRPr="008774AA" w:rsidTr="00D3063B">
        <w:trPr>
          <w:trHeight w:val="567"/>
          <w:jc w:val="center"/>
        </w:trPr>
        <w:tc>
          <w:tcPr>
            <w:tcW w:w="1317" w:type="pct"/>
            <w:tcBorders>
              <w:top w:val="nil"/>
              <w:left w:val="nil"/>
              <w:bottom w:val="nil"/>
            </w:tcBorders>
            <w:shd w:val="clear" w:color="FFFFFF" w:fill="FFFFFF"/>
            <w:vAlign w:val="center"/>
            <w:hideMark/>
          </w:tcPr>
          <w:p w:rsidR="00D3063B" w:rsidRPr="008774AA" w:rsidRDefault="00D3063B" w:rsidP="00D3063B">
            <w:pPr>
              <w:rPr>
                <w:rFonts w:ascii="Verdana" w:eastAsia="Times New Roman" w:hAnsi="Verdana" w:cs="Arial"/>
                <w:color w:val="365F91"/>
                <w:sz w:val="18"/>
                <w:szCs w:val="18"/>
              </w:rPr>
            </w:pPr>
            <w:r w:rsidRPr="008774AA">
              <w:rPr>
                <w:rFonts w:ascii="Verdana" w:eastAsia="Times New Roman" w:hAnsi="Verdana" w:cs="Arial"/>
                <w:color w:val="365F91"/>
                <w:sz w:val="18"/>
                <w:szCs w:val="18"/>
                <w:lang w:val="el-GR"/>
              </w:rPr>
              <w:t>Αλκοολούχα Π</w:t>
            </w:r>
            <w:proofErr w:type="spellStart"/>
            <w:r w:rsidRPr="008774AA">
              <w:rPr>
                <w:rFonts w:ascii="Verdana" w:eastAsia="Times New Roman" w:hAnsi="Verdana" w:cs="Arial"/>
                <w:color w:val="365F91"/>
                <w:sz w:val="18"/>
                <w:szCs w:val="18"/>
              </w:rPr>
              <w:t>οτά</w:t>
            </w:r>
            <w:proofErr w:type="spellEnd"/>
            <w:r w:rsidRPr="008774AA">
              <w:rPr>
                <w:rFonts w:ascii="Verdana" w:eastAsia="Times New Roman" w:hAnsi="Verdana" w:cs="Arial"/>
                <w:color w:val="365F91"/>
                <w:sz w:val="18"/>
                <w:szCs w:val="18"/>
              </w:rPr>
              <w:t xml:space="preserve"> και </w:t>
            </w:r>
            <w:r w:rsidRPr="008774AA">
              <w:rPr>
                <w:rFonts w:ascii="Verdana" w:eastAsia="Times New Roman" w:hAnsi="Verdana" w:cs="Arial"/>
                <w:color w:val="365F91"/>
                <w:sz w:val="18"/>
                <w:szCs w:val="18"/>
                <w:lang w:val="el-GR"/>
              </w:rPr>
              <w:t>Κ</w:t>
            </w:r>
            <w:r w:rsidRPr="008774AA">
              <w:rPr>
                <w:rFonts w:ascii="Verdana" w:eastAsia="Times New Roman" w:hAnsi="Verdana" w:cs="Arial"/>
                <w:color w:val="365F91"/>
                <w:sz w:val="18"/>
                <w:szCs w:val="18"/>
              </w:rPr>
              <w:t>απ</w:t>
            </w:r>
            <w:proofErr w:type="spellStart"/>
            <w:r w:rsidRPr="008774AA">
              <w:rPr>
                <w:rFonts w:ascii="Verdana" w:eastAsia="Times New Roman" w:hAnsi="Verdana" w:cs="Arial"/>
                <w:color w:val="365F91"/>
                <w:sz w:val="18"/>
                <w:szCs w:val="18"/>
              </w:rPr>
              <w:t>νός</w:t>
            </w:r>
            <w:proofErr w:type="spellEnd"/>
          </w:p>
        </w:tc>
        <w:tc>
          <w:tcPr>
            <w:tcW w:w="748" w:type="pct"/>
            <w:tcBorders>
              <w:top w:val="nil"/>
              <w:bottom w:val="nil"/>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100,40 </w:t>
            </w:r>
          </w:p>
        </w:tc>
        <w:tc>
          <w:tcPr>
            <w:tcW w:w="751"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100</w:t>
            </w:r>
            <w:r>
              <w:rPr>
                <w:rFonts w:ascii="Verdana" w:hAnsi="Verdana"/>
                <w:color w:val="365F91"/>
                <w:sz w:val="18"/>
                <w:szCs w:val="18"/>
                <w:lang w:val="el-GR"/>
              </w:rPr>
              <w:t>,</w:t>
            </w:r>
            <w:r w:rsidRPr="00D3063B">
              <w:rPr>
                <w:rFonts w:ascii="Verdana" w:hAnsi="Verdana"/>
                <w:color w:val="365F91"/>
                <w:sz w:val="18"/>
                <w:szCs w:val="18"/>
                <w:lang w:val="el-GR"/>
              </w:rPr>
              <w:t>60</w:t>
            </w:r>
          </w:p>
        </w:tc>
        <w:tc>
          <w:tcPr>
            <w:tcW w:w="705"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2</w:t>
            </w:r>
            <w:r>
              <w:rPr>
                <w:rFonts w:ascii="Verdana" w:hAnsi="Verdana"/>
                <w:color w:val="365F91"/>
                <w:sz w:val="18"/>
                <w:szCs w:val="18"/>
                <w:lang w:val="el-GR"/>
              </w:rPr>
              <w:t>,</w:t>
            </w:r>
            <w:r w:rsidRPr="00D3063B">
              <w:rPr>
                <w:rFonts w:ascii="Verdana" w:hAnsi="Verdana"/>
                <w:color w:val="365F91"/>
                <w:sz w:val="18"/>
                <w:szCs w:val="18"/>
                <w:lang w:val="el-GR"/>
              </w:rPr>
              <w:t>2</w:t>
            </w:r>
          </w:p>
        </w:tc>
        <w:tc>
          <w:tcPr>
            <w:tcW w:w="585" w:type="pct"/>
            <w:tcBorders>
              <w:top w:val="nil"/>
              <w:bottom w:val="nil"/>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0</w:t>
            </w:r>
            <w:r>
              <w:rPr>
                <w:rFonts w:ascii="Verdana" w:hAnsi="Verdana"/>
                <w:color w:val="365F91"/>
                <w:sz w:val="18"/>
                <w:szCs w:val="18"/>
                <w:lang w:val="el-GR"/>
              </w:rPr>
              <w:t>,</w:t>
            </w:r>
            <w:r w:rsidRPr="00D3063B">
              <w:rPr>
                <w:rFonts w:ascii="Verdana" w:hAnsi="Verdana"/>
                <w:color w:val="365F91"/>
                <w:sz w:val="18"/>
                <w:szCs w:val="18"/>
                <w:lang w:val="el-GR"/>
              </w:rPr>
              <w:t>2</w:t>
            </w:r>
          </w:p>
        </w:tc>
        <w:tc>
          <w:tcPr>
            <w:tcW w:w="894" w:type="pct"/>
            <w:tcBorders>
              <w:top w:val="nil"/>
              <w:bottom w:val="nil"/>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2</w:t>
            </w:r>
            <w:r>
              <w:rPr>
                <w:rFonts w:ascii="Verdana" w:hAnsi="Verdana"/>
                <w:color w:val="365F91"/>
                <w:sz w:val="18"/>
                <w:szCs w:val="18"/>
                <w:lang w:val="el-GR"/>
              </w:rPr>
              <w:t>,</w:t>
            </w:r>
            <w:r w:rsidRPr="00D3063B">
              <w:rPr>
                <w:rFonts w:ascii="Verdana" w:hAnsi="Verdana"/>
                <w:color w:val="365F91"/>
                <w:sz w:val="18"/>
                <w:szCs w:val="18"/>
                <w:lang w:val="el-GR"/>
              </w:rPr>
              <w:t>0</w:t>
            </w:r>
          </w:p>
        </w:tc>
      </w:tr>
      <w:tr w:rsidR="00D3063B" w:rsidRPr="008774AA" w:rsidTr="00D3063B">
        <w:trPr>
          <w:trHeight w:val="370"/>
          <w:jc w:val="center"/>
        </w:trPr>
        <w:tc>
          <w:tcPr>
            <w:tcW w:w="1317" w:type="pct"/>
            <w:tcBorders>
              <w:top w:val="nil"/>
              <w:left w:val="nil"/>
              <w:bottom w:val="nil"/>
            </w:tcBorders>
            <w:shd w:val="clear" w:color="FFFFFF" w:fill="FFFFFF"/>
            <w:noWrap/>
            <w:vAlign w:val="center"/>
            <w:hideMark/>
          </w:tcPr>
          <w:p w:rsidR="00D3063B" w:rsidRPr="008774AA" w:rsidRDefault="00D3063B" w:rsidP="00D3063B">
            <w:pPr>
              <w:rPr>
                <w:rFonts w:ascii="Verdana" w:eastAsia="Times New Roman" w:hAnsi="Verdana" w:cs="Arial"/>
                <w:color w:val="365F91"/>
                <w:sz w:val="18"/>
                <w:szCs w:val="18"/>
              </w:rPr>
            </w:pPr>
            <w:bookmarkStart w:id="1" w:name="_Hlk132705308"/>
            <w:proofErr w:type="spellStart"/>
            <w:r w:rsidRPr="008774AA">
              <w:rPr>
                <w:rFonts w:ascii="Verdana" w:eastAsia="Times New Roman" w:hAnsi="Verdana" w:cs="Arial"/>
                <w:color w:val="365F91"/>
                <w:sz w:val="18"/>
                <w:szCs w:val="18"/>
              </w:rPr>
              <w:t>Ένδυση</w:t>
            </w:r>
            <w:proofErr w:type="spellEnd"/>
            <w:r w:rsidRPr="008774AA">
              <w:rPr>
                <w:rFonts w:ascii="Verdana" w:eastAsia="Times New Roman" w:hAnsi="Verdana" w:cs="Arial"/>
                <w:color w:val="365F91"/>
                <w:sz w:val="18"/>
                <w:szCs w:val="18"/>
              </w:rPr>
              <w:t xml:space="preserve"> και </w:t>
            </w:r>
            <w:r w:rsidRPr="008774AA">
              <w:rPr>
                <w:rFonts w:ascii="Verdana" w:eastAsia="Times New Roman" w:hAnsi="Verdana" w:cs="Arial"/>
                <w:color w:val="365F91"/>
                <w:sz w:val="18"/>
                <w:szCs w:val="18"/>
                <w:lang w:val="el-GR"/>
              </w:rPr>
              <w:t>Υ</w:t>
            </w:r>
            <w:r w:rsidRPr="008774AA">
              <w:rPr>
                <w:rFonts w:ascii="Verdana" w:eastAsia="Times New Roman" w:hAnsi="Verdana" w:cs="Arial"/>
                <w:color w:val="365F91"/>
                <w:sz w:val="18"/>
                <w:szCs w:val="18"/>
              </w:rPr>
              <w:t>π</w:t>
            </w:r>
            <w:proofErr w:type="spellStart"/>
            <w:r w:rsidRPr="008774AA">
              <w:rPr>
                <w:rFonts w:ascii="Verdana" w:eastAsia="Times New Roman" w:hAnsi="Verdana" w:cs="Arial"/>
                <w:color w:val="365F91"/>
                <w:sz w:val="18"/>
                <w:szCs w:val="18"/>
              </w:rPr>
              <w:t>όδηση</w:t>
            </w:r>
            <w:bookmarkEnd w:id="1"/>
            <w:proofErr w:type="spellEnd"/>
          </w:p>
        </w:tc>
        <w:tc>
          <w:tcPr>
            <w:tcW w:w="748" w:type="pct"/>
            <w:tcBorders>
              <w:top w:val="nil"/>
              <w:bottom w:val="nil"/>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102,87 </w:t>
            </w:r>
          </w:p>
        </w:tc>
        <w:tc>
          <w:tcPr>
            <w:tcW w:w="751"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107</w:t>
            </w:r>
            <w:r>
              <w:rPr>
                <w:rFonts w:ascii="Verdana" w:hAnsi="Verdana"/>
                <w:color w:val="365F91"/>
                <w:sz w:val="18"/>
                <w:szCs w:val="18"/>
                <w:lang w:val="el-GR"/>
              </w:rPr>
              <w:t>,</w:t>
            </w:r>
            <w:r w:rsidRPr="00D3063B">
              <w:rPr>
                <w:rFonts w:ascii="Verdana" w:hAnsi="Verdana"/>
                <w:color w:val="365F91"/>
                <w:sz w:val="18"/>
                <w:szCs w:val="18"/>
                <w:lang w:val="el-GR"/>
              </w:rPr>
              <w:t>23</w:t>
            </w:r>
          </w:p>
        </w:tc>
        <w:tc>
          <w:tcPr>
            <w:tcW w:w="705"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3</w:t>
            </w:r>
            <w:r>
              <w:rPr>
                <w:rFonts w:ascii="Verdana" w:hAnsi="Verdana"/>
                <w:color w:val="365F91"/>
                <w:sz w:val="18"/>
                <w:szCs w:val="18"/>
                <w:lang w:val="el-GR"/>
              </w:rPr>
              <w:t>,</w:t>
            </w:r>
            <w:r w:rsidRPr="00D3063B">
              <w:rPr>
                <w:rFonts w:ascii="Verdana" w:hAnsi="Verdana"/>
                <w:color w:val="365F91"/>
                <w:sz w:val="18"/>
                <w:szCs w:val="18"/>
                <w:lang w:val="el-GR"/>
              </w:rPr>
              <w:t>0</w:t>
            </w:r>
          </w:p>
        </w:tc>
        <w:tc>
          <w:tcPr>
            <w:tcW w:w="585" w:type="pct"/>
            <w:tcBorders>
              <w:top w:val="nil"/>
              <w:bottom w:val="nil"/>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4</w:t>
            </w:r>
            <w:r>
              <w:rPr>
                <w:rFonts w:ascii="Verdana" w:hAnsi="Verdana"/>
                <w:color w:val="365F91"/>
                <w:sz w:val="18"/>
                <w:szCs w:val="18"/>
                <w:lang w:val="el-GR"/>
              </w:rPr>
              <w:t>,</w:t>
            </w:r>
            <w:r w:rsidRPr="00D3063B">
              <w:rPr>
                <w:rFonts w:ascii="Verdana" w:hAnsi="Verdana"/>
                <w:color w:val="365F91"/>
                <w:sz w:val="18"/>
                <w:szCs w:val="18"/>
                <w:lang w:val="el-GR"/>
              </w:rPr>
              <w:t>2</w:t>
            </w:r>
          </w:p>
        </w:tc>
        <w:tc>
          <w:tcPr>
            <w:tcW w:w="894" w:type="pct"/>
            <w:tcBorders>
              <w:top w:val="nil"/>
              <w:bottom w:val="nil"/>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2</w:t>
            </w:r>
            <w:r>
              <w:rPr>
                <w:rFonts w:ascii="Verdana" w:hAnsi="Verdana"/>
                <w:color w:val="365F91"/>
                <w:sz w:val="18"/>
                <w:szCs w:val="18"/>
                <w:lang w:val="el-GR"/>
              </w:rPr>
              <w:t>,</w:t>
            </w:r>
            <w:r w:rsidRPr="00D3063B">
              <w:rPr>
                <w:rFonts w:ascii="Verdana" w:hAnsi="Verdana"/>
                <w:color w:val="365F91"/>
                <w:sz w:val="18"/>
                <w:szCs w:val="18"/>
                <w:lang w:val="el-GR"/>
              </w:rPr>
              <w:t>2</w:t>
            </w:r>
          </w:p>
        </w:tc>
      </w:tr>
      <w:tr w:rsidR="00D3063B" w:rsidRPr="008774AA" w:rsidTr="00D3063B">
        <w:trPr>
          <w:trHeight w:val="567"/>
          <w:jc w:val="center"/>
        </w:trPr>
        <w:tc>
          <w:tcPr>
            <w:tcW w:w="1317" w:type="pct"/>
            <w:tcBorders>
              <w:top w:val="nil"/>
              <w:left w:val="nil"/>
              <w:bottom w:val="nil"/>
            </w:tcBorders>
            <w:shd w:val="clear" w:color="FFFFFF" w:fill="FFFFFF"/>
            <w:vAlign w:val="center"/>
            <w:hideMark/>
          </w:tcPr>
          <w:p w:rsidR="00D3063B" w:rsidRPr="008774AA" w:rsidRDefault="00D3063B" w:rsidP="00D3063B">
            <w:pPr>
              <w:rPr>
                <w:rFonts w:ascii="Verdana" w:eastAsia="Times New Roman" w:hAnsi="Verdana" w:cs="Arial"/>
                <w:color w:val="365F91"/>
                <w:sz w:val="18"/>
                <w:szCs w:val="18"/>
                <w:lang w:val="el-GR"/>
              </w:rPr>
            </w:pPr>
            <w:r w:rsidRPr="008774AA">
              <w:rPr>
                <w:rFonts w:ascii="Verdana" w:eastAsia="Times New Roman" w:hAnsi="Verdana" w:cs="Arial"/>
                <w:color w:val="365F91"/>
                <w:sz w:val="18"/>
                <w:szCs w:val="18"/>
                <w:lang w:val="el-GR"/>
              </w:rPr>
              <w:t>Στέγαση, Ύδρευση, Ηλεκτρισμός και Υγραέριο</w:t>
            </w:r>
          </w:p>
        </w:tc>
        <w:tc>
          <w:tcPr>
            <w:tcW w:w="748" w:type="pct"/>
            <w:tcBorders>
              <w:top w:val="nil"/>
              <w:bottom w:val="nil"/>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143,07 </w:t>
            </w:r>
          </w:p>
        </w:tc>
        <w:tc>
          <w:tcPr>
            <w:tcW w:w="751"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139</w:t>
            </w:r>
            <w:r>
              <w:rPr>
                <w:rFonts w:ascii="Verdana" w:hAnsi="Verdana"/>
                <w:color w:val="365F91"/>
                <w:sz w:val="18"/>
                <w:szCs w:val="18"/>
                <w:lang w:val="el-GR"/>
              </w:rPr>
              <w:t>,</w:t>
            </w:r>
            <w:r w:rsidRPr="00D3063B">
              <w:rPr>
                <w:rFonts w:ascii="Verdana" w:hAnsi="Verdana"/>
                <w:color w:val="365F91"/>
                <w:sz w:val="18"/>
                <w:szCs w:val="18"/>
                <w:lang w:val="el-GR"/>
              </w:rPr>
              <w:t>07</w:t>
            </w:r>
          </w:p>
        </w:tc>
        <w:tc>
          <w:tcPr>
            <w:tcW w:w="705"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4</w:t>
            </w:r>
            <w:r>
              <w:rPr>
                <w:rFonts w:ascii="Verdana" w:hAnsi="Verdana"/>
                <w:color w:val="365F91"/>
                <w:sz w:val="18"/>
                <w:szCs w:val="18"/>
                <w:lang w:val="el-GR"/>
              </w:rPr>
              <w:t>,</w:t>
            </w:r>
            <w:r w:rsidRPr="00D3063B">
              <w:rPr>
                <w:rFonts w:ascii="Verdana" w:hAnsi="Verdana"/>
                <w:color w:val="365F91"/>
                <w:sz w:val="18"/>
                <w:szCs w:val="18"/>
                <w:lang w:val="el-GR"/>
              </w:rPr>
              <w:t>8</w:t>
            </w:r>
          </w:p>
        </w:tc>
        <w:tc>
          <w:tcPr>
            <w:tcW w:w="585" w:type="pct"/>
            <w:tcBorders>
              <w:top w:val="nil"/>
              <w:bottom w:val="nil"/>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-2</w:t>
            </w:r>
            <w:r>
              <w:rPr>
                <w:rFonts w:ascii="Verdana" w:hAnsi="Verdana"/>
                <w:color w:val="365F91"/>
                <w:sz w:val="18"/>
                <w:szCs w:val="18"/>
                <w:lang w:val="el-GR"/>
              </w:rPr>
              <w:t>,</w:t>
            </w:r>
            <w:r w:rsidRPr="00D3063B">
              <w:rPr>
                <w:rFonts w:ascii="Verdana" w:hAnsi="Verdana"/>
                <w:color w:val="365F91"/>
                <w:sz w:val="18"/>
                <w:szCs w:val="18"/>
                <w:lang w:val="el-GR"/>
              </w:rPr>
              <w:t>8</w:t>
            </w:r>
          </w:p>
        </w:tc>
        <w:tc>
          <w:tcPr>
            <w:tcW w:w="894" w:type="pct"/>
            <w:tcBorders>
              <w:top w:val="nil"/>
              <w:bottom w:val="nil"/>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14</w:t>
            </w:r>
            <w:r>
              <w:rPr>
                <w:rFonts w:ascii="Verdana" w:hAnsi="Verdana"/>
                <w:color w:val="365F91"/>
                <w:sz w:val="18"/>
                <w:szCs w:val="18"/>
                <w:lang w:val="el-GR"/>
              </w:rPr>
              <w:t>,</w:t>
            </w:r>
            <w:r w:rsidRPr="00D3063B">
              <w:rPr>
                <w:rFonts w:ascii="Verdana" w:hAnsi="Verdana"/>
                <w:color w:val="365F91"/>
                <w:sz w:val="18"/>
                <w:szCs w:val="18"/>
                <w:lang w:val="el-GR"/>
              </w:rPr>
              <w:t>0</w:t>
            </w:r>
          </w:p>
        </w:tc>
      </w:tr>
      <w:tr w:rsidR="00D3063B" w:rsidRPr="008774AA" w:rsidTr="00D3063B">
        <w:trPr>
          <w:trHeight w:val="794"/>
          <w:jc w:val="center"/>
        </w:trPr>
        <w:tc>
          <w:tcPr>
            <w:tcW w:w="1317" w:type="pct"/>
            <w:tcBorders>
              <w:top w:val="nil"/>
              <w:left w:val="nil"/>
              <w:bottom w:val="nil"/>
            </w:tcBorders>
            <w:shd w:val="clear" w:color="FFFFFF" w:fill="FFFFFF"/>
            <w:vAlign w:val="center"/>
            <w:hideMark/>
          </w:tcPr>
          <w:p w:rsidR="00D3063B" w:rsidRPr="008774AA" w:rsidRDefault="00D3063B" w:rsidP="00D3063B">
            <w:pPr>
              <w:rPr>
                <w:rFonts w:ascii="Verdana" w:eastAsia="Times New Roman" w:hAnsi="Verdana" w:cs="Arial"/>
                <w:color w:val="365F91"/>
                <w:sz w:val="18"/>
                <w:szCs w:val="18"/>
                <w:lang w:val="el-GR"/>
              </w:rPr>
            </w:pPr>
            <w:r w:rsidRPr="008774AA">
              <w:rPr>
                <w:rFonts w:ascii="Verdana" w:eastAsia="Times New Roman" w:hAnsi="Verdana" w:cs="Arial"/>
                <w:color w:val="365F91"/>
                <w:sz w:val="18"/>
                <w:szCs w:val="18"/>
                <w:lang w:val="el-GR"/>
              </w:rPr>
              <w:t>Επίπλωση, Οικιακός Εξοπλισμός και Προϊόντα Καθαρισμού</w:t>
            </w:r>
          </w:p>
        </w:tc>
        <w:tc>
          <w:tcPr>
            <w:tcW w:w="748" w:type="pct"/>
            <w:tcBorders>
              <w:top w:val="nil"/>
              <w:bottom w:val="nil"/>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104,68 </w:t>
            </w:r>
          </w:p>
        </w:tc>
        <w:tc>
          <w:tcPr>
            <w:tcW w:w="751"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104</w:t>
            </w:r>
            <w:r>
              <w:rPr>
                <w:rFonts w:ascii="Verdana" w:hAnsi="Verdana"/>
                <w:color w:val="365F91"/>
                <w:sz w:val="18"/>
                <w:szCs w:val="18"/>
                <w:lang w:val="el-GR"/>
              </w:rPr>
              <w:t>,</w:t>
            </w:r>
            <w:r w:rsidRPr="00D3063B">
              <w:rPr>
                <w:rFonts w:ascii="Verdana" w:hAnsi="Verdana"/>
                <w:color w:val="365F91"/>
                <w:sz w:val="18"/>
                <w:szCs w:val="18"/>
                <w:lang w:val="el-GR"/>
              </w:rPr>
              <w:t>67</w:t>
            </w:r>
          </w:p>
        </w:tc>
        <w:tc>
          <w:tcPr>
            <w:tcW w:w="705"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6</w:t>
            </w:r>
            <w:r>
              <w:rPr>
                <w:rFonts w:ascii="Verdana" w:hAnsi="Verdana"/>
                <w:color w:val="365F91"/>
                <w:sz w:val="18"/>
                <w:szCs w:val="18"/>
                <w:lang w:val="el-GR"/>
              </w:rPr>
              <w:t>,</w:t>
            </w:r>
            <w:r w:rsidRPr="00D3063B">
              <w:rPr>
                <w:rFonts w:ascii="Verdana" w:hAnsi="Verdana"/>
                <w:color w:val="365F91"/>
                <w:sz w:val="18"/>
                <w:szCs w:val="18"/>
                <w:lang w:val="el-GR"/>
              </w:rPr>
              <w:t>7</w:t>
            </w:r>
          </w:p>
        </w:tc>
        <w:tc>
          <w:tcPr>
            <w:tcW w:w="585" w:type="pct"/>
            <w:tcBorders>
              <w:top w:val="nil"/>
              <w:bottom w:val="nil"/>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0</w:t>
            </w:r>
            <w:r>
              <w:rPr>
                <w:rFonts w:ascii="Verdana" w:hAnsi="Verdana"/>
                <w:color w:val="365F91"/>
                <w:sz w:val="18"/>
                <w:szCs w:val="18"/>
                <w:lang w:val="el-GR"/>
              </w:rPr>
              <w:t>,</w:t>
            </w:r>
            <w:r w:rsidRPr="00D3063B">
              <w:rPr>
                <w:rFonts w:ascii="Verdana" w:hAnsi="Verdana"/>
                <w:color w:val="365F91"/>
                <w:sz w:val="18"/>
                <w:szCs w:val="18"/>
                <w:lang w:val="el-GR"/>
              </w:rPr>
              <w:t>0</w:t>
            </w:r>
          </w:p>
        </w:tc>
        <w:tc>
          <w:tcPr>
            <w:tcW w:w="894" w:type="pct"/>
            <w:tcBorders>
              <w:top w:val="nil"/>
              <w:bottom w:val="nil"/>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7</w:t>
            </w:r>
            <w:r>
              <w:rPr>
                <w:rFonts w:ascii="Verdana" w:hAnsi="Verdana"/>
                <w:color w:val="365F91"/>
                <w:sz w:val="18"/>
                <w:szCs w:val="18"/>
                <w:lang w:val="el-GR"/>
              </w:rPr>
              <w:t>,</w:t>
            </w:r>
            <w:r w:rsidRPr="00D3063B">
              <w:rPr>
                <w:rFonts w:ascii="Verdana" w:hAnsi="Verdana"/>
                <w:color w:val="365F91"/>
                <w:sz w:val="18"/>
                <w:szCs w:val="18"/>
                <w:lang w:val="el-GR"/>
              </w:rPr>
              <w:t>7</w:t>
            </w:r>
          </w:p>
        </w:tc>
      </w:tr>
      <w:tr w:rsidR="00D3063B" w:rsidRPr="008774AA" w:rsidTr="00D3063B">
        <w:trPr>
          <w:trHeight w:val="370"/>
          <w:jc w:val="center"/>
        </w:trPr>
        <w:tc>
          <w:tcPr>
            <w:tcW w:w="1317" w:type="pct"/>
            <w:tcBorders>
              <w:top w:val="nil"/>
              <w:left w:val="nil"/>
              <w:bottom w:val="nil"/>
            </w:tcBorders>
            <w:shd w:val="clear" w:color="FFFFFF" w:fill="FFFFFF"/>
            <w:noWrap/>
            <w:vAlign w:val="center"/>
            <w:hideMark/>
          </w:tcPr>
          <w:p w:rsidR="00D3063B" w:rsidRPr="008774AA" w:rsidRDefault="00D3063B" w:rsidP="00D3063B">
            <w:pPr>
              <w:rPr>
                <w:rFonts w:ascii="Verdana" w:eastAsia="Times New Roman" w:hAnsi="Verdana" w:cs="Arial"/>
                <w:color w:val="365F91"/>
                <w:sz w:val="18"/>
                <w:szCs w:val="18"/>
              </w:rPr>
            </w:pPr>
            <w:proofErr w:type="spellStart"/>
            <w:r w:rsidRPr="008774AA">
              <w:rPr>
                <w:rFonts w:ascii="Verdana" w:eastAsia="Times New Roman" w:hAnsi="Verdana" w:cs="Arial"/>
                <w:color w:val="365F91"/>
                <w:sz w:val="18"/>
                <w:szCs w:val="18"/>
              </w:rPr>
              <w:t>Υγεί</w:t>
            </w:r>
            <w:proofErr w:type="spellEnd"/>
            <w:r w:rsidRPr="008774AA">
              <w:rPr>
                <w:rFonts w:ascii="Verdana" w:eastAsia="Times New Roman" w:hAnsi="Verdana" w:cs="Arial"/>
                <w:color w:val="365F91"/>
                <w:sz w:val="18"/>
                <w:szCs w:val="18"/>
              </w:rPr>
              <w:t>α</w:t>
            </w:r>
          </w:p>
        </w:tc>
        <w:tc>
          <w:tcPr>
            <w:tcW w:w="748" w:type="pct"/>
            <w:tcBorders>
              <w:top w:val="nil"/>
              <w:bottom w:val="nil"/>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105,04 </w:t>
            </w:r>
          </w:p>
        </w:tc>
        <w:tc>
          <w:tcPr>
            <w:tcW w:w="751"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105</w:t>
            </w:r>
            <w:r>
              <w:rPr>
                <w:rFonts w:ascii="Verdana" w:hAnsi="Verdana"/>
                <w:color w:val="365F91"/>
                <w:sz w:val="18"/>
                <w:szCs w:val="18"/>
                <w:lang w:val="el-GR"/>
              </w:rPr>
              <w:t>,</w:t>
            </w:r>
            <w:r w:rsidRPr="00D3063B">
              <w:rPr>
                <w:rFonts w:ascii="Verdana" w:hAnsi="Verdana"/>
                <w:color w:val="365F91"/>
                <w:sz w:val="18"/>
                <w:szCs w:val="18"/>
                <w:lang w:val="el-GR"/>
              </w:rPr>
              <w:t>13</w:t>
            </w:r>
          </w:p>
        </w:tc>
        <w:tc>
          <w:tcPr>
            <w:tcW w:w="705"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w:t>
            </w:r>
            <w:r>
              <w:rPr>
                <w:rFonts w:ascii="Verdana" w:hAnsi="Verdana"/>
                <w:color w:val="365F91"/>
                <w:sz w:val="18"/>
                <w:szCs w:val="18"/>
                <w:lang w:val="el-GR"/>
              </w:rPr>
              <w:t>,</w:t>
            </w:r>
            <w:r w:rsidRPr="00D3063B">
              <w:rPr>
                <w:rFonts w:ascii="Verdana" w:hAnsi="Verdana"/>
                <w:color w:val="365F91"/>
                <w:sz w:val="18"/>
                <w:szCs w:val="18"/>
                <w:lang w:val="el-GR"/>
              </w:rPr>
              <w:t>5</w:t>
            </w:r>
          </w:p>
        </w:tc>
        <w:tc>
          <w:tcPr>
            <w:tcW w:w="585" w:type="pct"/>
            <w:tcBorders>
              <w:top w:val="nil"/>
              <w:bottom w:val="nil"/>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0</w:t>
            </w:r>
            <w:r>
              <w:rPr>
                <w:rFonts w:ascii="Verdana" w:hAnsi="Verdana"/>
                <w:color w:val="365F91"/>
                <w:sz w:val="18"/>
                <w:szCs w:val="18"/>
                <w:lang w:val="el-GR"/>
              </w:rPr>
              <w:t>,</w:t>
            </w:r>
            <w:r w:rsidRPr="00D3063B">
              <w:rPr>
                <w:rFonts w:ascii="Verdana" w:hAnsi="Verdana"/>
                <w:color w:val="365F91"/>
                <w:sz w:val="18"/>
                <w:szCs w:val="18"/>
                <w:lang w:val="el-GR"/>
              </w:rPr>
              <w:t>1</w:t>
            </w:r>
          </w:p>
        </w:tc>
        <w:tc>
          <w:tcPr>
            <w:tcW w:w="894" w:type="pct"/>
            <w:tcBorders>
              <w:top w:val="nil"/>
              <w:bottom w:val="nil"/>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1</w:t>
            </w:r>
            <w:r>
              <w:rPr>
                <w:rFonts w:ascii="Verdana" w:hAnsi="Verdana"/>
                <w:color w:val="365F91"/>
                <w:sz w:val="18"/>
                <w:szCs w:val="18"/>
                <w:lang w:val="el-GR"/>
              </w:rPr>
              <w:t>,</w:t>
            </w:r>
            <w:r w:rsidRPr="00D3063B">
              <w:rPr>
                <w:rFonts w:ascii="Verdana" w:hAnsi="Verdana"/>
                <w:color w:val="365F91"/>
                <w:sz w:val="18"/>
                <w:szCs w:val="18"/>
                <w:lang w:val="el-GR"/>
              </w:rPr>
              <w:t>4</w:t>
            </w:r>
          </w:p>
        </w:tc>
      </w:tr>
      <w:tr w:rsidR="00D3063B" w:rsidRPr="008774AA" w:rsidTr="00D3063B">
        <w:trPr>
          <w:trHeight w:val="370"/>
          <w:jc w:val="center"/>
        </w:trPr>
        <w:tc>
          <w:tcPr>
            <w:tcW w:w="1317" w:type="pct"/>
            <w:tcBorders>
              <w:top w:val="nil"/>
              <w:left w:val="nil"/>
              <w:bottom w:val="nil"/>
            </w:tcBorders>
            <w:shd w:val="clear" w:color="FFFFFF" w:fill="FFFFFF"/>
            <w:noWrap/>
            <w:vAlign w:val="center"/>
            <w:hideMark/>
          </w:tcPr>
          <w:p w:rsidR="00D3063B" w:rsidRPr="008774AA" w:rsidRDefault="00D3063B" w:rsidP="00D3063B">
            <w:pPr>
              <w:rPr>
                <w:rFonts w:ascii="Verdana" w:eastAsia="Times New Roman" w:hAnsi="Verdana" w:cs="Arial"/>
                <w:color w:val="365F91"/>
                <w:sz w:val="18"/>
                <w:szCs w:val="18"/>
              </w:rPr>
            </w:pPr>
            <w:proofErr w:type="spellStart"/>
            <w:r w:rsidRPr="008774AA">
              <w:rPr>
                <w:rFonts w:ascii="Verdana" w:eastAsia="Times New Roman" w:hAnsi="Verdana" w:cs="Arial"/>
                <w:color w:val="365F91"/>
                <w:sz w:val="18"/>
                <w:szCs w:val="18"/>
              </w:rPr>
              <w:t>Μετ</w:t>
            </w:r>
            <w:proofErr w:type="spellEnd"/>
            <w:r w:rsidRPr="008774AA">
              <w:rPr>
                <w:rFonts w:ascii="Verdana" w:eastAsia="Times New Roman" w:hAnsi="Verdana" w:cs="Arial"/>
                <w:color w:val="365F91"/>
                <w:sz w:val="18"/>
                <w:szCs w:val="18"/>
              </w:rPr>
              <w:t>αφορές</w:t>
            </w:r>
          </w:p>
        </w:tc>
        <w:tc>
          <w:tcPr>
            <w:tcW w:w="748" w:type="pct"/>
            <w:tcBorders>
              <w:top w:val="nil"/>
              <w:bottom w:val="nil"/>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108,68 </w:t>
            </w:r>
          </w:p>
        </w:tc>
        <w:tc>
          <w:tcPr>
            <w:tcW w:w="751"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112</w:t>
            </w:r>
            <w:r>
              <w:rPr>
                <w:rFonts w:ascii="Verdana" w:hAnsi="Verdana"/>
                <w:color w:val="365F91"/>
                <w:sz w:val="18"/>
                <w:szCs w:val="18"/>
                <w:lang w:val="el-GR"/>
              </w:rPr>
              <w:t>,</w:t>
            </w:r>
            <w:r w:rsidRPr="00D3063B">
              <w:rPr>
                <w:rFonts w:ascii="Verdana" w:hAnsi="Verdana"/>
                <w:color w:val="365F91"/>
                <w:sz w:val="18"/>
                <w:szCs w:val="18"/>
                <w:lang w:val="el-GR"/>
              </w:rPr>
              <w:t>37</w:t>
            </w:r>
          </w:p>
        </w:tc>
        <w:tc>
          <w:tcPr>
            <w:tcW w:w="705"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w:t>
            </w:r>
            <w:r>
              <w:rPr>
                <w:rFonts w:ascii="Verdana" w:hAnsi="Verdana"/>
                <w:color w:val="365F91"/>
                <w:sz w:val="18"/>
                <w:szCs w:val="18"/>
                <w:lang w:val="el-GR"/>
              </w:rPr>
              <w:t>,</w:t>
            </w:r>
            <w:r w:rsidRPr="00D3063B">
              <w:rPr>
                <w:rFonts w:ascii="Verdana" w:hAnsi="Verdana"/>
                <w:color w:val="365F91"/>
                <w:sz w:val="18"/>
                <w:szCs w:val="18"/>
                <w:lang w:val="el-GR"/>
              </w:rPr>
              <w:t>8</w:t>
            </w:r>
          </w:p>
        </w:tc>
        <w:tc>
          <w:tcPr>
            <w:tcW w:w="585" w:type="pct"/>
            <w:tcBorders>
              <w:top w:val="nil"/>
              <w:bottom w:val="nil"/>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3</w:t>
            </w:r>
            <w:r>
              <w:rPr>
                <w:rFonts w:ascii="Verdana" w:hAnsi="Verdana"/>
                <w:color w:val="365F91"/>
                <w:sz w:val="18"/>
                <w:szCs w:val="18"/>
                <w:lang w:val="el-GR"/>
              </w:rPr>
              <w:t>,</w:t>
            </w:r>
            <w:r w:rsidRPr="00D3063B">
              <w:rPr>
                <w:rFonts w:ascii="Verdana" w:hAnsi="Verdana"/>
                <w:color w:val="365F91"/>
                <w:sz w:val="18"/>
                <w:szCs w:val="18"/>
                <w:lang w:val="el-GR"/>
              </w:rPr>
              <w:t>4</w:t>
            </w:r>
          </w:p>
        </w:tc>
        <w:tc>
          <w:tcPr>
            <w:tcW w:w="894" w:type="pct"/>
            <w:tcBorders>
              <w:top w:val="nil"/>
              <w:bottom w:val="nil"/>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1</w:t>
            </w:r>
            <w:r>
              <w:rPr>
                <w:rFonts w:ascii="Verdana" w:hAnsi="Verdana"/>
                <w:color w:val="365F91"/>
                <w:sz w:val="18"/>
                <w:szCs w:val="18"/>
                <w:lang w:val="el-GR"/>
              </w:rPr>
              <w:t>,</w:t>
            </w:r>
            <w:r w:rsidRPr="00D3063B">
              <w:rPr>
                <w:rFonts w:ascii="Verdana" w:hAnsi="Verdana"/>
                <w:color w:val="365F91"/>
                <w:sz w:val="18"/>
                <w:szCs w:val="18"/>
                <w:lang w:val="el-GR"/>
              </w:rPr>
              <w:t>8</w:t>
            </w:r>
          </w:p>
        </w:tc>
      </w:tr>
      <w:tr w:rsidR="00D3063B" w:rsidRPr="008774AA" w:rsidTr="00D3063B">
        <w:trPr>
          <w:trHeight w:val="370"/>
          <w:jc w:val="center"/>
        </w:trPr>
        <w:tc>
          <w:tcPr>
            <w:tcW w:w="1317" w:type="pct"/>
            <w:tcBorders>
              <w:top w:val="nil"/>
              <w:left w:val="nil"/>
              <w:bottom w:val="nil"/>
            </w:tcBorders>
            <w:shd w:val="clear" w:color="FFFFFF" w:fill="FFFFFF"/>
            <w:noWrap/>
            <w:vAlign w:val="center"/>
            <w:hideMark/>
          </w:tcPr>
          <w:p w:rsidR="00D3063B" w:rsidRPr="008774AA" w:rsidRDefault="00D3063B" w:rsidP="00D3063B">
            <w:pPr>
              <w:rPr>
                <w:rFonts w:ascii="Verdana" w:eastAsia="Times New Roman" w:hAnsi="Verdana" w:cs="Arial"/>
                <w:color w:val="365F91"/>
                <w:sz w:val="18"/>
                <w:szCs w:val="18"/>
              </w:rPr>
            </w:pPr>
            <w:r w:rsidRPr="008774AA">
              <w:rPr>
                <w:rFonts w:ascii="Verdana" w:eastAsia="Times New Roman" w:hAnsi="Verdana" w:cs="Arial"/>
                <w:color w:val="365F91"/>
                <w:sz w:val="18"/>
                <w:szCs w:val="18"/>
              </w:rPr>
              <w:t>Επ</w:t>
            </w:r>
            <w:proofErr w:type="spellStart"/>
            <w:r w:rsidRPr="008774AA">
              <w:rPr>
                <w:rFonts w:ascii="Verdana" w:eastAsia="Times New Roman" w:hAnsi="Verdana" w:cs="Arial"/>
                <w:color w:val="365F91"/>
                <w:sz w:val="18"/>
                <w:szCs w:val="18"/>
              </w:rPr>
              <w:t>ικοινωνίες</w:t>
            </w:r>
            <w:proofErr w:type="spellEnd"/>
          </w:p>
        </w:tc>
        <w:tc>
          <w:tcPr>
            <w:tcW w:w="748" w:type="pct"/>
            <w:tcBorders>
              <w:top w:val="nil"/>
              <w:bottom w:val="nil"/>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90,23 </w:t>
            </w:r>
          </w:p>
        </w:tc>
        <w:tc>
          <w:tcPr>
            <w:tcW w:w="751"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90</w:t>
            </w:r>
            <w:r>
              <w:rPr>
                <w:rFonts w:ascii="Verdana" w:hAnsi="Verdana"/>
                <w:color w:val="365F91"/>
                <w:sz w:val="18"/>
                <w:szCs w:val="18"/>
                <w:lang w:val="el-GR"/>
              </w:rPr>
              <w:t>,</w:t>
            </w:r>
            <w:r w:rsidRPr="00D3063B">
              <w:rPr>
                <w:rFonts w:ascii="Verdana" w:hAnsi="Verdana"/>
                <w:color w:val="365F91"/>
                <w:sz w:val="18"/>
                <w:szCs w:val="18"/>
                <w:lang w:val="el-GR"/>
              </w:rPr>
              <w:t>98</w:t>
            </w:r>
          </w:p>
        </w:tc>
        <w:tc>
          <w:tcPr>
            <w:tcW w:w="705"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-2</w:t>
            </w:r>
            <w:r>
              <w:rPr>
                <w:rFonts w:ascii="Verdana" w:hAnsi="Verdana"/>
                <w:color w:val="365F91"/>
                <w:sz w:val="18"/>
                <w:szCs w:val="18"/>
                <w:lang w:val="el-GR"/>
              </w:rPr>
              <w:t>,</w:t>
            </w:r>
            <w:r w:rsidRPr="00D3063B">
              <w:rPr>
                <w:rFonts w:ascii="Verdana" w:hAnsi="Verdana"/>
                <w:color w:val="365F91"/>
                <w:sz w:val="18"/>
                <w:szCs w:val="18"/>
                <w:lang w:val="el-GR"/>
              </w:rPr>
              <w:t>7</w:t>
            </w:r>
          </w:p>
        </w:tc>
        <w:tc>
          <w:tcPr>
            <w:tcW w:w="585" w:type="pct"/>
            <w:tcBorders>
              <w:top w:val="nil"/>
              <w:bottom w:val="nil"/>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0</w:t>
            </w:r>
            <w:r>
              <w:rPr>
                <w:rFonts w:ascii="Verdana" w:hAnsi="Verdana"/>
                <w:color w:val="365F91"/>
                <w:sz w:val="18"/>
                <w:szCs w:val="18"/>
                <w:lang w:val="el-GR"/>
              </w:rPr>
              <w:t>,</w:t>
            </w:r>
            <w:r w:rsidRPr="00D3063B">
              <w:rPr>
                <w:rFonts w:ascii="Verdana" w:hAnsi="Verdana"/>
                <w:color w:val="365F91"/>
                <w:sz w:val="18"/>
                <w:szCs w:val="18"/>
                <w:lang w:val="el-GR"/>
              </w:rPr>
              <w:t>8</w:t>
            </w:r>
          </w:p>
        </w:tc>
        <w:tc>
          <w:tcPr>
            <w:tcW w:w="894" w:type="pct"/>
            <w:tcBorders>
              <w:top w:val="nil"/>
              <w:bottom w:val="nil"/>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-3</w:t>
            </w:r>
            <w:r>
              <w:rPr>
                <w:rFonts w:ascii="Verdana" w:hAnsi="Verdana"/>
                <w:color w:val="365F91"/>
                <w:sz w:val="18"/>
                <w:szCs w:val="18"/>
                <w:lang w:val="el-GR"/>
              </w:rPr>
              <w:t>,</w:t>
            </w:r>
            <w:r w:rsidRPr="00D3063B">
              <w:rPr>
                <w:rFonts w:ascii="Verdana" w:hAnsi="Verdana"/>
                <w:color w:val="365F91"/>
                <w:sz w:val="18"/>
                <w:szCs w:val="18"/>
                <w:lang w:val="el-GR"/>
              </w:rPr>
              <w:t>2</w:t>
            </w:r>
          </w:p>
        </w:tc>
      </w:tr>
      <w:tr w:rsidR="00D3063B" w:rsidRPr="008774AA" w:rsidTr="00D3063B">
        <w:trPr>
          <w:trHeight w:val="370"/>
          <w:jc w:val="center"/>
        </w:trPr>
        <w:tc>
          <w:tcPr>
            <w:tcW w:w="1317" w:type="pct"/>
            <w:tcBorders>
              <w:top w:val="nil"/>
              <w:left w:val="nil"/>
              <w:bottom w:val="nil"/>
            </w:tcBorders>
            <w:shd w:val="clear" w:color="FFFFFF" w:fill="FFFFFF"/>
            <w:noWrap/>
            <w:vAlign w:val="center"/>
            <w:hideMark/>
          </w:tcPr>
          <w:p w:rsidR="00D3063B" w:rsidRPr="008774AA" w:rsidRDefault="00D3063B" w:rsidP="00D3063B">
            <w:pPr>
              <w:rPr>
                <w:rFonts w:ascii="Verdana" w:eastAsia="Times New Roman" w:hAnsi="Verdana" w:cs="Arial"/>
                <w:color w:val="365F91"/>
                <w:sz w:val="18"/>
                <w:szCs w:val="18"/>
              </w:rPr>
            </w:pPr>
            <w:proofErr w:type="spellStart"/>
            <w:r w:rsidRPr="008774AA">
              <w:rPr>
                <w:rFonts w:ascii="Verdana" w:eastAsia="Times New Roman" w:hAnsi="Verdana" w:cs="Arial"/>
                <w:color w:val="365F91"/>
                <w:sz w:val="18"/>
                <w:szCs w:val="18"/>
              </w:rPr>
              <w:t>Αν</w:t>
            </w:r>
            <w:proofErr w:type="spellEnd"/>
            <w:r w:rsidRPr="008774AA">
              <w:rPr>
                <w:rFonts w:ascii="Verdana" w:eastAsia="Times New Roman" w:hAnsi="Verdana" w:cs="Arial"/>
                <w:color w:val="365F91"/>
                <w:sz w:val="18"/>
                <w:szCs w:val="18"/>
              </w:rPr>
              <w:t xml:space="preserve">αψυχή και </w:t>
            </w:r>
            <w:r w:rsidRPr="008774AA">
              <w:rPr>
                <w:rFonts w:ascii="Verdana" w:eastAsia="Times New Roman" w:hAnsi="Verdana" w:cs="Arial"/>
                <w:color w:val="365F91"/>
                <w:sz w:val="18"/>
                <w:szCs w:val="18"/>
                <w:lang w:val="el-GR"/>
              </w:rPr>
              <w:t>Π</w:t>
            </w:r>
            <w:proofErr w:type="spellStart"/>
            <w:r w:rsidRPr="008774AA">
              <w:rPr>
                <w:rFonts w:ascii="Verdana" w:eastAsia="Times New Roman" w:hAnsi="Verdana" w:cs="Arial"/>
                <w:color w:val="365F91"/>
                <w:sz w:val="18"/>
                <w:szCs w:val="18"/>
              </w:rPr>
              <w:t>ολιτισμός</w:t>
            </w:r>
            <w:proofErr w:type="spellEnd"/>
          </w:p>
        </w:tc>
        <w:tc>
          <w:tcPr>
            <w:tcW w:w="748" w:type="pct"/>
            <w:tcBorders>
              <w:top w:val="nil"/>
              <w:bottom w:val="nil"/>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111,68 </w:t>
            </w:r>
          </w:p>
        </w:tc>
        <w:tc>
          <w:tcPr>
            <w:tcW w:w="751"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111</w:t>
            </w:r>
            <w:r>
              <w:rPr>
                <w:rFonts w:ascii="Verdana" w:hAnsi="Verdana"/>
                <w:color w:val="365F91"/>
                <w:sz w:val="18"/>
                <w:szCs w:val="18"/>
                <w:lang w:val="el-GR"/>
              </w:rPr>
              <w:t>,</w:t>
            </w:r>
            <w:r w:rsidRPr="00D3063B">
              <w:rPr>
                <w:rFonts w:ascii="Verdana" w:hAnsi="Verdana"/>
                <w:color w:val="365F91"/>
                <w:sz w:val="18"/>
                <w:szCs w:val="18"/>
                <w:lang w:val="el-GR"/>
              </w:rPr>
              <w:t>83</w:t>
            </w:r>
          </w:p>
        </w:tc>
        <w:tc>
          <w:tcPr>
            <w:tcW w:w="705"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4</w:t>
            </w:r>
            <w:r>
              <w:rPr>
                <w:rFonts w:ascii="Verdana" w:hAnsi="Verdana"/>
                <w:color w:val="365F91"/>
                <w:sz w:val="18"/>
                <w:szCs w:val="18"/>
                <w:lang w:val="el-GR"/>
              </w:rPr>
              <w:t>,</w:t>
            </w:r>
            <w:r w:rsidRPr="00D3063B">
              <w:rPr>
                <w:rFonts w:ascii="Verdana" w:hAnsi="Verdana"/>
                <w:color w:val="365F91"/>
                <w:sz w:val="18"/>
                <w:szCs w:val="18"/>
                <w:lang w:val="el-GR"/>
              </w:rPr>
              <w:t>8</w:t>
            </w:r>
          </w:p>
        </w:tc>
        <w:tc>
          <w:tcPr>
            <w:tcW w:w="585" w:type="pct"/>
            <w:tcBorders>
              <w:top w:val="nil"/>
              <w:bottom w:val="nil"/>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0</w:t>
            </w:r>
            <w:r>
              <w:rPr>
                <w:rFonts w:ascii="Verdana" w:hAnsi="Verdana"/>
                <w:color w:val="365F91"/>
                <w:sz w:val="18"/>
                <w:szCs w:val="18"/>
                <w:lang w:val="el-GR"/>
              </w:rPr>
              <w:t>,</w:t>
            </w:r>
            <w:r w:rsidRPr="00D3063B">
              <w:rPr>
                <w:rFonts w:ascii="Verdana" w:hAnsi="Verdana"/>
                <w:color w:val="365F91"/>
                <w:sz w:val="18"/>
                <w:szCs w:val="18"/>
                <w:lang w:val="el-GR"/>
              </w:rPr>
              <w:t>1</w:t>
            </w:r>
          </w:p>
        </w:tc>
        <w:tc>
          <w:tcPr>
            <w:tcW w:w="894" w:type="pct"/>
            <w:tcBorders>
              <w:top w:val="nil"/>
              <w:bottom w:val="nil"/>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4</w:t>
            </w:r>
            <w:r>
              <w:rPr>
                <w:rFonts w:ascii="Verdana" w:hAnsi="Verdana"/>
                <w:color w:val="365F91"/>
                <w:sz w:val="18"/>
                <w:szCs w:val="18"/>
                <w:lang w:val="el-GR"/>
              </w:rPr>
              <w:t>,</w:t>
            </w:r>
            <w:r w:rsidRPr="00D3063B">
              <w:rPr>
                <w:rFonts w:ascii="Verdana" w:hAnsi="Verdana"/>
                <w:color w:val="365F91"/>
                <w:sz w:val="18"/>
                <w:szCs w:val="18"/>
                <w:lang w:val="el-GR"/>
              </w:rPr>
              <w:t>9</w:t>
            </w:r>
          </w:p>
        </w:tc>
      </w:tr>
      <w:tr w:rsidR="00D3063B" w:rsidRPr="008774AA" w:rsidTr="00D3063B">
        <w:trPr>
          <w:trHeight w:val="370"/>
          <w:jc w:val="center"/>
        </w:trPr>
        <w:tc>
          <w:tcPr>
            <w:tcW w:w="1317" w:type="pct"/>
            <w:tcBorders>
              <w:top w:val="nil"/>
              <w:left w:val="nil"/>
              <w:bottom w:val="nil"/>
            </w:tcBorders>
            <w:shd w:val="clear" w:color="FFFFFF" w:fill="FFFFFF"/>
            <w:noWrap/>
            <w:vAlign w:val="center"/>
            <w:hideMark/>
          </w:tcPr>
          <w:p w:rsidR="00D3063B" w:rsidRPr="008774AA" w:rsidRDefault="00D3063B" w:rsidP="00D3063B">
            <w:pPr>
              <w:rPr>
                <w:rFonts w:ascii="Verdana" w:eastAsia="Times New Roman" w:hAnsi="Verdana" w:cs="Arial"/>
                <w:color w:val="365F91"/>
                <w:sz w:val="18"/>
                <w:szCs w:val="18"/>
              </w:rPr>
            </w:pPr>
            <w:proofErr w:type="spellStart"/>
            <w:r w:rsidRPr="008774AA">
              <w:rPr>
                <w:rFonts w:ascii="Verdana" w:eastAsia="Times New Roman" w:hAnsi="Verdana" w:cs="Arial"/>
                <w:color w:val="365F91"/>
                <w:sz w:val="18"/>
                <w:szCs w:val="18"/>
              </w:rPr>
              <w:t>Εκ</w:t>
            </w:r>
            <w:proofErr w:type="spellEnd"/>
            <w:r w:rsidRPr="008774AA">
              <w:rPr>
                <w:rFonts w:ascii="Verdana" w:eastAsia="Times New Roman" w:hAnsi="Verdana" w:cs="Arial"/>
                <w:color w:val="365F91"/>
                <w:sz w:val="18"/>
                <w:szCs w:val="18"/>
              </w:rPr>
              <w:t>παίδευση</w:t>
            </w:r>
          </w:p>
        </w:tc>
        <w:tc>
          <w:tcPr>
            <w:tcW w:w="748" w:type="pct"/>
            <w:tcBorders>
              <w:top w:val="nil"/>
              <w:bottom w:val="nil"/>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108,01 </w:t>
            </w:r>
          </w:p>
        </w:tc>
        <w:tc>
          <w:tcPr>
            <w:tcW w:w="751"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108</w:t>
            </w:r>
            <w:r>
              <w:rPr>
                <w:rFonts w:ascii="Verdana" w:hAnsi="Verdana"/>
                <w:color w:val="365F91"/>
                <w:sz w:val="18"/>
                <w:szCs w:val="18"/>
                <w:lang w:val="el-GR"/>
              </w:rPr>
              <w:t>,</w:t>
            </w:r>
            <w:r w:rsidRPr="00D3063B">
              <w:rPr>
                <w:rFonts w:ascii="Verdana" w:hAnsi="Verdana"/>
                <w:color w:val="365F91"/>
                <w:sz w:val="18"/>
                <w:szCs w:val="18"/>
                <w:lang w:val="el-GR"/>
              </w:rPr>
              <w:t>01</w:t>
            </w:r>
          </w:p>
        </w:tc>
        <w:tc>
          <w:tcPr>
            <w:tcW w:w="705"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w:t>
            </w:r>
            <w:r>
              <w:rPr>
                <w:rFonts w:ascii="Verdana" w:hAnsi="Verdana"/>
                <w:color w:val="365F91"/>
                <w:sz w:val="18"/>
                <w:szCs w:val="18"/>
                <w:lang w:val="el-GR"/>
              </w:rPr>
              <w:t>,</w:t>
            </w:r>
            <w:r w:rsidRPr="00D3063B">
              <w:rPr>
                <w:rFonts w:ascii="Verdana" w:hAnsi="Verdana"/>
                <w:color w:val="365F91"/>
                <w:sz w:val="18"/>
                <w:szCs w:val="18"/>
                <w:lang w:val="el-GR"/>
              </w:rPr>
              <w:t>8</w:t>
            </w:r>
          </w:p>
        </w:tc>
        <w:tc>
          <w:tcPr>
            <w:tcW w:w="585" w:type="pct"/>
            <w:tcBorders>
              <w:top w:val="nil"/>
              <w:bottom w:val="nil"/>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0</w:t>
            </w:r>
            <w:r>
              <w:rPr>
                <w:rFonts w:ascii="Verdana" w:hAnsi="Verdana"/>
                <w:color w:val="365F91"/>
                <w:sz w:val="18"/>
                <w:szCs w:val="18"/>
                <w:lang w:val="el-GR"/>
              </w:rPr>
              <w:t>,</w:t>
            </w:r>
            <w:r w:rsidRPr="00D3063B">
              <w:rPr>
                <w:rFonts w:ascii="Verdana" w:hAnsi="Verdana"/>
                <w:color w:val="365F91"/>
                <w:sz w:val="18"/>
                <w:szCs w:val="18"/>
                <w:lang w:val="el-GR"/>
              </w:rPr>
              <w:t>0</w:t>
            </w:r>
          </w:p>
        </w:tc>
        <w:tc>
          <w:tcPr>
            <w:tcW w:w="894" w:type="pct"/>
            <w:tcBorders>
              <w:top w:val="nil"/>
              <w:bottom w:val="nil"/>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1</w:t>
            </w:r>
            <w:r>
              <w:rPr>
                <w:rFonts w:ascii="Verdana" w:hAnsi="Verdana"/>
                <w:color w:val="365F91"/>
                <w:sz w:val="18"/>
                <w:szCs w:val="18"/>
                <w:lang w:val="el-GR"/>
              </w:rPr>
              <w:t>,</w:t>
            </w:r>
            <w:r w:rsidRPr="00D3063B">
              <w:rPr>
                <w:rFonts w:ascii="Verdana" w:hAnsi="Verdana"/>
                <w:color w:val="365F91"/>
                <w:sz w:val="18"/>
                <w:szCs w:val="18"/>
                <w:lang w:val="el-GR"/>
              </w:rPr>
              <w:t>8</w:t>
            </w:r>
          </w:p>
        </w:tc>
      </w:tr>
      <w:tr w:rsidR="00D3063B" w:rsidRPr="008774AA" w:rsidTr="00D3063B">
        <w:trPr>
          <w:trHeight w:val="370"/>
          <w:jc w:val="center"/>
        </w:trPr>
        <w:tc>
          <w:tcPr>
            <w:tcW w:w="1317" w:type="pct"/>
            <w:tcBorders>
              <w:top w:val="nil"/>
              <w:left w:val="nil"/>
              <w:bottom w:val="nil"/>
            </w:tcBorders>
            <w:shd w:val="clear" w:color="FFFFFF" w:fill="FFFFFF"/>
            <w:noWrap/>
            <w:vAlign w:val="center"/>
            <w:hideMark/>
          </w:tcPr>
          <w:p w:rsidR="00D3063B" w:rsidRPr="008774AA" w:rsidRDefault="00D3063B" w:rsidP="00D3063B">
            <w:pPr>
              <w:rPr>
                <w:rFonts w:ascii="Verdana" w:eastAsia="Times New Roman" w:hAnsi="Verdana" w:cs="Arial"/>
                <w:color w:val="365F91"/>
                <w:sz w:val="18"/>
                <w:szCs w:val="18"/>
              </w:rPr>
            </w:pPr>
            <w:proofErr w:type="spellStart"/>
            <w:r w:rsidRPr="008774AA">
              <w:rPr>
                <w:rFonts w:ascii="Verdana" w:eastAsia="Times New Roman" w:hAnsi="Verdana" w:cs="Arial"/>
                <w:color w:val="365F91"/>
                <w:sz w:val="18"/>
                <w:szCs w:val="18"/>
              </w:rPr>
              <w:t>Εστι</w:t>
            </w:r>
            <w:proofErr w:type="spellEnd"/>
            <w:r w:rsidRPr="008774AA">
              <w:rPr>
                <w:rFonts w:ascii="Verdana" w:eastAsia="Times New Roman" w:hAnsi="Verdana" w:cs="Arial"/>
                <w:color w:val="365F91"/>
                <w:sz w:val="18"/>
                <w:szCs w:val="18"/>
              </w:rPr>
              <w:t xml:space="preserve">ατόρια και </w:t>
            </w:r>
            <w:r w:rsidRPr="008774AA">
              <w:rPr>
                <w:rFonts w:ascii="Verdana" w:eastAsia="Times New Roman" w:hAnsi="Verdana" w:cs="Arial"/>
                <w:color w:val="365F91"/>
                <w:sz w:val="18"/>
                <w:szCs w:val="18"/>
                <w:lang w:val="el-GR"/>
              </w:rPr>
              <w:t>Ξ</w:t>
            </w:r>
            <w:proofErr w:type="spellStart"/>
            <w:r w:rsidRPr="008774AA">
              <w:rPr>
                <w:rFonts w:ascii="Verdana" w:eastAsia="Times New Roman" w:hAnsi="Verdana" w:cs="Arial"/>
                <w:color w:val="365F91"/>
                <w:sz w:val="18"/>
                <w:szCs w:val="18"/>
              </w:rPr>
              <w:t>ενοδοχεί</w:t>
            </w:r>
            <w:proofErr w:type="spellEnd"/>
            <w:r w:rsidRPr="008774AA">
              <w:rPr>
                <w:rFonts w:ascii="Verdana" w:eastAsia="Times New Roman" w:hAnsi="Verdana" w:cs="Arial"/>
                <w:color w:val="365F91"/>
                <w:sz w:val="18"/>
                <w:szCs w:val="18"/>
              </w:rPr>
              <w:t>α</w:t>
            </w:r>
          </w:p>
        </w:tc>
        <w:tc>
          <w:tcPr>
            <w:tcW w:w="748" w:type="pct"/>
            <w:tcBorders>
              <w:top w:val="nil"/>
              <w:bottom w:val="nil"/>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113,65 </w:t>
            </w:r>
          </w:p>
        </w:tc>
        <w:tc>
          <w:tcPr>
            <w:tcW w:w="751"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114</w:t>
            </w:r>
            <w:r>
              <w:rPr>
                <w:rFonts w:ascii="Verdana" w:hAnsi="Verdana"/>
                <w:color w:val="365F91"/>
                <w:sz w:val="18"/>
                <w:szCs w:val="18"/>
                <w:lang w:val="el-GR"/>
              </w:rPr>
              <w:t>,</w:t>
            </w:r>
            <w:r w:rsidRPr="00D3063B">
              <w:rPr>
                <w:rFonts w:ascii="Verdana" w:hAnsi="Verdana"/>
                <w:color w:val="365F91"/>
                <w:sz w:val="18"/>
                <w:szCs w:val="18"/>
                <w:lang w:val="el-GR"/>
              </w:rPr>
              <w:t>98</w:t>
            </w:r>
          </w:p>
        </w:tc>
        <w:tc>
          <w:tcPr>
            <w:tcW w:w="705" w:type="pct"/>
            <w:tcBorders>
              <w:top w:val="nil"/>
              <w:bottom w:val="nil"/>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6</w:t>
            </w:r>
            <w:r>
              <w:rPr>
                <w:rFonts w:ascii="Verdana" w:hAnsi="Verdana"/>
                <w:color w:val="365F91"/>
                <w:sz w:val="18"/>
                <w:szCs w:val="18"/>
                <w:lang w:val="el-GR"/>
              </w:rPr>
              <w:t>,</w:t>
            </w:r>
            <w:r w:rsidRPr="00D3063B">
              <w:rPr>
                <w:rFonts w:ascii="Verdana" w:hAnsi="Verdana"/>
                <w:color w:val="365F91"/>
                <w:sz w:val="18"/>
                <w:szCs w:val="18"/>
                <w:lang w:val="el-GR"/>
              </w:rPr>
              <w:t>5</w:t>
            </w:r>
          </w:p>
        </w:tc>
        <w:tc>
          <w:tcPr>
            <w:tcW w:w="585" w:type="pct"/>
            <w:tcBorders>
              <w:top w:val="nil"/>
              <w:bottom w:val="nil"/>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1</w:t>
            </w:r>
            <w:r>
              <w:rPr>
                <w:rFonts w:ascii="Verdana" w:hAnsi="Verdana"/>
                <w:color w:val="365F91"/>
                <w:sz w:val="18"/>
                <w:szCs w:val="18"/>
                <w:lang w:val="el-GR"/>
              </w:rPr>
              <w:t>,</w:t>
            </w:r>
            <w:r w:rsidRPr="00D3063B">
              <w:rPr>
                <w:rFonts w:ascii="Verdana" w:hAnsi="Verdana"/>
                <w:color w:val="365F91"/>
                <w:sz w:val="18"/>
                <w:szCs w:val="18"/>
                <w:lang w:val="el-GR"/>
              </w:rPr>
              <w:t>2</w:t>
            </w:r>
          </w:p>
        </w:tc>
        <w:tc>
          <w:tcPr>
            <w:tcW w:w="894" w:type="pct"/>
            <w:tcBorders>
              <w:top w:val="nil"/>
              <w:bottom w:val="nil"/>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8</w:t>
            </w:r>
            <w:r>
              <w:rPr>
                <w:rFonts w:ascii="Verdana" w:hAnsi="Verdana"/>
                <w:color w:val="365F91"/>
                <w:sz w:val="18"/>
                <w:szCs w:val="18"/>
                <w:lang w:val="el-GR"/>
              </w:rPr>
              <w:t>,</w:t>
            </w:r>
            <w:r w:rsidRPr="00D3063B">
              <w:rPr>
                <w:rFonts w:ascii="Verdana" w:hAnsi="Verdana"/>
                <w:color w:val="365F91"/>
                <w:sz w:val="18"/>
                <w:szCs w:val="18"/>
                <w:lang w:val="el-GR"/>
              </w:rPr>
              <w:t>2</w:t>
            </w:r>
          </w:p>
        </w:tc>
      </w:tr>
      <w:tr w:rsidR="00D3063B" w:rsidRPr="008774AA" w:rsidTr="00D3063B">
        <w:trPr>
          <w:trHeight w:val="370"/>
          <w:jc w:val="center"/>
        </w:trPr>
        <w:tc>
          <w:tcPr>
            <w:tcW w:w="1317" w:type="pct"/>
            <w:tcBorders>
              <w:top w:val="nil"/>
              <w:left w:val="nil"/>
              <w:bottom w:val="single" w:sz="4" w:space="0" w:color="366092"/>
            </w:tcBorders>
            <w:shd w:val="clear" w:color="FFFFFF" w:fill="FFFFFF"/>
            <w:noWrap/>
            <w:vAlign w:val="center"/>
            <w:hideMark/>
          </w:tcPr>
          <w:p w:rsidR="00D3063B" w:rsidRPr="008774AA" w:rsidRDefault="00D3063B" w:rsidP="00D3063B">
            <w:pPr>
              <w:rPr>
                <w:rFonts w:ascii="Verdana" w:eastAsia="Times New Roman" w:hAnsi="Verdana" w:cs="Arial"/>
                <w:color w:val="365F91"/>
                <w:sz w:val="18"/>
                <w:szCs w:val="18"/>
              </w:rPr>
            </w:pPr>
            <w:proofErr w:type="spellStart"/>
            <w:r w:rsidRPr="008774AA">
              <w:rPr>
                <w:rFonts w:ascii="Verdana" w:eastAsia="Times New Roman" w:hAnsi="Verdana" w:cs="Arial"/>
                <w:color w:val="365F91"/>
                <w:sz w:val="18"/>
                <w:szCs w:val="18"/>
              </w:rPr>
              <w:t>Άλλ</w:t>
            </w:r>
            <w:proofErr w:type="spellEnd"/>
            <w:r w:rsidRPr="008774AA">
              <w:rPr>
                <w:rFonts w:ascii="Verdana" w:eastAsia="Times New Roman" w:hAnsi="Verdana" w:cs="Arial"/>
                <w:color w:val="365F91"/>
                <w:sz w:val="18"/>
                <w:szCs w:val="18"/>
              </w:rPr>
              <w:t xml:space="preserve">α </w:t>
            </w:r>
            <w:r w:rsidRPr="008774AA">
              <w:rPr>
                <w:rFonts w:ascii="Verdana" w:eastAsia="Times New Roman" w:hAnsi="Verdana" w:cs="Arial"/>
                <w:color w:val="365F91"/>
                <w:sz w:val="18"/>
                <w:szCs w:val="18"/>
                <w:lang w:val="el-GR"/>
              </w:rPr>
              <w:t>Α</w:t>
            </w:r>
            <w:r w:rsidRPr="008774AA">
              <w:rPr>
                <w:rFonts w:ascii="Verdana" w:eastAsia="Times New Roman" w:hAnsi="Verdana" w:cs="Arial"/>
                <w:color w:val="365F91"/>
                <w:sz w:val="18"/>
                <w:szCs w:val="18"/>
              </w:rPr>
              <w:t>γα</w:t>
            </w:r>
            <w:proofErr w:type="spellStart"/>
            <w:r w:rsidRPr="008774AA">
              <w:rPr>
                <w:rFonts w:ascii="Verdana" w:eastAsia="Times New Roman" w:hAnsi="Verdana" w:cs="Arial"/>
                <w:color w:val="365F91"/>
                <w:sz w:val="18"/>
                <w:szCs w:val="18"/>
              </w:rPr>
              <w:t>θά</w:t>
            </w:r>
            <w:proofErr w:type="spellEnd"/>
            <w:r w:rsidRPr="008774AA">
              <w:rPr>
                <w:rFonts w:ascii="Verdana" w:eastAsia="Times New Roman" w:hAnsi="Verdana" w:cs="Arial"/>
                <w:color w:val="365F91"/>
                <w:sz w:val="18"/>
                <w:szCs w:val="18"/>
              </w:rPr>
              <w:t xml:space="preserve"> και </w:t>
            </w:r>
            <w:r w:rsidRPr="008774AA">
              <w:rPr>
                <w:rFonts w:ascii="Verdana" w:eastAsia="Times New Roman" w:hAnsi="Verdana" w:cs="Arial"/>
                <w:color w:val="365F91"/>
                <w:sz w:val="18"/>
                <w:szCs w:val="18"/>
                <w:lang w:val="el-GR"/>
              </w:rPr>
              <w:t>Υ</w:t>
            </w:r>
            <w:r w:rsidRPr="008774AA">
              <w:rPr>
                <w:rFonts w:ascii="Verdana" w:eastAsia="Times New Roman" w:hAnsi="Verdana" w:cs="Arial"/>
                <w:color w:val="365F91"/>
                <w:sz w:val="18"/>
                <w:szCs w:val="18"/>
              </w:rPr>
              <w:t>π</w:t>
            </w:r>
            <w:proofErr w:type="spellStart"/>
            <w:r w:rsidRPr="008774AA">
              <w:rPr>
                <w:rFonts w:ascii="Verdana" w:eastAsia="Times New Roman" w:hAnsi="Verdana" w:cs="Arial"/>
                <w:color w:val="365F91"/>
                <w:sz w:val="18"/>
                <w:szCs w:val="18"/>
              </w:rPr>
              <w:t>ηρεσίες</w:t>
            </w:r>
            <w:proofErr w:type="spellEnd"/>
          </w:p>
        </w:tc>
        <w:tc>
          <w:tcPr>
            <w:tcW w:w="748" w:type="pct"/>
            <w:tcBorders>
              <w:top w:val="nil"/>
              <w:bottom w:val="single" w:sz="4" w:space="0" w:color="366092"/>
            </w:tcBorders>
            <w:shd w:val="clear" w:color="000000" w:fill="FFFFFF"/>
            <w:vAlign w:val="center"/>
            <w:hideMark/>
          </w:tcPr>
          <w:p w:rsidR="00D3063B" w:rsidRPr="008774AA" w:rsidRDefault="00D3063B" w:rsidP="00D3063B">
            <w:pPr>
              <w:tabs>
                <w:tab w:val="left" w:pos="1308"/>
              </w:tabs>
              <w:ind w:right="454"/>
              <w:jc w:val="right"/>
              <w:rPr>
                <w:rFonts w:ascii="Verdana" w:hAnsi="Verdana"/>
                <w:color w:val="365F91"/>
                <w:sz w:val="18"/>
                <w:szCs w:val="18"/>
                <w:lang w:val="el-GR"/>
              </w:rPr>
            </w:pPr>
            <w:r w:rsidRPr="008774AA">
              <w:rPr>
                <w:rFonts w:ascii="Verdana" w:hAnsi="Verdana"/>
                <w:color w:val="365F91"/>
                <w:sz w:val="18"/>
                <w:szCs w:val="18"/>
                <w:lang w:val="el-GR"/>
              </w:rPr>
              <w:t xml:space="preserve"> 108,22 </w:t>
            </w:r>
          </w:p>
        </w:tc>
        <w:tc>
          <w:tcPr>
            <w:tcW w:w="751" w:type="pct"/>
            <w:tcBorders>
              <w:top w:val="nil"/>
              <w:bottom w:val="single" w:sz="4" w:space="0" w:color="366092"/>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108</w:t>
            </w:r>
            <w:r>
              <w:rPr>
                <w:rFonts w:ascii="Verdana" w:hAnsi="Verdana"/>
                <w:color w:val="365F91"/>
                <w:sz w:val="18"/>
                <w:szCs w:val="18"/>
                <w:lang w:val="el-GR"/>
              </w:rPr>
              <w:t>,</w:t>
            </w:r>
            <w:r w:rsidRPr="00D3063B">
              <w:rPr>
                <w:rFonts w:ascii="Verdana" w:hAnsi="Verdana"/>
                <w:color w:val="365F91"/>
                <w:sz w:val="18"/>
                <w:szCs w:val="18"/>
                <w:lang w:val="el-GR"/>
              </w:rPr>
              <w:t>74</w:t>
            </w:r>
          </w:p>
        </w:tc>
        <w:tc>
          <w:tcPr>
            <w:tcW w:w="705" w:type="pct"/>
            <w:tcBorders>
              <w:top w:val="nil"/>
              <w:bottom w:val="single" w:sz="4" w:space="0" w:color="366092"/>
            </w:tcBorders>
            <w:shd w:val="clear" w:color="000000" w:fill="FFFFFF"/>
            <w:vAlign w:val="center"/>
          </w:tcPr>
          <w:p w:rsidR="00D3063B" w:rsidRPr="00D3063B" w:rsidRDefault="00D3063B" w:rsidP="00D3063B">
            <w:pPr>
              <w:tabs>
                <w:tab w:val="left" w:pos="1308"/>
              </w:tabs>
              <w:ind w:right="454"/>
              <w:jc w:val="right"/>
              <w:rPr>
                <w:rFonts w:ascii="Verdana" w:hAnsi="Verdana"/>
                <w:color w:val="365F91"/>
                <w:sz w:val="18"/>
                <w:szCs w:val="18"/>
                <w:lang w:val="el-GR"/>
              </w:rPr>
            </w:pPr>
            <w:r w:rsidRPr="00D3063B">
              <w:rPr>
                <w:rFonts w:ascii="Verdana" w:hAnsi="Verdana"/>
                <w:color w:val="365F91"/>
                <w:sz w:val="18"/>
                <w:szCs w:val="18"/>
                <w:lang w:val="el-GR"/>
              </w:rPr>
              <w:t>5</w:t>
            </w:r>
            <w:r>
              <w:rPr>
                <w:rFonts w:ascii="Verdana" w:hAnsi="Verdana"/>
                <w:color w:val="365F91"/>
                <w:sz w:val="18"/>
                <w:szCs w:val="18"/>
                <w:lang w:val="el-GR"/>
              </w:rPr>
              <w:t>,</w:t>
            </w:r>
            <w:r w:rsidRPr="00D3063B">
              <w:rPr>
                <w:rFonts w:ascii="Verdana" w:hAnsi="Verdana"/>
                <w:color w:val="365F91"/>
                <w:sz w:val="18"/>
                <w:szCs w:val="18"/>
                <w:lang w:val="el-GR"/>
              </w:rPr>
              <w:t>1</w:t>
            </w:r>
          </w:p>
        </w:tc>
        <w:tc>
          <w:tcPr>
            <w:tcW w:w="585" w:type="pct"/>
            <w:tcBorders>
              <w:top w:val="nil"/>
              <w:bottom w:val="single" w:sz="4" w:space="0" w:color="366092"/>
            </w:tcBorders>
            <w:shd w:val="clear" w:color="000000" w:fill="FFFFFF"/>
            <w:vAlign w:val="center"/>
          </w:tcPr>
          <w:p w:rsidR="00D3063B" w:rsidRPr="00D3063B" w:rsidRDefault="00D3063B" w:rsidP="00712F06">
            <w:pPr>
              <w:tabs>
                <w:tab w:val="left" w:pos="1308"/>
              </w:tabs>
              <w:ind w:right="397"/>
              <w:jc w:val="right"/>
              <w:rPr>
                <w:rFonts w:ascii="Verdana" w:hAnsi="Verdana"/>
                <w:color w:val="365F91"/>
                <w:sz w:val="18"/>
                <w:szCs w:val="18"/>
                <w:lang w:val="el-GR"/>
              </w:rPr>
            </w:pPr>
            <w:r w:rsidRPr="00D3063B">
              <w:rPr>
                <w:rFonts w:ascii="Verdana" w:hAnsi="Verdana"/>
                <w:color w:val="365F91"/>
                <w:sz w:val="18"/>
                <w:szCs w:val="18"/>
                <w:lang w:val="el-GR"/>
              </w:rPr>
              <w:t>0</w:t>
            </w:r>
            <w:r>
              <w:rPr>
                <w:rFonts w:ascii="Verdana" w:hAnsi="Verdana"/>
                <w:color w:val="365F91"/>
                <w:sz w:val="18"/>
                <w:szCs w:val="18"/>
                <w:lang w:val="el-GR"/>
              </w:rPr>
              <w:t>,</w:t>
            </w:r>
            <w:r w:rsidRPr="00D3063B">
              <w:rPr>
                <w:rFonts w:ascii="Verdana" w:hAnsi="Verdana"/>
                <w:color w:val="365F91"/>
                <w:sz w:val="18"/>
                <w:szCs w:val="18"/>
                <w:lang w:val="el-GR"/>
              </w:rPr>
              <w:t>5</w:t>
            </w:r>
          </w:p>
        </w:tc>
        <w:tc>
          <w:tcPr>
            <w:tcW w:w="894" w:type="pct"/>
            <w:tcBorders>
              <w:top w:val="nil"/>
              <w:bottom w:val="single" w:sz="4" w:space="0" w:color="366092"/>
            </w:tcBorders>
            <w:shd w:val="clear" w:color="000000" w:fill="FFFFFF"/>
            <w:vAlign w:val="center"/>
          </w:tcPr>
          <w:p w:rsidR="00D3063B" w:rsidRPr="00D3063B" w:rsidRDefault="00D3063B" w:rsidP="007B5424">
            <w:pPr>
              <w:tabs>
                <w:tab w:val="left" w:pos="1308"/>
              </w:tabs>
              <w:ind w:right="680"/>
              <w:jc w:val="right"/>
              <w:rPr>
                <w:rFonts w:ascii="Verdana" w:hAnsi="Verdana"/>
                <w:color w:val="365F91"/>
                <w:sz w:val="18"/>
                <w:szCs w:val="18"/>
                <w:lang w:val="el-GR"/>
              </w:rPr>
            </w:pPr>
            <w:r w:rsidRPr="00D3063B">
              <w:rPr>
                <w:rFonts w:ascii="Verdana" w:hAnsi="Verdana"/>
                <w:color w:val="365F91"/>
                <w:sz w:val="18"/>
                <w:szCs w:val="18"/>
                <w:lang w:val="el-GR"/>
              </w:rPr>
              <w:t>5</w:t>
            </w:r>
            <w:r>
              <w:rPr>
                <w:rFonts w:ascii="Verdana" w:hAnsi="Verdana"/>
                <w:color w:val="365F91"/>
                <w:sz w:val="18"/>
                <w:szCs w:val="18"/>
                <w:lang w:val="el-GR"/>
              </w:rPr>
              <w:t>,</w:t>
            </w:r>
            <w:r w:rsidRPr="00D3063B">
              <w:rPr>
                <w:rFonts w:ascii="Verdana" w:hAnsi="Verdana"/>
                <w:color w:val="365F91"/>
                <w:sz w:val="18"/>
                <w:szCs w:val="18"/>
                <w:lang w:val="el-GR"/>
              </w:rPr>
              <w:t>2</w:t>
            </w:r>
          </w:p>
        </w:tc>
      </w:tr>
      <w:tr w:rsidR="00D3063B" w:rsidRPr="008774AA" w:rsidTr="00D3063B">
        <w:trPr>
          <w:trHeight w:val="510"/>
          <w:jc w:val="center"/>
        </w:trPr>
        <w:tc>
          <w:tcPr>
            <w:tcW w:w="1317" w:type="pct"/>
            <w:tcBorders>
              <w:top w:val="single" w:sz="4" w:space="0" w:color="366092"/>
              <w:left w:val="nil"/>
              <w:bottom w:val="single" w:sz="4" w:space="0" w:color="366092"/>
            </w:tcBorders>
            <w:shd w:val="clear" w:color="FFFFFF" w:fill="FFFFFF"/>
            <w:noWrap/>
            <w:vAlign w:val="center"/>
          </w:tcPr>
          <w:p w:rsidR="00D3063B" w:rsidRPr="008774AA" w:rsidRDefault="00D3063B" w:rsidP="00D3063B">
            <w:pPr>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 xml:space="preserve">Γενικός Εναρμονισμένος ΔΤΚ </w:t>
            </w:r>
          </w:p>
        </w:tc>
        <w:tc>
          <w:tcPr>
            <w:tcW w:w="748" w:type="pct"/>
            <w:tcBorders>
              <w:top w:val="single" w:sz="4" w:space="0" w:color="366092"/>
              <w:bottom w:val="single" w:sz="4" w:space="0" w:color="366092"/>
            </w:tcBorders>
            <w:shd w:val="clear" w:color="000000" w:fill="FFFFFF"/>
            <w:vAlign w:val="center"/>
          </w:tcPr>
          <w:p w:rsidR="00D3063B" w:rsidRPr="008774AA" w:rsidRDefault="00D3063B" w:rsidP="00D3063B">
            <w:pPr>
              <w:ind w:right="454"/>
              <w:jc w:val="right"/>
              <w:rPr>
                <w:rFonts w:ascii="Verdana" w:hAnsi="Verdana"/>
                <w:b/>
                <w:bCs/>
                <w:color w:val="365F91"/>
                <w:sz w:val="18"/>
                <w:szCs w:val="18"/>
                <w:lang w:val="el-GR"/>
              </w:rPr>
            </w:pPr>
            <w:r w:rsidRPr="008774AA">
              <w:rPr>
                <w:rFonts w:ascii="Verdana" w:hAnsi="Verdana"/>
                <w:b/>
                <w:bCs/>
                <w:color w:val="365F91"/>
                <w:sz w:val="18"/>
                <w:szCs w:val="18"/>
              </w:rPr>
              <w:t>11</w:t>
            </w:r>
            <w:r w:rsidRPr="008774AA">
              <w:rPr>
                <w:rFonts w:ascii="Verdana" w:hAnsi="Verdana"/>
                <w:b/>
                <w:bCs/>
                <w:color w:val="365F91"/>
                <w:sz w:val="18"/>
                <w:szCs w:val="18"/>
                <w:lang w:val="el-GR"/>
              </w:rPr>
              <w:t>2</w:t>
            </w:r>
            <w:r w:rsidRPr="008774AA">
              <w:rPr>
                <w:rFonts w:ascii="Verdana" w:hAnsi="Verdana"/>
                <w:b/>
                <w:bCs/>
                <w:color w:val="365F91"/>
                <w:sz w:val="18"/>
                <w:szCs w:val="18"/>
              </w:rPr>
              <w:t>,</w:t>
            </w:r>
            <w:r w:rsidRPr="008774AA">
              <w:rPr>
                <w:rFonts w:ascii="Verdana" w:hAnsi="Verdana"/>
                <w:b/>
                <w:bCs/>
                <w:color w:val="365F91"/>
                <w:sz w:val="18"/>
                <w:szCs w:val="18"/>
                <w:lang w:val="el-GR"/>
              </w:rPr>
              <w:t>64</w:t>
            </w:r>
          </w:p>
        </w:tc>
        <w:tc>
          <w:tcPr>
            <w:tcW w:w="751" w:type="pct"/>
            <w:tcBorders>
              <w:top w:val="single" w:sz="4" w:space="0" w:color="366092"/>
              <w:bottom w:val="single" w:sz="4" w:space="0" w:color="366092"/>
            </w:tcBorders>
            <w:shd w:val="clear" w:color="000000" w:fill="FFFFFF"/>
            <w:vAlign w:val="center"/>
          </w:tcPr>
          <w:p w:rsidR="00D3063B" w:rsidRPr="00D3063B" w:rsidRDefault="00D3063B" w:rsidP="00D3063B">
            <w:pPr>
              <w:ind w:right="454"/>
              <w:jc w:val="right"/>
              <w:rPr>
                <w:rFonts w:ascii="Verdana" w:hAnsi="Verdana"/>
                <w:b/>
                <w:bCs/>
                <w:color w:val="365F91"/>
                <w:sz w:val="18"/>
                <w:szCs w:val="18"/>
              </w:rPr>
            </w:pPr>
            <w:r w:rsidRPr="00D3063B">
              <w:rPr>
                <w:rFonts w:ascii="Verdana" w:hAnsi="Verdana"/>
                <w:b/>
                <w:bCs/>
                <w:color w:val="365F91"/>
                <w:sz w:val="18"/>
                <w:szCs w:val="18"/>
              </w:rPr>
              <w:t>113</w:t>
            </w:r>
            <w:r>
              <w:rPr>
                <w:rFonts w:ascii="Verdana" w:hAnsi="Verdana"/>
                <w:b/>
                <w:bCs/>
                <w:color w:val="365F91"/>
                <w:sz w:val="18"/>
                <w:szCs w:val="18"/>
              </w:rPr>
              <w:t>,</w:t>
            </w:r>
            <w:r w:rsidRPr="00D3063B">
              <w:rPr>
                <w:rFonts w:ascii="Verdana" w:hAnsi="Verdana"/>
                <w:b/>
                <w:bCs/>
                <w:color w:val="365F91"/>
                <w:sz w:val="18"/>
                <w:szCs w:val="18"/>
              </w:rPr>
              <w:t>67</w:t>
            </w:r>
          </w:p>
        </w:tc>
        <w:tc>
          <w:tcPr>
            <w:tcW w:w="705" w:type="pct"/>
            <w:tcBorders>
              <w:top w:val="single" w:sz="4" w:space="0" w:color="366092"/>
              <w:bottom w:val="single" w:sz="4" w:space="0" w:color="366092"/>
            </w:tcBorders>
            <w:shd w:val="clear" w:color="000000" w:fill="FFFFFF"/>
            <w:vAlign w:val="center"/>
          </w:tcPr>
          <w:p w:rsidR="00D3063B" w:rsidRPr="00D3063B" w:rsidRDefault="00D3063B" w:rsidP="00D3063B">
            <w:pPr>
              <w:ind w:right="454"/>
              <w:jc w:val="right"/>
              <w:rPr>
                <w:rFonts w:ascii="Verdana" w:hAnsi="Verdana"/>
                <w:b/>
                <w:bCs/>
                <w:color w:val="365F91"/>
                <w:sz w:val="18"/>
                <w:szCs w:val="18"/>
              </w:rPr>
            </w:pPr>
            <w:r w:rsidRPr="00D3063B">
              <w:rPr>
                <w:rFonts w:ascii="Verdana" w:hAnsi="Verdana"/>
                <w:b/>
                <w:bCs/>
                <w:color w:val="365F91"/>
                <w:sz w:val="18"/>
                <w:szCs w:val="18"/>
              </w:rPr>
              <w:t>3</w:t>
            </w:r>
            <w:r>
              <w:rPr>
                <w:rFonts w:ascii="Verdana" w:hAnsi="Verdana"/>
                <w:b/>
                <w:bCs/>
                <w:color w:val="365F91"/>
                <w:sz w:val="18"/>
                <w:szCs w:val="18"/>
              </w:rPr>
              <w:t>,</w:t>
            </w:r>
            <w:r w:rsidRPr="00D3063B">
              <w:rPr>
                <w:rFonts w:ascii="Verdana" w:hAnsi="Verdana"/>
                <w:b/>
                <w:bCs/>
                <w:color w:val="365F91"/>
                <w:sz w:val="18"/>
                <w:szCs w:val="18"/>
              </w:rPr>
              <w:t>9</w:t>
            </w:r>
          </w:p>
        </w:tc>
        <w:tc>
          <w:tcPr>
            <w:tcW w:w="585" w:type="pct"/>
            <w:tcBorders>
              <w:top w:val="single" w:sz="4" w:space="0" w:color="366092"/>
              <w:bottom w:val="single" w:sz="4" w:space="0" w:color="366092"/>
            </w:tcBorders>
            <w:shd w:val="clear" w:color="000000" w:fill="FFFFFF"/>
            <w:vAlign w:val="center"/>
          </w:tcPr>
          <w:p w:rsidR="00D3063B" w:rsidRPr="00D3063B" w:rsidRDefault="00D3063B" w:rsidP="00712F06">
            <w:pPr>
              <w:ind w:right="397"/>
              <w:jc w:val="right"/>
              <w:rPr>
                <w:rFonts w:ascii="Verdana" w:hAnsi="Verdana"/>
                <w:b/>
                <w:bCs/>
                <w:color w:val="365F91"/>
                <w:sz w:val="18"/>
                <w:szCs w:val="18"/>
              </w:rPr>
            </w:pPr>
            <w:r w:rsidRPr="00D3063B">
              <w:rPr>
                <w:rFonts w:ascii="Verdana" w:hAnsi="Verdana"/>
                <w:b/>
                <w:bCs/>
                <w:color w:val="365F91"/>
                <w:sz w:val="18"/>
                <w:szCs w:val="18"/>
              </w:rPr>
              <w:t>0</w:t>
            </w:r>
            <w:r>
              <w:rPr>
                <w:rFonts w:ascii="Verdana" w:hAnsi="Verdana"/>
                <w:b/>
                <w:bCs/>
                <w:color w:val="365F91"/>
                <w:sz w:val="18"/>
                <w:szCs w:val="18"/>
              </w:rPr>
              <w:t>,</w:t>
            </w:r>
            <w:r w:rsidRPr="00D3063B">
              <w:rPr>
                <w:rFonts w:ascii="Verdana" w:hAnsi="Verdana"/>
                <w:b/>
                <w:bCs/>
                <w:color w:val="365F91"/>
                <w:sz w:val="18"/>
                <w:szCs w:val="18"/>
              </w:rPr>
              <w:t>9</w:t>
            </w:r>
          </w:p>
        </w:tc>
        <w:tc>
          <w:tcPr>
            <w:tcW w:w="894" w:type="pct"/>
            <w:tcBorders>
              <w:top w:val="single" w:sz="4" w:space="0" w:color="366092"/>
              <w:bottom w:val="single" w:sz="4" w:space="0" w:color="366092"/>
            </w:tcBorders>
            <w:shd w:val="clear" w:color="000000" w:fill="FFFFFF"/>
            <w:vAlign w:val="center"/>
          </w:tcPr>
          <w:p w:rsidR="00D3063B" w:rsidRPr="00D3063B" w:rsidRDefault="00D3063B" w:rsidP="007B5424">
            <w:pPr>
              <w:ind w:right="680"/>
              <w:jc w:val="right"/>
              <w:rPr>
                <w:rFonts w:ascii="Verdana" w:hAnsi="Verdana"/>
                <w:b/>
                <w:bCs/>
                <w:color w:val="365F91"/>
                <w:sz w:val="18"/>
                <w:szCs w:val="18"/>
              </w:rPr>
            </w:pPr>
            <w:r w:rsidRPr="00D3063B">
              <w:rPr>
                <w:rFonts w:ascii="Verdana" w:hAnsi="Verdana"/>
                <w:b/>
                <w:bCs/>
                <w:color w:val="365F91"/>
                <w:sz w:val="18"/>
                <w:szCs w:val="18"/>
              </w:rPr>
              <w:t>5</w:t>
            </w:r>
            <w:r>
              <w:rPr>
                <w:rFonts w:ascii="Verdana" w:hAnsi="Verdana"/>
                <w:b/>
                <w:bCs/>
                <w:color w:val="365F91"/>
                <w:sz w:val="18"/>
                <w:szCs w:val="18"/>
              </w:rPr>
              <w:t>,</w:t>
            </w:r>
            <w:r w:rsidRPr="00D3063B">
              <w:rPr>
                <w:rFonts w:ascii="Verdana" w:hAnsi="Verdana"/>
                <w:b/>
                <w:bCs/>
                <w:color w:val="365F91"/>
                <w:sz w:val="18"/>
                <w:szCs w:val="18"/>
              </w:rPr>
              <w:t>9</w:t>
            </w:r>
          </w:p>
        </w:tc>
      </w:tr>
    </w:tbl>
    <w:p w:rsidR="005425F7" w:rsidRDefault="005425F7" w:rsidP="00AF5CC6">
      <w:pPr>
        <w:tabs>
          <w:tab w:val="left" w:pos="1080"/>
          <w:tab w:val="left" w:pos="6840"/>
        </w:tabs>
        <w:jc w:val="both"/>
        <w:rPr>
          <w:rFonts w:ascii="Verdana" w:eastAsia="Malgun Gothic" w:hAnsi="Verdana" w:cs="Arial"/>
          <w:sz w:val="18"/>
          <w:szCs w:val="18"/>
          <w:lang w:val="el-GR"/>
        </w:rPr>
      </w:pPr>
    </w:p>
    <w:p w:rsidR="00AF5CC6" w:rsidRDefault="00AF5CC6" w:rsidP="00AF5CC6">
      <w:pPr>
        <w:tabs>
          <w:tab w:val="left" w:pos="1080"/>
          <w:tab w:val="left" w:pos="6840"/>
        </w:tabs>
        <w:jc w:val="both"/>
        <w:rPr>
          <w:rFonts w:ascii="Verdana" w:eastAsia="Malgun Gothic" w:hAnsi="Verdana" w:cs="Arial"/>
          <w:sz w:val="18"/>
          <w:szCs w:val="18"/>
          <w:lang w:val="el-GR"/>
        </w:rPr>
      </w:pPr>
    </w:p>
    <w:tbl>
      <w:tblPr>
        <w:tblW w:w="4915" w:type="pct"/>
        <w:jc w:val="center"/>
        <w:tblLayout w:type="fixed"/>
        <w:tblLook w:val="04A0" w:firstRow="1" w:lastRow="0" w:firstColumn="1" w:lastColumn="0" w:noHBand="0" w:noVBand="1"/>
      </w:tblPr>
      <w:tblGrid>
        <w:gridCol w:w="3061"/>
        <w:gridCol w:w="1904"/>
        <w:gridCol w:w="2232"/>
        <w:gridCol w:w="2205"/>
        <w:gridCol w:w="23"/>
      </w:tblGrid>
      <w:tr w:rsidR="00AF5CC6" w:rsidRPr="004F677C" w:rsidTr="00FA5F4A">
        <w:trPr>
          <w:gridAfter w:val="1"/>
          <w:wAfter w:w="12" w:type="pct"/>
          <w:trHeight w:val="395"/>
          <w:jc w:val="center"/>
        </w:trPr>
        <w:tc>
          <w:tcPr>
            <w:tcW w:w="4988" w:type="pct"/>
            <w:gridSpan w:val="4"/>
            <w:tcBorders>
              <w:left w:val="nil"/>
              <w:bottom w:val="single" w:sz="4" w:space="0" w:color="366092"/>
            </w:tcBorders>
            <w:shd w:val="clear" w:color="FFFFFF" w:fill="FFFFFF"/>
            <w:vAlign w:val="center"/>
            <w:hideMark/>
          </w:tcPr>
          <w:p w:rsidR="00AF5CC6" w:rsidRPr="001C5C8C" w:rsidRDefault="00AF5CC6" w:rsidP="00FA5F4A">
            <w:pPr>
              <w:ind w:right="410"/>
              <w:rPr>
                <w:rFonts w:ascii="Verdana" w:eastAsia="Times New Roman" w:hAnsi="Verdana" w:cs="Arial"/>
                <w:b/>
                <w:bCs/>
                <w:color w:val="365F91"/>
                <w:sz w:val="18"/>
                <w:szCs w:val="18"/>
                <w:lang w:val="el-GR"/>
              </w:rPr>
            </w:pPr>
            <w:r w:rsidRPr="001C5C8C">
              <w:rPr>
                <w:rFonts w:ascii="Verdana" w:eastAsia="Times New Roman" w:hAnsi="Verdana" w:cs="Arial"/>
                <w:b/>
                <w:bCs/>
                <w:color w:val="365F91"/>
                <w:sz w:val="18"/>
                <w:szCs w:val="18"/>
                <w:lang w:val="el-GR"/>
              </w:rPr>
              <w:t>Πίνακας 2</w:t>
            </w:r>
          </w:p>
        </w:tc>
      </w:tr>
      <w:tr w:rsidR="00AF5CC6" w:rsidRPr="004F677C" w:rsidTr="008013F2">
        <w:trPr>
          <w:gridAfter w:val="1"/>
          <w:wAfter w:w="12" w:type="pct"/>
          <w:trHeight w:val="295"/>
          <w:jc w:val="center"/>
        </w:trPr>
        <w:tc>
          <w:tcPr>
            <w:tcW w:w="1624" w:type="pct"/>
            <w:vMerge w:val="restart"/>
            <w:tcBorders>
              <w:top w:val="single" w:sz="4" w:space="0" w:color="366092"/>
              <w:left w:val="nil"/>
              <w:bottom w:val="single" w:sz="4" w:space="0" w:color="366092"/>
            </w:tcBorders>
            <w:shd w:val="clear" w:color="FFFFFF" w:fill="FFFFFF"/>
            <w:vAlign w:val="center"/>
            <w:hideMark/>
          </w:tcPr>
          <w:p w:rsidR="00AF5CC6" w:rsidRPr="004F677C" w:rsidRDefault="00AF5CC6" w:rsidP="00FA5F4A">
            <w:pP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Οικονομικές Κατηγορίες</w:t>
            </w:r>
          </w:p>
        </w:tc>
        <w:tc>
          <w:tcPr>
            <w:tcW w:w="1010" w:type="pct"/>
            <w:vMerge w:val="restart"/>
            <w:tcBorders>
              <w:top w:val="single" w:sz="4" w:space="0" w:color="366092"/>
              <w:bottom w:val="single" w:sz="4" w:space="0" w:color="366092"/>
            </w:tcBorders>
            <w:shd w:val="clear" w:color="FFFFFF" w:fill="FFFFFF"/>
            <w:vAlign w:val="center"/>
            <w:hideMark/>
          </w:tcPr>
          <w:p w:rsidR="00AF5CC6" w:rsidRPr="004F677C" w:rsidRDefault="00AF5CC6" w:rsidP="00FA5F4A">
            <w:pPr>
              <w:jc w:val="center"/>
              <w:rPr>
                <w:rFonts w:ascii="Verdana" w:eastAsia="Times New Roman" w:hAnsi="Verdana" w:cs="Arial"/>
                <w:b/>
                <w:bCs/>
                <w:color w:val="366092"/>
                <w:sz w:val="18"/>
                <w:szCs w:val="18"/>
                <w:lang w:val="el-GR"/>
              </w:rPr>
            </w:pPr>
            <w:r w:rsidRPr="004F677C">
              <w:rPr>
                <w:rFonts w:ascii="Verdana" w:eastAsia="Times New Roman" w:hAnsi="Verdana" w:cs="Arial"/>
                <w:b/>
                <w:bCs/>
                <w:color w:val="366092"/>
                <w:sz w:val="18"/>
                <w:szCs w:val="18"/>
                <w:lang w:val="el-GR"/>
              </w:rPr>
              <w:t>Συντελεστές Στάθμισης</w:t>
            </w:r>
          </w:p>
        </w:tc>
        <w:tc>
          <w:tcPr>
            <w:tcW w:w="2354" w:type="pct"/>
            <w:gridSpan w:val="2"/>
            <w:tcBorders>
              <w:top w:val="single" w:sz="4" w:space="0" w:color="366092"/>
              <w:bottom w:val="single" w:sz="4" w:space="0" w:color="366092"/>
              <w:right w:val="nil"/>
            </w:tcBorders>
            <w:shd w:val="clear" w:color="FFFFFF" w:fill="FFFFFF"/>
            <w:vAlign w:val="center"/>
            <w:hideMark/>
          </w:tcPr>
          <w:p w:rsidR="00AF5CC6" w:rsidRPr="004F677C" w:rsidRDefault="00AF5CC6" w:rsidP="00FA5F4A">
            <w:pPr>
              <w:jc w:val="center"/>
              <w:rPr>
                <w:rFonts w:ascii="Verdana" w:eastAsia="Times New Roman" w:hAnsi="Verdana" w:cs="Arial"/>
                <w:b/>
                <w:bCs/>
                <w:color w:val="366092"/>
                <w:sz w:val="18"/>
                <w:szCs w:val="18"/>
              </w:rPr>
            </w:pPr>
            <w:r w:rsidRPr="004F677C">
              <w:rPr>
                <w:rFonts w:ascii="Verdana" w:eastAsia="Times New Roman" w:hAnsi="Verdana" w:cs="Arial"/>
                <w:b/>
                <w:bCs/>
                <w:color w:val="366092"/>
                <w:sz w:val="18"/>
                <w:szCs w:val="18"/>
              </w:rPr>
              <w:t>Μ</w:t>
            </w:r>
            <w:proofErr w:type="spellStart"/>
            <w:r w:rsidRPr="004F677C">
              <w:rPr>
                <w:rFonts w:ascii="Verdana" w:eastAsia="Times New Roman" w:hAnsi="Verdana" w:cs="Arial"/>
                <w:b/>
                <w:bCs/>
                <w:color w:val="366092"/>
                <w:sz w:val="18"/>
                <w:szCs w:val="18"/>
                <w:lang w:val="el-GR"/>
              </w:rPr>
              <w:t>εταβολές</w:t>
            </w:r>
            <w:proofErr w:type="spellEnd"/>
            <w:r w:rsidRPr="004F677C">
              <w:rPr>
                <w:rFonts w:ascii="Verdana" w:eastAsia="Times New Roman" w:hAnsi="Verdana" w:cs="Arial"/>
                <w:b/>
                <w:bCs/>
                <w:color w:val="366092"/>
                <w:sz w:val="18"/>
                <w:szCs w:val="18"/>
              </w:rPr>
              <w:t xml:space="preserve"> (%)</w:t>
            </w:r>
          </w:p>
        </w:tc>
      </w:tr>
      <w:tr w:rsidR="008013F2" w:rsidRPr="004F677C" w:rsidTr="008013F2">
        <w:trPr>
          <w:trHeight w:val="506"/>
          <w:jc w:val="center"/>
        </w:trPr>
        <w:tc>
          <w:tcPr>
            <w:tcW w:w="1624" w:type="pct"/>
            <w:vMerge/>
            <w:tcBorders>
              <w:top w:val="single" w:sz="4" w:space="0" w:color="366092"/>
              <w:left w:val="nil"/>
              <w:bottom w:val="single" w:sz="4" w:space="0" w:color="366092"/>
            </w:tcBorders>
            <w:vAlign w:val="center"/>
            <w:hideMark/>
          </w:tcPr>
          <w:p w:rsidR="008013F2" w:rsidRPr="004F677C" w:rsidRDefault="008013F2" w:rsidP="008013F2">
            <w:pPr>
              <w:rPr>
                <w:rFonts w:ascii="Verdana" w:eastAsia="Times New Roman" w:hAnsi="Verdana" w:cs="Arial"/>
                <w:b/>
                <w:bCs/>
                <w:color w:val="366092"/>
                <w:sz w:val="18"/>
                <w:szCs w:val="18"/>
              </w:rPr>
            </w:pPr>
          </w:p>
        </w:tc>
        <w:tc>
          <w:tcPr>
            <w:tcW w:w="1010" w:type="pct"/>
            <w:vMerge/>
            <w:tcBorders>
              <w:top w:val="single" w:sz="4" w:space="0" w:color="366092"/>
              <w:bottom w:val="single" w:sz="4" w:space="0" w:color="366092"/>
            </w:tcBorders>
            <w:vAlign w:val="center"/>
            <w:hideMark/>
          </w:tcPr>
          <w:p w:rsidR="008013F2" w:rsidRPr="004F677C" w:rsidRDefault="008013F2" w:rsidP="008013F2">
            <w:pPr>
              <w:jc w:val="center"/>
              <w:rPr>
                <w:rFonts w:ascii="Verdana" w:eastAsia="Times New Roman" w:hAnsi="Verdana" w:cs="Arial"/>
                <w:b/>
                <w:bCs/>
                <w:color w:val="366092"/>
                <w:sz w:val="18"/>
                <w:szCs w:val="18"/>
              </w:rPr>
            </w:pPr>
          </w:p>
        </w:tc>
        <w:tc>
          <w:tcPr>
            <w:tcW w:w="1184" w:type="pct"/>
            <w:tcBorders>
              <w:top w:val="single" w:sz="4" w:space="0" w:color="366092"/>
              <w:bottom w:val="single" w:sz="4" w:space="0" w:color="366092"/>
            </w:tcBorders>
            <w:shd w:val="clear" w:color="FFFFFF" w:fill="FFFFFF"/>
            <w:vAlign w:val="center"/>
            <w:hideMark/>
          </w:tcPr>
          <w:p w:rsidR="008013F2" w:rsidRPr="008774AA" w:rsidRDefault="008013F2" w:rsidP="008013F2">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Απρ</w:t>
            </w:r>
            <w:r w:rsidRPr="008774AA">
              <w:rPr>
                <w:rFonts w:ascii="Verdana" w:eastAsia="Times New Roman" w:hAnsi="Verdana" w:cs="Arial"/>
                <w:b/>
                <w:bCs/>
                <w:color w:val="365F91"/>
                <w:sz w:val="18"/>
                <w:szCs w:val="18"/>
                <w:lang w:val="el-GR"/>
              </w:rPr>
              <w:t xml:space="preserve"> 23/</w:t>
            </w:r>
          </w:p>
          <w:p w:rsidR="008013F2" w:rsidRPr="008774AA" w:rsidRDefault="008013F2" w:rsidP="008013F2">
            <w:pPr>
              <w:jc w:val="center"/>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Απρ</w:t>
            </w:r>
            <w:r w:rsidRPr="008774AA">
              <w:rPr>
                <w:rFonts w:ascii="Verdana" w:eastAsia="Times New Roman" w:hAnsi="Verdana" w:cs="Arial"/>
                <w:b/>
                <w:bCs/>
                <w:color w:val="365F91"/>
                <w:sz w:val="18"/>
                <w:szCs w:val="18"/>
                <w:lang w:val="el-GR"/>
              </w:rPr>
              <w:t xml:space="preserve"> 22</w:t>
            </w:r>
          </w:p>
        </w:tc>
        <w:tc>
          <w:tcPr>
            <w:tcW w:w="1182" w:type="pct"/>
            <w:gridSpan w:val="2"/>
            <w:tcBorders>
              <w:top w:val="single" w:sz="4" w:space="0" w:color="366092"/>
              <w:bottom w:val="single" w:sz="4" w:space="0" w:color="366092"/>
              <w:right w:val="nil"/>
            </w:tcBorders>
            <w:shd w:val="clear" w:color="FFFFFF" w:fill="FFFFFF"/>
            <w:vAlign w:val="center"/>
            <w:hideMark/>
          </w:tcPr>
          <w:p w:rsidR="008013F2" w:rsidRPr="008774AA" w:rsidRDefault="008013F2" w:rsidP="008013F2">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Απρ</w:t>
            </w:r>
            <w:r w:rsidRPr="008774AA">
              <w:rPr>
                <w:rFonts w:ascii="Verdana" w:eastAsia="Times New Roman" w:hAnsi="Verdana" w:cs="Arial"/>
                <w:b/>
                <w:bCs/>
                <w:color w:val="365F91"/>
                <w:sz w:val="18"/>
                <w:szCs w:val="18"/>
                <w:lang w:val="el-GR"/>
              </w:rPr>
              <w:t xml:space="preserve"> 23/</w:t>
            </w:r>
          </w:p>
          <w:p w:rsidR="008013F2" w:rsidRPr="008774AA" w:rsidRDefault="008013F2" w:rsidP="008013F2">
            <w:pPr>
              <w:jc w:val="center"/>
              <w:rPr>
                <w:rFonts w:ascii="Verdana" w:eastAsia="Times New Roman" w:hAnsi="Verdana" w:cs="Arial"/>
                <w:b/>
                <w:bCs/>
                <w:color w:val="365F91"/>
                <w:sz w:val="18"/>
                <w:szCs w:val="18"/>
                <w:lang w:val="el-GR"/>
              </w:rPr>
            </w:pPr>
            <w:r w:rsidRPr="008774AA">
              <w:rPr>
                <w:rFonts w:ascii="Verdana" w:eastAsia="Times New Roman" w:hAnsi="Verdana" w:cs="Arial"/>
                <w:b/>
                <w:bCs/>
                <w:color w:val="365F91"/>
                <w:sz w:val="18"/>
                <w:szCs w:val="18"/>
                <w:lang w:val="el-GR"/>
              </w:rPr>
              <w:t>Μαρ 23</w:t>
            </w:r>
          </w:p>
        </w:tc>
      </w:tr>
      <w:tr w:rsidR="003B6FD8" w:rsidRPr="004F677C" w:rsidTr="003B6FD8">
        <w:trPr>
          <w:trHeight w:val="369"/>
          <w:jc w:val="center"/>
        </w:trPr>
        <w:tc>
          <w:tcPr>
            <w:tcW w:w="1624" w:type="pct"/>
            <w:tcBorders>
              <w:top w:val="single" w:sz="4" w:space="0" w:color="366092"/>
              <w:left w:val="nil"/>
            </w:tcBorders>
            <w:shd w:val="clear" w:color="FFFFFF" w:fill="FFFFFF"/>
            <w:noWrap/>
            <w:vAlign w:val="center"/>
            <w:hideMark/>
          </w:tcPr>
          <w:p w:rsidR="003B6FD8" w:rsidRPr="00234087" w:rsidRDefault="003B6FD8" w:rsidP="003B6FD8">
            <w:pPr>
              <w:ind w:right="57"/>
              <w:rPr>
                <w:rFonts w:ascii="Verdana" w:eastAsia="Times New Roman" w:hAnsi="Verdana" w:cs="Arial"/>
                <w:b/>
                <w:bCs/>
                <w:color w:val="365F91"/>
                <w:sz w:val="18"/>
                <w:szCs w:val="18"/>
              </w:rPr>
            </w:pPr>
            <w:proofErr w:type="spellStart"/>
            <w:r w:rsidRPr="00234087">
              <w:rPr>
                <w:rFonts w:ascii="Verdana" w:eastAsia="Times New Roman" w:hAnsi="Verdana" w:cs="Arial"/>
                <w:b/>
                <w:bCs/>
                <w:color w:val="365F91"/>
                <w:sz w:val="18"/>
                <w:szCs w:val="18"/>
              </w:rPr>
              <w:t>Γενικός</w:t>
            </w:r>
            <w:proofErr w:type="spellEnd"/>
            <w:r w:rsidRPr="00234087">
              <w:rPr>
                <w:rFonts w:ascii="Verdana" w:eastAsia="Times New Roman" w:hAnsi="Verdana" w:cs="Arial"/>
                <w:b/>
                <w:bCs/>
                <w:color w:val="365F91"/>
                <w:sz w:val="18"/>
                <w:szCs w:val="18"/>
              </w:rPr>
              <w:t xml:space="preserve"> </w:t>
            </w:r>
            <w:r w:rsidRPr="00234087">
              <w:rPr>
                <w:rFonts w:ascii="Verdana" w:eastAsia="Times New Roman" w:hAnsi="Verdana" w:cs="Arial"/>
                <w:b/>
                <w:bCs/>
                <w:color w:val="365F91"/>
                <w:sz w:val="18"/>
                <w:szCs w:val="18"/>
                <w:lang w:val="el-GR"/>
              </w:rPr>
              <w:t>Εν.</w:t>
            </w:r>
            <w:r w:rsidRPr="00234087">
              <w:rPr>
                <w:rFonts w:ascii="Verdana" w:eastAsia="Times New Roman" w:hAnsi="Verdana" w:cs="Arial"/>
                <w:b/>
                <w:bCs/>
                <w:color w:val="365F91"/>
                <w:sz w:val="18"/>
                <w:szCs w:val="18"/>
              </w:rPr>
              <w:t>Δ</w:t>
            </w:r>
            <w:r w:rsidRPr="00234087">
              <w:rPr>
                <w:rFonts w:ascii="Verdana" w:eastAsia="Times New Roman" w:hAnsi="Verdana" w:cs="Arial"/>
                <w:b/>
                <w:bCs/>
                <w:color w:val="365F91"/>
                <w:sz w:val="18"/>
                <w:szCs w:val="18"/>
                <w:lang w:val="el-GR"/>
              </w:rPr>
              <w:t>ΤΚ</w:t>
            </w:r>
            <w:r w:rsidRPr="00234087">
              <w:rPr>
                <w:rFonts w:ascii="Verdana" w:eastAsia="Times New Roman" w:hAnsi="Verdana" w:cs="Arial"/>
                <w:b/>
                <w:bCs/>
                <w:color w:val="365F91"/>
                <w:sz w:val="18"/>
                <w:szCs w:val="18"/>
              </w:rPr>
              <w:t xml:space="preserve"> </w:t>
            </w:r>
          </w:p>
        </w:tc>
        <w:tc>
          <w:tcPr>
            <w:tcW w:w="1010" w:type="pct"/>
            <w:tcBorders>
              <w:top w:val="single" w:sz="4" w:space="0" w:color="366092"/>
            </w:tcBorders>
            <w:shd w:val="clear" w:color="FFFFFF" w:fill="FFFFFF"/>
            <w:noWrap/>
            <w:vAlign w:val="center"/>
            <w:hideMark/>
          </w:tcPr>
          <w:p w:rsidR="003B6FD8" w:rsidRPr="004C2B79" w:rsidRDefault="003B6FD8" w:rsidP="003B6FD8">
            <w:pPr>
              <w:ind w:right="680" w:firstLineChars="200" w:firstLine="361"/>
              <w:jc w:val="right"/>
              <w:rPr>
                <w:rFonts w:ascii="Verdana" w:hAnsi="Verdana"/>
                <w:b/>
                <w:bCs/>
                <w:color w:val="365F91"/>
                <w:sz w:val="18"/>
                <w:szCs w:val="18"/>
                <w:lang w:val="el-GR"/>
              </w:rPr>
            </w:pPr>
            <w:r w:rsidRPr="004C2B79">
              <w:rPr>
                <w:rFonts w:ascii="Verdana" w:hAnsi="Verdana"/>
                <w:b/>
                <w:bCs/>
                <w:color w:val="365F91"/>
                <w:sz w:val="18"/>
                <w:szCs w:val="18"/>
                <w:lang w:val="el-GR"/>
              </w:rPr>
              <w:t xml:space="preserve">  </w:t>
            </w:r>
            <w:r>
              <w:rPr>
                <w:rFonts w:ascii="Verdana" w:hAnsi="Verdana"/>
                <w:b/>
                <w:bCs/>
                <w:color w:val="365F91"/>
                <w:sz w:val="18"/>
                <w:szCs w:val="18"/>
                <w:lang w:val="el-GR"/>
              </w:rPr>
              <w:t>1</w:t>
            </w:r>
            <w:r w:rsidRPr="004C2B79">
              <w:rPr>
                <w:rFonts w:ascii="Verdana" w:hAnsi="Verdana"/>
                <w:b/>
                <w:bCs/>
                <w:color w:val="365F91"/>
                <w:sz w:val="18"/>
                <w:szCs w:val="18"/>
                <w:lang w:val="el-GR"/>
              </w:rPr>
              <w:t>000</w:t>
            </w:r>
          </w:p>
        </w:tc>
        <w:tc>
          <w:tcPr>
            <w:tcW w:w="1184" w:type="pct"/>
            <w:tcBorders>
              <w:top w:val="single" w:sz="4" w:space="0" w:color="366092"/>
            </w:tcBorders>
            <w:shd w:val="clear" w:color="FFFFFF" w:fill="FFFFFF"/>
            <w:noWrap/>
            <w:vAlign w:val="center"/>
            <w:hideMark/>
          </w:tcPr>
          <w:p w:rsidR="003B6FD8" w:rsidRPr="00B254EA" w:rsidRDefault="003B6FD8" w:rsidP="003B6FD8">
            <w:pPr>
              <w:tabs>
                <w:tab w:val="left" w:pos="2001"/>
              </w:tabs>
              <w:ind w:right="907"/>
              <w:jc w:val="right"/>
            </w:pPr>
            <w:r w:rsidRPr="008013F2">
              <w:rPr>
                <w:rFonts w:ascii="Verdana" w:hAnsi="Verdana"/>
                <w:b/>
                <w:bCs/>
                <w:color w:val="365F91"/>
                <w:sz w:val="18"/>
                <w:szCs w:val="18"/>
                <w:lang w:val="el-GR"/>
              </w:rPr>
              <w:t>3</w:t>
            </w:r>
            <w:r>
              <w:rPr>
                <w:rFonts w:ascii="Verdana" w:hAnsi="Verdana"/>
                <w:b/>
                <w:bCs/>
                <w:color w:val="365F91"/>
                <w:sz w:val="18"/>
                <w:szCs w:val="18"/>
                <w:lang w:val="el-GR"/>
              </w:rPr>
              <w:t>,</w:t>
            </w:r>
            <w:r w:rsidRPr="008013F2">
              <w:rPr>
                <w:rFonts w:ascii="Verdana" w:hAnsi="Verdana"/>
                <w:b/>
                <w:bCs/>
                <w:color w:val="365F91"/>
                <w:sz w:val="18"/>
                <w:szCs w:val="18"/>
                <w:lang w:val="el-GR"/>
              </w:rPr>
              <w:t>9</w:t>
            </w:r>
          </w:p>
        </w:tc>
        <w:tc>
          <w:tcPr>
            <w:tcW w:w="1182" w:type="pct"/>
            <w:gridSpan w:val="2"/>
            <w:tcBorders>
              <w:top w:val="single" w:sz="4" w:space="0" w:color="366092"/>
              <w:right w:val="nil"/>
            </w:tcBorders>
            <w:shd w:val="clear" w:color="FFFFFF" w:fill="FFFFFF"/>
            <w:noWrap/>
            <w:vAlign w:val="center"/>
            <w:hideMark/>
          </w:tcPr>
          <w:p w:rsidR="003B6FD8" w:rsidRPr="00BB7FC0" w:rsidRDefault="003B6FD8" w:rsidP="003B6FD8">
            <w:pPr>
              <w:tabs>
                <w:tab w:val="left" w:pos="2001"/>
              </w:tabs>
              <w:ind w:right="907"/>
              <w:jc w:val="right"/>
            </w:pPr>
            <w:r w:rsidRPr="003B6FD8">
              <w:rPr>
                <w:rFonts w:ascii="Verdana" w:hAnsi="Verdana"/>
                <w:b/>
                <w:bCs/>
                <w:color w:val="365F91"/>
                <w:sz w:val="18"/>
                <w:szCs w:val="18"/>
                <w:lang w:val="el-GR"/>
              </w:rPr>
              <w:t>0</w:t>
            </w:r>
            <w:r>
              <w:rPr>
                <w:rFonts w:ascii="Verdana" w:hAnsi="Verdana"/>
                <w:b/>
                <w:bCs/>
                <w:color w:val="365F91"/>
                <w:sz w:val="18"/>
                <w:szCs w:val="18"/>
                <w:lang w:val="el-GR"/>
              </w:rPr>
              <w:t>,</w:t>
            </w:r>
            <w:r w:rsidRPr="003B6FD8">
              <w:rPr>
                <w:rFonts w:ascii="Verdana" w:hAnsi="Verdana"/>
                <w:b/>
                <w:bCs/>
                <w:color w:val="365F91"/>
                <w:sz w:val="18"/>
                <w:szCs w:val="18"/>
                <w:lang w:val="el-GR"/>
              </w:rPr>
              <w:t>9</w:t>
            </w:r>
          </w:p>
        </w:tc>
      </w:tr>
      <w:tr w:rsidR="003B6FD8" w:rsidRPr="000E24B1" w:rsidTr="003B6FD8">
        <w:trPr>
          <w:trHeight w:val="351"/>
          <w:jc w:val="center"/>
        </w:trPr>
        <w:tc>
          <w:tcPr>
            <w:tcW w:w="1624" w:type="pct"/>
            <w:tcBorders>
              <w:top w:val="nil"/>
              <w:left w:val="nil"/>
              <w:bottom w:val="nil"/>
            </w:tcBorders>
            <w:shd w:val="clear" w:color="FFFFFF" w:fill="FFFFFF"/>
            <w:noWrap/>
            <w:vAlign w:val="center"/>
            <w:hideMark/>
          </w:tcPr>
          <w:p w:rsidR="003B6FD8" w:rsidRPr="00234087" w:rsidRDefault="003B6FD8" w:rsidP="003B6FD8">
            <w:pPr>
              <w:ind w:left="2"/>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Ενέργεια</w:t>
            </w:r>
          </w:p>
        </w:tc>
        <w:tc>
          <w:tcPr>
            <w:tcW w:w="1010" w:type="pct"/>
            <w:tcBorders>
              <w:top w:val="nil"/>
              <w:bottom w:val="nil"/>
            </w:tcBorders>
            <w:shd w:val="clear" w:color="FFFFFF" w:fill="FFFFFF"/>
            <w:noWrap/>
            <w:vAlign w:val="center"/>
            <w:hideMark/>
          </w:tcPr>
          <w:p w:rsidR="003B6FD8" w:rsidRPr="00234087" w:rsidRDefault="003B6FD8" w:rsidP="003B6FD8">
            <w:pPr>
              <w:ind w:right="6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97</w:t>
            </w:r>
            <w:r w:rsidRPr="0023408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5</w:t>
            </w:r>
          </w:p>
        </w:tc>
        <w:tc>
          <w:tcPr>
            <w:tcW w:w="1184" w:type="pct"/>
            <w:tcBorders>
              <w:top w:val="nil"/>
              <w:bottom w:val="nil"/>
            </w:tcBorders>
            <w:shd w:val="clear" w:color="FFFFFF" w:fill="FFFFFF"/>
            <w:noWrap/>
            <w:vAlign w:val="center"/>
          </w:tcPr>
          <w:p w:rsidR="003B6FD8" w:rsidRPr="008013F2" w:rsidRDefault="003B6FD8" w:rsidP="003B6FD8">
            <w:pPr>
              <w:tabs>
                <w:tab w:val="left" w:pos="1308"/>
              </w:tabs>
              <w:ind w:right="907"/>
              <w:jc w:val="right"/>
              <w:rPr>
                <w:rFonts w:ascii="Verdana" w:hAnsi="Verdana"/>
                <w:color w:val="365F91"/>
                <w:sz w:val="18"/>
                <w:szCs w:val="18"/>
              </w:rPr>
            </w:pPr>
            <w:r w:rsidRPr="008013F2">
              <w:rPr>
                <w:rFonts w:ascii="Verdana" w:hAnsi="Verdana"/>
                <w:color w:val="365F91"/>
                <w:sz w:val="18"/>
                <w:szCs w:val="18"/>
              </w:rPr>
              <w:t>-1</w:t>
            </w:r>
            <w:r>
              <w:rPr>
                <w:rFonts w:ascii="Verdana" w:hAnsi="Verdana"/>
                <w:color w:val="365F91"/>
                <w:sz w:val="18"/>
                <w:szCs w:val="18"/>
              </w:rPr>
              <w:t>,</w:t>
            </w:r>
            <w:r w:rsidRPr="008013F2">
              <w:rPr>
                <w:rFonts w:ascii="Verdana" w:hAnsi="Verdana"/>
                <w:color w:val="365F91"/>
                <w:sz w:val="18"/>
                <w:szCs w:val="18"/>
              </w:rPr>
              <w:t>7</w:t>
            </w:r>
          </w:p>
        </w:tc>
        <w:tc>
          <w:tcPr>
            <w:tcW w:w="1182" w:type="pct"/>
            <w:gridSpan w:val="2"/>
            <w:tcBorders>
              <w:top w:val="nil"/>
              <w:bottom w:val="nil"/>
              <w:right w:val="nil"/>
            </w:tcBorders>
            <w:shd w:val="clear" w:color="FFFFFF" w:fill="FFFFFF"/>
            <w:noWrap/>
            <w:vAlign w:val="center"/>
          </w:tcPr>
          <w:p w:rsidR="003B6FD8" w:rsidRPr="003B6FD8" w:rsidRDefault="003B6FD8" w:rsidP="003B6FD8">
            <w:pPr>
              <w:tabs>
                <w:tab w:val="left" w:pos="1308"/>
              </w:tabs>
              <w:ind w:right="907"/>
              <w:jc w:val="right"/>
              <w:rPr>
                <w:rFonts w:ascii="Verdana" w:hAnsi="Verdana"/>
                <w:color w:val="365F91"/>
                <w:sz w:val="18"/>
                <w:szCs w:val="18"/>
              </w:rPr>
            </w:pPr>
            <w:r w:rsidRPr="003B6FD8">
              <w:rPr>
                <w:rFonts w:ascii="Verdana" w:hAnsi="Verdana"/>
                <w:color w:val="365F91"/>
                <w:sz w:val="18"/>
                <w:szCs w:val="18"/>
              </w:rPr>
              <w:t>-2</w:t>
            </w:r>
            <w:r>
              <w:rPr>
                <w:rFonts w:ascii="Verdana" w:hAnsi="Verdana"/>
                <w:color w:val="365F91"/>
                <w:sz w:val="18"/>
                <w:szCs w:val="18"/>
              </w:rPr>
              <w:t>,</w:t>
            </w:r>
            <w:r w:rsidRPr="003B6FD8">
              <w:rPr>
                <w:rFonts w:ascii="Verdana" w:hAnsi="Verdana"/>
                <w:color w:val="365F91"/>
                <w:sz w:val="18"/>
                <w:szCs w:val="18"/>
              </w:rPr>
              <w:t>9</w:t>
            </w:r>
          </w:p>
        </w:tc>
      </w:tr>
      <w:tr w:rsidR="003B6FD8" w:rsidRPr="000E24B1" w:rsidTr="003B6FD8">
        <w:trPr>
          <w:trHeight w:val="531"/>
          <w:jc w:val="center"/>
        </w:trPr>
        <w:tc>
          <w:tcPr>
            <w:tcW w:w="1624" w:type="pct"/>
            <w:tcBorders>
              <w:top w:val="nil"/>
              <w:left w:val="nil"/>
              <w:bottom w:val="nil"/>
            </w:tcBorders>
            <w:shd w:val="clear" w:color="FFFFFF" w:fill="FFFFFF"/>
            <w:noWrap/>
            <w:vAlign w:val="center"/>
            <w:hideMark/>
          </w:tcPr>
          <w:p w:rsidR="003B6FD8" w:rsidRPr="00234087" w:rsidRDefault="003B6FD8" w:rsidP="003B6FD8">
            <w:pPr>
              <w:ind w:left="2"/>
              <w:rPr>
                <w:rFonts w:ascii="Verdana" w:eastAsia="Times New Roman" w:hAnsi="Verdana" w:cs="Arial"/>
                <w:color w:val="365F91"/>
                <w:sz w:val="18"/>
                <w:szCs w:val="18"/>
              </w:rPr>
            </w:pPr>
            <w:proofErr w:type="spellStart"/>
            <w:r w:rsidRPr="00234087">
              <w:rPr>
                <w:rFonts w:ascii="Verdana" w:eastAsia="Times New Roman" w:hAnsi="Verdana" w:cs="Arial"/>
                <w:color w:val="365F91"/>
                <w:sz w:val="18"/>
                <w:szCs w:val="18"/>
              </w:rPr>
              <w:t>Τρόφιμ</w:t>
            </w:r>
            <w:proofErr w:type="spellEnd"/>
            <w:r w:rsidRPr="00234087">
              <w:rPr>
                <w:rFonts w:ascii="Verdana" w:eastAsia="Times New Roman" w:hAnsi="Verdana" w:cs="Arial"/>
                <w:color w:val="365F91"/>
                <w:sz w:val="18"/>
                <w:szCs w:val="18"/>
              </w:rPr>
              <w:t xml:space="preserve">α-Αλκοολούχα </w:t>
            </w:r>
            <w:proofErr w:type="spellStart"/>
            <w:r w:rsidRPr="00234087">
              <w:rPr>
                <w:rFonts w:ascii="Verdana" w:eastAsia="Times New Roman" w:hAnsi="Verdana" w:cs="Arial"/>
                <w:color w:val="365F91"/>
                <w:sz w:val="18"/>
                <w:szCs w:val="18"/>
              </w:rPr>
              <w:t>Ποτά</w:t>
            </w:r>
            <w:proofErr w:type="spellEnd"/>
            <w:r w:rsidRPr="00234087">
              <w:rPr>
                <w:rFonts w:ascii="Verdana" w:eastAsia="Times New Roman" w:hAnsi="Verdana" w:cs="Arial"/>
                <w:color w:val="365F91"/>
                <w:sz w:val="18"/>
                <w:szCs w:val="18"/>
              </w:rPr>
              <w:t>-Καπ</w:t>
            </w:r>
            <w:proofErr w:type="spellStart"/>
            <w:r w:rsidRPr="00234087">
              <w:rPr>
                <w:rFonts w:ascii="Verdana" w:eastAsia="Times New Roman" w:hAnsi="Verdana" w:cs="Arial"/>
                <w:color w:val="365F91"/>
                <w:sz w:val="18"/>
                <w:szCs w:val="18"/>
              </w:rPr>
              <w:t>νός</w:t>
            </w:r>
            <w:proofErr w:type="spellEnd"/>
          </w:p>
        </w:tc>
        <w:tc>
          <w:tcPr>
            <w:tcW w:w="1010" w:type="pct"/>
            <w:tcBorders>
              <w:top w:val="nil"/>
              <w:bottom w:val="nil"/>
            </w:tcBorders>
            <w:shd w:val="clear" w:color="FFFFFF" w:fill="FFFFFF"/>
            <w:noWrap/>
            <w:vAlign w:val="center"/>
            <w:hideMark/>
          </w:tcPr>
          <w:p w:rsidR="003B6FD8" w:rsidRPr="00903866" w:rsidRDefault="003B6FD8" w:rsidP="003B6FD8">
            <w:pPr>
              <w:ind w:right="680"/>
              <w:jc w:val="right"/>
              <w:rPr>
                <w:rFonts w:ascii="Verdana" w:eastAsia="Times New Roman" w:hAnsi="Verdana" w:cs="Arial"/>
                <w:color w:val="365F91"/>
                <w:sz w:val="18"/>
                <w:szCs w:val="18"/>
              </w:rPr>
            </w:pPr>
            <w:r w:rsidRPr="00234087">
              <w:rPr>
                <w:rFonts w:ascii="Verdana" w:eastAsia="Times New Roman" w:hAnsi="Verdana" w:cs="Arial"/>
                <w:color w:val="365F91"/>
                <w:sz w:val="18"/>
                <w:szCs w:val="18"/>
                <w:lang w:val="el-GR"/>
              </w:rPr>
              <w:t>2</w:t>
            </w:r>
            <w:r>
              <w:rPr>
                <w:rFonts w:ascii="Verdana" w:eastAsia="Times New Roman" w:hAnsi="Verdana" w:cs="Arial"/>
                <w:color w:val="365F91"/>
                <w:sz w:val="18"/>
                <w:szCs w:val="18"/>
              </w:rPr>
              <w:t>09</w:t>
            </w:r>
            <w:r w:rsidRPr="00234087">
              <w:rPr>
                <w:rFonts w:ascii="Verdana" w:eastAsia="Times New Roman" w:hAnsi="Verdana" w:cs="Arial"/>
                <w:color w:val="365F91"/>
                <w:sz w:val="18"/>
                <w:szCs w:val="18"/>
                <w:lang w:val="el-GR"/>
              </w:rPr>
              <w:t>,</w:t>
            </w:r>
            <w:r>
              <w:rPr>
                <w:rFonts w:ascii="Verdana" w:eastAsia="Times New Roman" w:hAnsi="Verdana" w:cs="Arial"/>
                <w:color w:val="365F91"/>
                <w:sz w:val="18"/>
                <w:szCs w:val="18"/>
              </w:rPr>
              <w:t>75</w:t>
            </w:r>
          </w:p>
        </w:tc>
        <w:tc>
          <w:tcPr>
            <w:tcW w:w="1184" w:type="pct"/>
            <w:tcBorders>
              <w:top w:val="nil"/>
              <w:bottom w:val="nil"/>
            </w:tcBorders>
            <w:shd w:val="clear" w:color="FFFFFF" w:fill="FFFFFF"/>
            <w:noWrap/>
            <w:vAlign w:val="center"/>
          </w:tcPr>
          <w:p w:rsidR="003B6FD8" w:rsidRPr="008013F2" w:rsidRDefault="003B6FD8" w:rsidP="003B6FD8">
            <w:pPr>
              <w:tabs>
                <w:tab w:val="left" w:pos="1308"/>
              </w:tabs>
              <w:ind w:right="907"/>
              <w:jc w:val="right"/>
              <w:rPr>
                <w:rFonts w:ascii="Verdana" w:hAnsi="Verdana"/>
                <w:color w:val="365F91"/>
                <w:sz w:val="18"/>
                <w:szCs w:val="18"/>
              </w:rPr>
            </w:pPr>
            <w:r w:rsidRPr="008013F2">
              <w:rPr>
                <w:rFonts w:ascii="Verdana" w:hAnsi="Verdana"/>
                <w:color w:val="365F91"/>
                <w:sz w:val="18"/>
                <w:szCs w:val="18"/>
              </w:rPr>
              <w:t>5</w:t>
            </w:r>
            <w:r>
              <w:rPr>
                <w:rFonts w:ascii="Verdana" w:hAnsi="Verdana"/>
                <w:color w:val="365F91"/>
                <w:sz w:val="18"/>
                <w:szCs w:val="18"/>
              </w:rPr>
              <w:t>,</w:t>
            </w:r>
            <w:r w:rsidRPr="008013F2">
              <w:rPr>
                <w:rFonts w:ascii="Verdana" w:hAnsi="Verdana"/>
                <w:color w:val="365F91"/>
                <w:sz w:val="18"/>
                <w:szCs w:val="18"/>
              </w:rPr>
              <w:t>8</w:t>
            </w:r>
          </w:p>
        </w:tc>
        <w:tc>
          <w:tcPr>
            <w:tcW w:w="1182" w:type="pct"/>
            <w:gridSpan w:val="2"/>
            <w:tcBorders>
              <w:top w:val="nil"/>
              <w:bottom w:val="nil"/>
              <w:right w:val="nil"/>
            </w:tcBorders>
            <w:shd w:val="clear" w:color="FFFFFF" w:fill="FFFFFF"/>
            <w:noWrap/>
            <w:vAlign w:val="center"/>
          </w:tcPr>
          <w:p w:rsidR="003B6FD8" w:rsidRPr="003B6FD8" w:rsidRDefault="003B6FD8" w:rsidP="003B6FD8">
            <w:pPr>
              <w:tabs>
                <w:tab w:val="left" w:pos="1308"/>
              </w:tabs>
              <w:ind w:right="907"/>
              <w:jc w:val="right"/>
              <w:rPr>
                <w:rFonts w:ascii="Verdana" w:hAnsi="Verdana"/>
                <w:color w:val="365F91"/>
                <w:sz w:val="18"/>
                <w:szCs w:val="18"/>
              </w:rPr>
            </w:pPr>
            <w:r w:rsidRPr="003B6FD8">
              <w:rPr>
                <w:rFonts w:ascii="Verdana" w:hAnsi="Verdana"/>
                <w:color w:val="365F91"/>
                <w:sz w:val="18"/>
                <w:szCs w:val="18"/>
              </w:rPr>
              <w:t>0</w:t>
            </w:r>
            <w:r>
              <w:rPr>
                <w:rFonts w:ascii="Verdana" w:hAnsi="Verdana"/>
                <w:color w:val="365F91"/>
                <w:sz w:val="18"/>
                <w:szCs w:val="18"/>
              </w:rPr>
              <w:t>,</w:t>
            </w:r>
            <w:r w:rsidRPr="003B6FD8">
              <w:rPr>
                <w:rFonts w:ascii="Verdana" w:hAnsi="Verdana"/>
                <w:color w:val="365F91"/>
                <w:sz w:val="18"/>
                <w:szCs w:val="18"/>
              </w:rPr>
              <w:t>7</w:t>
            </w:r>
          </w:p>
        </w:tc>
      </w:tr>
      <w:tr w:rsidR="003B6FD8" w:rsidRPr="000E24B1" w:rsidTr="003B6FD8">
        <w:trPr>
          <w:trHeight w:val="351"/>
          <w:jc w:val="center"/>
        </w:trPr>
        <w:tc>
          <w:tcPr>
            <w:tcW w:w="1624" w:type="pct"/>
            <w:tcBorders>
              <w:top w:val="nil"/>
              <w:left w:val="nil"/>
              <w:bottom w:val="nil"/>
            </w:tcBorders>
            <w:shd w:val="clear" w:color="FFFFFF" w:fill="FFFFFF"/>
            <w:noWrap/>
            <w:vAlign w:val="center"/>
            <w:hideMark/>
          </w:tcPr>
          <w:p w:rsidR="003B6FD8" w:rsidRPr="00234087" w:rsidRDefault="003B6FD8" w:rsidP="003B6FD8">
            <w:pPr>
              <w:ind w:left="2"/>
              <w:rPr>
                <w:rFonts w:ascii="Verdana" w:eastAsia="Times New Roman" w:hAnsi="Verdana" w:cs="Arial"/>
                <w:color w:val="365F91"/>
                <w:sz w:val="18"/>
                <w:szCs w:val="18"/>
              </w:rPr>
            </w:pPr>
            <w:proofErr w:type="spellStart"/>
            <w:r w:rsidRPr="00234087">
              <w:rPr>
                <w:rFonts w:ascii="Verdana" w:eastAsia="Times New Roman" w:hAnsi="Verdana" w:cs="Arial"/>
                <w:color w:val="365F91"/>
                <w:sz w:val="18"/>
                <w:szCs w:val="18"/>
              </w:rPr>
              <w:t>Μη</w:t>
            </w:r>
            <w:proofErr w:type="spellEnd"/>
            <w:r w:rsidRPr="00234087">
              <w:rPr>
                <w:rFonts w:ascii="Verdana" w:eastAsia="Times New Roman" w:hAnsi="Verdana" w:cs="Arial"/>
                <w:color w:val="365F91"/>
                <w:sz w:val="18"/>
                <w:szCs w:val="18"/>
              </w:rPr>
              <w:t xml:space="preserve"> </w:t>
            </w:r>
            <w:proofErr w:type="spellStart"/>
            <w:r w:rsidRPr="00234087">
              <w:rPr>
                <w:rFonts w:ascii="Verdana" w:eastAsia="Times New Roman" w:hAnsi="Verdana" w:cs="Arial"/>
                <w:color w:val="365F91"/>
                <w:sz w:val="18"/>
                <w:szCs w:val="18"/>
              </w:rPr>
              <w:t>ενεργει</w:t>
            </w:r>
            <w:proofErr w:type="spellEnd"/>
            <w:r w:rsidRPr="00234087">
              <w:rPr>
                <w:rFonts w:ascii="Verdana" w:eastAsia="Times New Roman" w:hAnsi="Verdana" w:cs="Arial"/>
                <w:color w:val="365F91"/>
                <w:sz w:val="18"/>
                <w:szCs w:val="18"/>
              </w:rPr>
              <w:t>ακά β</w:t>
            </w:r>
            <w:proofErr w:type="spellStart"/>
            <w:r w:rsidRPr="00234087">
              <w:rPr>
                <w:rFonts w:ascii="Verdana" w:eastAsia="Times New Roman" w:hAnsi="Verdana" w:cs="Arial"/>
                <w:color w:val="365F91"/>
                <w:sz w:val="18"/>
                <w:szCs w:val="18"/>
              </w:rPr>
              <w:t>ιομηχ</w:t>
            </w:r>
            <w:proofErr w:type="spellEnd"/>
            <w:r w:rsidRPr="00234087">
              <w:rPr>
                <w:rFonts w:ascii="Verdana" w:eastAsia="Times New Roman" w:hAnsi="Verdana" w:cs="Arial"/>
                <w:color w:val="365F91"/>
                <w:sz w:val="18"/>
                <w:szCs w:val="18"/>
              </w:rPr>
              <w:t>ανικά π</w:t>
            </w:r>
            <w:proofErr w:type="spellStart"/>
            <w:r w:rsidRPr="00234087">
              <w:rPr>
                <w:rFonts w:ascii="Verdana" w:eastAsia="Times New Roman" w:hAnsi="Verdana" w:cs="Arial"/>
                <w:color w:val="365F91"/>
                <w:sz w:val="18"/>
                <w:szCs w:val="18"/>
              </w:rPr>
              <w:t>ροϊόντ</w:t>
            </w:r>
            <w:proofErr w:type="spellEnd"/>
            <w:r w:rsidRPr="00234087">
              <w:rPr>
                <w:rFonts w:ascii="Verdana" w:eastAsia="Times New Roman" w:hAnsi="Verdana" w:cs="Arial"/>
                <w:color w:val="365F91"/>
                <w:sz w:val="18"/>
                <w:szCs w:val="18"/>
              </w:rPr>
              <w:t>α</w:t>
            </w:r>
          </w:p>
        </w:tc>
        <w:tc>
          <w:tcPr>
            <w:tcW w:w="1010" w:type="pct"/>
            <w:tcBorders>
              <w:top w:val="nil"/>
              <w:bottom w:val="nil"/>
            </w:tcBorders>
            <w:shd w:val="clear" w:color="FFFFFF" w:fill="FFFFFF"/>
            <w:noWrap/>
            <w:vAlign w:val="center"/>
            <w:hideMark/>
          </w:tcPr>
          <w:p w:rsidR="003B6FD8" w:rsidRPr="00234087" w:rsidRDefault="003B6FD8" w:rsidP="003B6FD8">
            <w:pPr>
              <w:ind w:right="680"/>
              <w:jc w:val="right"/>
              <w:rPr>
                <w:rFonts w:ascii="Verdana" w:eastAsia="Times New Roman" w:hAnsi="Verdana" w:cs="Arial"/>
                <w:color w:val="365F91"/>
                <w:sz w:val="18"/>
                <w:szCs w:val="18"/>
                <w:lang w:val="el-GR"/>
              </w:rPr>
            </w:pPr>
            <w:r w:rsidRPr="00234087">
              <w:rPr>
                <w:rFonts w:ascii="Verdana" w:eastAsia="Times New Roman" w:hAnsi="Verdana" w:cs="Arial"/>
                <w:color w:val="365F91"/>
                <w:sz w:val="18"/>
                <w:szCs w:val="18"/>
                <w:lang w:val="el-GR"/>
              </w:rPr>
              <w:t>2</w:t>
            </w:r>
            <w:r>
              <w:rPr>
                <w:rFonts w:ascii="Verdana" w:eastAsia="Times New Roman" w:hAnsi="Verdana" w:cs="Arial"/>
                <w:color w:val="365F91"/>
                <w:sz w:val="18"/>
                <w:szCs w:val="18"/>
              </w:rPr>
              <w:t>44</w:t>
            </w:r>
            <w:r w:rsidRPr="00234087">
              <w:rPr>
                <w:rFonts w:ascii="Verdana" w:eastAsia="Times New Roman" w:hAnsi="Verdana" w:cs="Arial"/>
                <w:color w:val="365F91"/>
                <w:sz w:val="18"/>
                <w:szCs w:val="18"/>
                <w:lang w:val="el-GR"/>
              </w:rPr>
              <w:t>,83</w:t>
            </w:r>
          </w:p>
        </w:tc>
        <w:tc>
          <w:tcPr>
            <w:tcW w:w="1184" w:type="pct"/>
            <w:tcBorders>
              <w:top w:val="nil"/>
              <w:bottom w:val="nil"/>
            </w:tcBorders>
            <w:shd w:val="clear" w:color="FFFFFF" w:fill="FFFFFF"/>
            <w:noWrap/>
            <w:vAlign w:val="center"/>
          </w:tcPr>
          <w:p w:rsidR="003B6FD8" w:rsidRPr="008013F2" w:rsidRDefault="003B6FD8" w:rsidP="003B6FD8">
            <w:pPr>
              <w:tabs>
                <w:tab w:val="left" w:pos="1308"/>
              </w:tabs>
              <w:ind w:right="907"/>
              <w:jc w:val="right"/>
              <w:rPr>
                <w:rFonts w:ascii="Verdana" w:hAnsi="Verdana"/>
                <w:color w:val="365F91"/>
                <w:sz w:val="18"/>
                <w:szCs w:val="18"/>
              </w:rPr>
            </w:pPr>
            <w:r w:rsidRPr="008013F2">
              <w:rPr>
                <w:rFonts w:ascii="Verdana" w:hAnsi="Verdana"/>
                <w:color w:val="365F91"/>
                <w:sz w:val="18"/>
                <w:szCs w:val="18"/>
              </w:rPr>
              <w:t>5</w:t>
            </w:r>
            <w:r>
              <w:rPr>
                <w:rFonts w:ascii="Verdana" w:hAnsi="Verdana"/>
                <w:color w:val="365F91"/>
                <w:sz w:val="18"/>
                <w:szCs w:val="18"/>
              </w:rPr>
              <w:t>,</w:t>
            </w:r>
            <w:r w:rsidRPr="008013F2">
              <w:rPr>
                <w:rFonts w:ascii="Verdana" w:hAnsi="Verdana"/>
                <w:color w:val="365F91"/>
                <w:sz w:val="18"/>
                <w:szCs w:val="18"/>
              </w:rPr>
              <w:t>7</w:t>
            </w:r>
          </w:p>
        </w:tc>
        <w:tc>
          <w:tcPr>
            <w:tcW w:w="1182" w:type="pct"/>
            <w:gridSpan w:val="2"/>
            <w:tcBorders>
              <w:top w:val="nil"/>
              <w:bottom w:val="nil"/>
              <w:right w:val="nil"/>
            </w:tcBorders>
            <w:shd w:val="clear" w:color="FFFFFF" w:fill="FFFFFF"/>
            <w:noWrap/>
            <w:vAlign w:val="center"/>
          </w:tcPr>
          <w:p w:rsidR="003B6FD8" w:rsidRPr="003B6FD8" w:rsidRDefault="003B6FD8" w:rsidP="003B6FD8">
            <w:pPr>
              <w:tabs>
                <w:tab w:val="left" w:pos="1308"/>
              </w:tabs>
              <w:ind w:right="907"/>
              <w:jc w:val="right"/>
              <w:rPr>
                <w:rFonts w:ascii="Verdana" w:hAnsi="Verdana"/>
                <w:color w:val="365F91"/>
                <w:sz w:val="18"/>
                <w:szCs w:val="18"/>
              </w:rPr>
            </w:pPr>
            <w:r w:rsidRPr="003B6FD8">
              <w:rPr>
                <w:rFonts w:ascii="Verdana" w:hAnsi="Verdana"/>
                <w:color w:val="365F91"/>
                <w:sz w:val="18"/>
                <w:szCs w:val="18"/>
              </w:rPr>
              <w:t>1</w:t>
            </w:r>
            <w:r>
              <w:rPr>
                <w:rFonts w:ascii="Verdana" w:hAnsi="Verdana"/>
                <w:color w:val="365F91"/>
                <w:sz w:val="18"/>
                <w:szCs w:val="18"/>
              </w:rPr>
              <w:t>,</w:t>
            </w:r>
            <w:r w:rsidRPr="003B6FD8">
              <w:rPr>
                <w:rFonts w:ascii="Verdana" w:hAnsi="Verdana"/>
                <w:color w:val="365F91"/>
                <w:sz w:val="18"/>
                <w:szCs w:val="18"/>
              </w:rPr>
              <w:t>2</w:t>
            </w:r>
          </w:p>
        </w:tc>
      </w:tr>
      <w:tr w:rsidR="003B6FD8" w:rsidRPr="000E24B1" w:rsidTr="003B6FD8">
        <w:trPr>
          <w:trHeight w:val="351"/>
          <w:jc w:val="center"/>
        </w:trPr>
        <w:tc>
          <w:tcPr>
            <w:tcW w:w="1624" w:type="pct"/>
            <w:tcBorders>
              <w:top w:val="nil"/>
              <w:left w:val="nil"/>
              <w:bottom w:val="single" w:sz="4" w:space="0" w:color="366092"/>
            </w:tcBorders>
            <w:shd w:val="clear" w:color="FFFFFF" w:fill="FFFFFF"/>
            <w:noWrap/>
            <w:vAlign w:val="center"/>
            <w:hideMark/>
          </w:tcPr>
          <w:p w:rsidR="003B6FD8" w:rsidRPr="00234087" w:rsidRDefault="003B6FD8" w:rsidP="003B6FD8">
            <w:pPr>
              <w:ind w:left="2"/>
              <w:rPr>
                <w:rFonts w:ascii="Verdana" w:eastAsia="Times New Roman" w:hAnsi="Verdana" w:cs="Arial"/>
                <w:color w:val="365F91"/>
                <w:sz w:val="18"/>
                <w:szCs w:val="18"/>
              </w:rPr>
            </w:pPr>
            <w:r w:rsidRPr="00234087">
              <w:rPr>
                <w:rFonts w:ascii="Verdana" w:eastAsia="Times New Roman" w:hAnsi="Verdana" w:cs="Arial"/>
                <w:color w:val="365F91"/>
                <w:sz w:val="18"/>
                <w:szCs w:val="18"/>
              </w:rPr>
              <w:t>Υπ</w:t>
            </w:r>
            <w:proofErr w:type="spellStart"/>
            <w:r w:rsidRPr="00234087">
              <w:rPr>
                <w:rFonts w:ascii="Verdana" w:eastAsia="Times New Roman" w:hAnsi="Verdana" w:cs="Arial"/>
                <w:color w:val="365F91"/>
                <w:sz w:val="18"/>
                <w:szCs w:val="18"/>
              </w:rPr>
              <w:t>ηρεσίες</w:t>
            </w:r>
            <w:proofErr w:type="spellEnd"/>
          </w:p>
        </w:tc>
        <w:tc>
          <w:tcPr>
            <w:tcW w:w="1010" w:type="pct"/>
            <w:tcBorders>
              <w:top w:val="nil"/>
              <w:bottom w:val="single" w:sz="4" w:space="0" w:color="366092"/>
            </w:tcBorders>
            <w:shd w:val="clear" w:color="FFFFFF" w:fill="FFFFFF"/>
            <w:noWrap/>
            <w:vAlign w:val="center"/>
            <w:hideMark/>
          </w:tcPr>
          <w:p w:rsidR="003B6FD8" w:rsidRPr="00903866" w:rsidRDefault="003B6FD8" w:rsidP="003B6FD8">
            <w:pPr>
              <w:ind w:right="680"/>
              <w:jc w:val="right"/>
              <w:rPr>
                <w:rFonts w:ascii="Verdana" w:eastAsia="Times New Roman" w:hAnsi="Verdana" w:cs="Arial"/>
                <w:color w:val="365F91"/>
                <w:sz w:val="18"/>
                <w:szCs w:val="18"/>
              </w:rPr>
            </w:pPr>
            <w:r w:rsidRPr="00234087">
              <w:rPr>
                <w:rFonts w:ascii="Verdana" w:eastAsia="Times New Roman" w:hAnsi="Verdana" w:cs="Arial"/>
                <w:color w:val="365F91"/>
                <w:sz w:val="18"/>
                <w:szCs w:val="18"/>
                <w:lang w:val="el-GR"/>
              </w:rPr>
              <w:t>4</w:t>
            </w:r>
            <w:r>
              <w:rPr>
                <w:rFonts w:ascii="Verdana" w:eastAsia="Times New Roman" w:hAnsi="Verdana" w:cs="Arial"/>
                <w:color w:val="365F91"/>
                <w:sz w:val="18"/>
                <w:szCs w:val="18"/>
              </w:rPr>
              <w:t>48</w:t>
            </w:r>
            <w:r w:rsidRPr="00234087">
              <w:rPr>
                <w:rFonts w:ascii="Verdana" w:eastAsia="Times New Roman" w:hAnsi="Verdana" w:cs="Arial"/>
                <w:color w:val="365F91"/>
                <w:sz w:val="18"/>
                <w:szCs w:val="18"/>
                <w:lang w:val="el-GR"/>
              </w:rPr>
              <w:t>,</w:t>
            </w:r>
            <w:r>
              <w:rPr>
                <w:rFonts w:ascii="Verdana" w:eastAsia="Times New Roman" w:hAnsi="Verdana" w:cs="Arial"/>
                <w:color w:val="365F91"/>
                <w:sz w:val="18"/>
                <w:szCs w:val="18"/>
              </w:rPr>
              <w:t>37</w:t>
            </w:r>
          </w:p>
        </w:tc>
        <w:tc>
          <w:tcPr>
            <w:tcW w:w="1184" w:type="pct"/>
            <w:tcBorders>
              <w:top w:val="nil"/>
              <w:bottom w:val="single" w:sz="4" w:space="0" w:color="366092"/>
            </w:tcBorders>
            <w:shd w:val="clear" w:color="FFFFFF" w:fill="FFFFFF"/>
            <w:noWrap/>
            <w:vAlign w:val="center"/>
          </w:tcPr>
          <w:p w:rsidR="003B6FD8" w:rsidRPr="008013F2" w:rsidRDefault="003B6FD8" w:rsidP="003B6FD8">
            <w:pPr>
              <w:tabs>
                <w:tab w:val="left" w:pos="1308"/>
              </w:tabs>
              <w:ind w:right="907"/>
              <w:jc w:val="right"/>
              <w:rPr>
                <w:rFonts w:ascii="Verdana" w:hAnsi="Verdana"/>
                <w:color w:val="365F91"/>
                <w:sz w:val="18"/>
                <w:szCs w:val="18"/>
              </w:rPr>
            </w:pPr>
            <w:r w:rsidRPr="008013F2">
              <w:rPr>
                <w:rFonts w:ascii="Verdana" w:hAnsi="Verdana"/>
                <w:color w:val="365F91"/>
                <w:sz w:val="18"/>
                <w:szCs w:val="18"/>
              </w:rPr>
              <w:t>3</w:t>
            </w:r>
            <w:r>
              <w:rPr>
                <w:rFonts w:ascii="Verdana" w:hAnsi="Verdana"/>
                <w:color w:val="365F91"/>
                <w:sz w:val="18"/>
                <w:szCs w:val="18"/>
              </w:rPr>
              <w:t>,</w:t>
            </w:r>
            <w:r w:rsidRPr="008013F2">
              <w:rPr>
                <w:rFonts w:ascii="Verdana" w:hAnsi="Verdana"/>
                <w:color w:val="365F91"/>
                <w:sz w:val="18"/>
                <w:szCs w:val="18"/>
              </w:rPr>
              <w:t>4</w:t>
            </w:r>
          </w:p>
        </w:tc>
        <w:tc>
          <w:tcPr>
            <w:tcW w:w="1182" w:type="pct"/>
            <w:gridSpan w:val="2"/>
            <w:tcBorders>
              <w:top w:val="nil"/>
              <w:bottom w:val="single" w:sz="4" w:space="0" w:color="366092"/>
              <w:right w:val="nil"/>
            </w:tcBorders>
            <w:shd w:val="clear" w:color="FFFFFF" w:fill="FFFFFF"/>
            <w:noWrap/>
            <w:vAlign w:val="center"/>
          </w:tcPr>
          <w:p w:rsidR="003B6FD8" w:rsidRPr="003B6FD8" w:rsidRDefault="003B6FD8" w:rsidP="003B6FD8">
            <w:pPr>
              <w:tabs>
                <w:tab w:val="left" w:pos="1308"/>
              </w:tabs>
              <w:ind w:right="907"/>
              <w:jc w:val="right"/>
              <w:rPr>
                <w:rFonts w:ascii="Verdana" w:hAnsi="Verdana"/>
                <w:color w:val="365F91"/>
                <w:sz w:val="18"/>
                <w:szCs w:val="18"/>
              </w:rPr>
            </w:pPr>
            <w:r w:rsidRPr="003B6FD8">
              <w:rPr>
                <w:rFonts w:ascii="Verdana" w:hAnsi="Verdana"/>
                <w:color w:val="365F91"/>
                <w:sz w:val="18"/>
                <w:szCs w:val="18"/>
              </w:rPr>
              <w:t>1</w:t>
            </w:r>
            <w:r>
              <w:rPr>
                <w:rFonts w:ascii="Verdana" w:hAnsi="Verdana"/>
                <w:color w:val="365F91"/>
                <w:sz w:val="18"/>
                <w:szCs w:val="18"/>
              </w:rPr>
              <w:t>,</w:t>
            </w:r>
            <w:r w:rsidRPr="003B6FD8">
              <w:rPr>
                <w:rFonts w:ascii="Verdana" w:hAnsi="Verdana"/>
                <w:color w:val="365F91"/>
                <w:sz w:val="18"/>
                <w:szCs w:val="18"/>
              </w:rPr>
              <w:t>9</w:t>
            </w:r>
          </w:p>
        </w:tc>
      </w:tr>
    </w:tbl>
    <w:p w:rsidR="00AF5CC6" w:rsidRDefault="00AF5CC6" w:rsidP="00AF5CC6">
      <w:pPr>
        <w:tabs>
          <w:tab w:val="left" w:pos="1080"/>
          <w:tab w:val="left" w:pos="6840"/>
        </w:tabs>
        <w:rPr>
          <w:rFonts w:ascii="Verdana" w:eastAsia="Times New Roman" w:hAnsi="Verdana" w:cs="Arial"/>
          <w:bCs/>
          <w:color w:val="365F91"/>
          <w:sz w:val="16"/>
          <w:szCs w:val="16"/>
          <w:lang w:val="el-GR"/>
        </w:rPr>
      </w:pPr>
      <w:r w:rsidRPr="009D0E97">
        <w:rPr>
          <w:rFonts w:ascii="Verdana" w:eastAsia="Times New Roman" w:hAnsi="Verdana" w:cs="Arial"/>
          <w:bCs/>
          <w:color w:val="365F91"/>
          <w:sz w:val="16"/>
          <w:szCs w:val="16"/>
          <w:lang w:val="el-GR"/>
        </w:rPr>
        <w:t xml:space="preserve">Σημείωση: </w:t>
      </w:r>
      <w:r>
        <w:rPr>
          <w:rFonts w:ascii="Verdana" w:eastAsia="Times New Roman" w:hAnsi="Verdana" w:cs="Arial"/>
          <w:bCs/>
          <w:color w:val="365F91"/>
          <w:sz w:val="16"/>
          <w:szCs w:val="16"/>
          <w:lang w:val="el-GR"/>
        </w:rPr>
        <w:t xml:space="preserve">Οι επιμέρους συντελεστές στάθμισης </w:t>
      </w:r>
      <w:r w:rsidRPr="009D0E97">
        <w:rPr>
          <w:rFonts w:ascii="Verdana" w:eastAsia="Times New Roman" w:hAnsi="Verdana" w:cs="Arial"/>
          <w:bCs/>
          <w:color w:val="365F91"/>
          <w:sz w:val="16"/>
          <w:szCs w:val="16"/>
          <w:lang w:val="el-GR"/>
        </w:rPr>
        <w:t>υπολογίζονται με άπειρα δεκαδικά και δημοσιεύονται με στρογγυλοποίηση δυο δεκαδικών</w:t>
      </w:r>
      <w:r>
        <w:rPr>
          <w:rFonts w:ascii="Verdana" w:eastAsia="Times New Roman" w:hAnsi="Verdana" w:cs="Arial"/>
          <w:bCs/>
          <w:color w:val="365F91"/>
          <w:sz w:val="16"/>
          <w:szCs w:val="16"/>
          <w:lang w:val="el-GR"/>
        </w:rPr>
        <w:t>.</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Η</w:t>
      </w:r>
      <w:r w:rsidRPr="009D0E97">
        <w:rPr>
          <w:rFonts w:ascii="Verdana" w:eastAsia="Times New Roman" w:hAnsi="Verdana" w:cs="Arial"/>
          <w:bCs/>
          <w:color w:val="365F91"/>
          <w:sz w:val="16"/>
          <w:szCs w:val="16"/>
          <w:lang w:val="el-GR"/>
        </w:rPr>
        <w:t xml:space="preserve"> </w:t>
      </w:r>
      <w:r>
        <w:rPr>
          <w:rFonts w:ascii="Verdana" w:eastAsia="Times New Roman" w:hAnsi="Verdana" w:cs="Arial"/>
          <w:bCs/>
          <w:color w:val="365F91"/>
          <w:sz w:val="16"/>
          <w:szCs w:val="16"/>
          <w:lang w:val="el-GR"/>
        </w:rPr>
        <w:t>διαφορά στο άθροισμα</w:t>
      </w:r>
      <w:r w:rsidRPr="009D0E97">
        <w:rPr>
          <w:rFonts w:ascii="Verdana" w:eastAsia="Times New Roman" w:hAnsi="Verdana" w:cs="Arial"/>
          <w:bCs/>
          <w:color w:val="365F91"/>
          <w:sz w:val="16"/>
          <w:szCs w:val="16"/>
          <w:lang w:val="el-GR"/>
        </w:rPr>
        <w:t xml:space="preserve"> είναι λόγω σφάλματος στρογγυλοποίησης</w:t>
      </w:r>
      <w:r>
        <w:rPr>
          <w:rFonts w:ascii="Verdana" w:eastAsia="Times New Roman" w:hAnsi="Verdana" w:cs="Arial"/>
          <w:bCs/>
          <w:color w:val="365F91"/>
          <w:sz w:val="16"/>
          <w:szCs w:val="16"/>
          <w:lang w:val="el-GR"/>
        </w:rPr>
        <w:t>.</w:t>
      </w:r>
      <w:r w:rsidRPr="009D0E97">
        <w:rPr>
          <w:rFonts w:ascii="Verdana" w:eastAsia="Times New Roman" w:hAnsi="Verdana" w:cs="Arial"/>
          <w:bCs/>
          <w:color w:val="365F91"/>
          <w:sz w:val="16"/>
          <w:szCs w:val="16"/>
          <w:lang w:val="el-GR"/>
        </w:rPr>
        <w:t xml:space="preserve">    </w:t>
      </w:r>
    </w:p>
    <w:p w:rsidR="00AF5CC6" w:rsidRDefault="00AF5CC6" w:rsidP="00AF5CC6">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rsidR="00AF5CC6" w:rsidRPr="00780A62" w:rsidRDefault="00AF5CC6" w:rsidP="00AF5CC6">
      <w:pPr>
        <w:tabs>
          <w:tab w:val="left" w:pos="1080"/>
          <w:tab w:val="left" w:pos="6840"/>
        </w:tabs>
        <w:jc w:val="both"/>
        <w:rPr>
          <w:rFonts w:ascii="Verdana" w:eastAsia="Malgun Gothic" w:hAnsi="Verdana" w:cs="Arial"/>
          <w:b/>
          <w:sz w:val="20"/>
          <w:szCs w:val="20"/>
          <w:u w:val="single"/>
          <w:lang w:val="el-GR"/>
        </w:rPr>
      </w:pPr>
    </w:p>
    <w:p w:rsidR="00AF5CC6" w:rsidRPr="00D353D1" w:rsidRDefault="00AF5CC6" w:rsidP="00AF5CC6">
      <w:pPr>
        <w:tabs>
          <w:tab w:val="left" w:pos="1080"/>
          <w:tab w:val="left" w:pos="6840"/>
        </w:tabs>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rsidR="00AF5CC6" w:rsidRPr="00422F54" w:rsidRDefault="00AF5CC6" w:rsidP="00AF5CC6">
      <w:pPr>
        <w:tabs>
          <w:tab w:val="left" w:pos="1080"/>
          <w:tab w:val="left" w:pos="6840"/>
        </w:tabs>
        <w:jc w:val="both"/>
        <w:rPr>
          <w:rFonts w:ascii="Verdana" w:eastAsia="Malgun Gothic" w:hAnsi="Verdana" w:cs="Arial"/>
          <w:sz w:val="20"/>
          <w:szCs w:val="20"/>
          <w:lang w:val="el-GR"/>
        </w:rPr>
      </w:pPr>
    </w:p>
    <w:p w:rsidR="00AF5CC6" w:rsidRPr="003D3348" w:rsidRDefault="00AF5CC6" w:rsidP="00AF5CC6">
      <w:pPr>
        <w:tabs>
          <w:tab w:val="left" w:pos="945"/>
        </w:tabs>
        <w:jc w:val="both"/>
        <w:rPr>
          <w:rFonts w:ascii="Verdana" w:eastAsia="Malgun Gothic" w:hAnsi="Verdana" w:cs="Arial"/>
          <w:sz w:val="18"/>
          <w:szCs w:val="18"/>
          <w:lang w:val="el-GR"/>
        </w:rPr>
      </w:pPr>
      <w:r w:rsidRPr="00E44FF8">
        <w:rPr>
          <w:rFonts w:ascii="Verdana" w:eastAsia="Malgun Gothic" w:hAnsi="Verdana" w:cs="Arial"/>
          <w:sz w:val="18"/>
          <w:szCs w:val="18"/>
          <w:lang w:val="el-GR"/>
        </w:rPr>
        <w:t xml:space="preserve">Ο </w:t>
      </w:r>
      <w:r w:rsidRPr="00FB02BD">
        <w:rPr>
          <w:rFonts w:ascii="Verdana" w:eastAsia="Malgun Gothic" w:hAnsi="Verdana" w:cs="Arial"/>
          <w:b/>
          <w:sz w:val="18"/>
          <w:szCs w:val="18"/>
          <w:lang w:val="el-GR"/>
        </w:rPr>
        <w:t xml:space="preserve">Εναρμονισμένος </w:t>
      </w:r>
      <w:r w:rsidRPr="00E44FF8">
        <w:rPr>
          <w:rFonts w:ascii="Verdana" w:eastAsia="Malgun Gothic" w:hAnsi="Verdana" w:cs="Arial"/>
          <w:b/>
          <w:sz w:val="18"/>
          <w:szCs w:val="18"/>
          <w:lang w:val="el-GR"/>
        </w:rPr>
        <w:t>Δείκτης Τιμών Καταναλωτή (</w:t>
      </w:r>
      <w:proofErr w:type="spellStart"/>
      <w:r>
        <w:rPr>
          <w:rFonts w:ascii="Verdana" w:eastAsia="Malgun Gothic" w:hAnsi="Verdana" w:cs="Arial"/>
          <w:b/>
          <w:sz w:val="18"/>
          <w:szCs w:val="18"/>
          <w:lang w:val="el-GR"/>
        </w:rPr>
        <w:t>Εν</w:t>
      </w:r>
      <w:r w:rsidRPr="00E44FF8">
        <w:rPr>
          <w:rFonts w:ascii="Verdana" w:eastAsia="Malgun Gothic" w:hAnsi="Verdana" w:cs="Arial"/>
          <w:b/>
          <w:sz w:val="18"/>
          <w:szCs w:val="18"/>
          <w:lang w:val="el-GR"/>
        </w:rPr>
        <w:t>ΔΤΚ</w:t>
      </w:r>
      <w:proofErr w:type="spellEnd"/>
      <w:r w:rsidRPr="00E44FF8">
        <w:rPr>
          <w:rFonts w:ascii="Verdana" w:eastAsia="Malgun Gothic" w:hAnsi="Verdana" w:cs="Arial"/>
          <w:b/>
          <w:sz w:val="18"/>
          <w:szCs w:val="18"/>
          <w:lang w:val="el-GR"/>
        </w:rPr>
        <w:t>)</w:t>
      </w:r>
      <w:r w:rsidRPr="00E44FF8">
        <w:rPr>
          <w:rFonts w:ascii="Verdana" w:eastAsia="Malgun Gothic" w:hAnsi="Verdana" w:cs="Arial"/>
          <w:sz w:val="18"/>
          <w:szCs w:val="18"/>
          <w:lang w:val="el-GR"/>
        </w:rPr>
        <w:t xml:space="preserve"> </w:t>
      </w:r>
      <w:r w:rsidRPr="003D3348">
        <w:rPr>
          <w:rFonts w:ascii="Verdana" w:eastAsia="Malgun Gothic" w:hAnsi="Verdana" w:cs="Arial"/>
          <w:sz w:val="18"/>
          <w:szCs w:val="18"/>
          <w:lang w:val="el-GR"/>
        </w:rPr>
        <w:t>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w:t>
      </w:r>
      <w:r>
        <w:rPr>
          <w:rFonts w:ascii="Verdana" w:eastAsia="Malgun Gothic" w:hAnsi="Verdana" w:cs="Arial"/>
          <w:sz w:val="18"/>
          <w:szCs w:val="18"/>
          <w:lang w:val="el-GR"/>
        </w:rPr>
        <w:t xml:space="preserve"> και τους τουρίστες εντός της οικονομικής επικράτειας της χώρας.</w:t>
      </w:r>
      <w:r w:rsidRPr="003D3348">
        <w:rPr>
          <w:rFonts w:ascii="Verdana" w:eastAsia="Malgun Gothic" w:hAnsi="Verdana" w:cs="Arial"/>
          <w:sz w:val="18"/>
          <w:szCs w:val="18"/>
          <w:lang w:val="el-GR"/>
        </w:rPr>
        <w:t xml:space="preserve"> Ο </w:t>
      </w:r>
      <w:proofErr w:type="spellStart"/>
      <w:r w:rsidRPr="003D3348">
        <w:rPr>
          <w:rFonts w:ascii="Verdana" w:eastAsia="Malgun Gothic" w:hAnsi="Verdana" w:cs="Arial"/>
          <w:sz w:val="18"/>
          <w:szCs w:val="18"/>
          <w:lang w:val="el-GR"/>
        </w:rPr>
        <w:t>ΕνΔΤΚ</w:t>
      </w:r>
      <w:proofErr w:type="spellEnd"/>
      <w:r w:rsidRPr="003D3348">
        <w:rPr>
          <w:rFonts w:ascii="Verdana" w:eastAsia="Malgun Gothic" w:hAnsi="Verdana" w:cs="Arial"/>
          <w:sz w:val="18"/>
          <w:szCs w:val="18"/>
          <w:lang w:val="el-GR"/>
        </w:rPr>
        <w:t xml:space="preserve"> υπολογίζεται σύμφωνα με μια εναρμονισμένη προσέγγιση και μεθοδολογία όπως καθορίστηκαν από την Ε.Ε</w:t>
      </w:r>
      <w:r>
        <w:rPr>
          <w:rFonts w:ascii="Verdana" w:eastAsia="Malgun Gothic" w:hAnsi="Verdana" w:cs="Arial"/>
          <w:sz w:val="18"/>
          <w:szCs w:val="18"/>
          <w:lang w:val="el-GR"/>
        </w:rPr>
        <w:t xml:space="preserve"> με μια σειρά σχετικών Κ</w:t>
      </w:r>
      <w:r w:rsidRPr="003D3348">
        <w:rPr>
          <w:rFonts w:ascii="Verdana" w:eastAsia="Malgun Gothic" w:hAnsi="Verdana" w:cs="Arial"/>
          <w:sz w:val="18"/>
          <w:szCs w:val="18"/>
          <w:lang w:val="el-GR"/>
        </w:rPr>
        <w:t xml:space="preserve">ανονισμών. </w:t>
      </w:r>
    </w:p>
    <w:p w:rsidR="00AF5CC6" w:rsidRPr="00FB02BD" w:rsidRDefault="00AF5CC6" w:rsidP="00AF5CC6">
      <w:pPr>
        <w:tabs>
          <w:tab w:val="left" w:pos="945"/>
        </w:tabs>
        <w:jc w:val="both"/>
        <w:rPr>
          <w:rFonts w:ascii="Verdana" w:eastAsia="Malgun Gothic" w:hAnsi="Verdana" w:cs="Arial"/>
          <w:color w:val="948A54"/>
          <w:sz w:val="18"/>
          <w:szCs w:val="18"/>
          <w:lang w:val="el-GR"/>
        </w:rPr>
      </w:pPr>
    </w:p>
    <w:p w:rsidR="00AF5CC6" w:rsidRPr="00E44FF8" w:rsidRDefault="00AF5CC6" w:rsidP="00AF5CC6">
      <w:pPr>
        <w:tabs>
          <w:tab w:val="left" w:pos="945"/>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Pr="00E44FF8">
        <w:rPr>
          <w:rFonts w:ascii="Verdana" w:eastAsia="Malgun Gothic" w:hAnsi="Verdana" w:cs="Arial"/>
          <w:sz w:val="18"/>
          <w:szCs w:val="18"/>
          <w:lang w:val="el-GR"/>
        </w:rPr>
        <w:t xml:space="preserve"> </w:t>
      </w:r>
      <w:r>
        <w:rPr>
          <w:rFonts w:ascii="Verdana" w:eastAsia="Malgun Gothic" w:hAnsi="Verdana" w:cs="Arial"/>
          <w:b/>
          <w:sz w:val="18"/>
          <w:szCs w:val="18"/>
          <w:lang w:val="el-GR"/>
        </w:rPr>
        <w:t>Ετήσια μεταβολή</w:t>
      </w:r>
      <w:r w:rsidRPr="00E44FF8">
        <w:rPr>
          <w:rFonts w:ascii="Verdana" w:eastAsia="Malgun Gothic" w:hAnsi="Verdana" w:cs="Arial"/>
          <w:sz w:val="18"/>
          <w:szCs w:val="18"/>
          <w:lang w:val="el-GR"/>
        </w:rPr>
        <w:t xml:space="preserve"> δείχνει τη μεταβολή του </w:t>
      </w:r>
      <w:proofErr w:type="spellStart"/>
      <w:r>
        <w:rPr>
          <w:rFonts w:ascii="Verdana" w:eastAsia="Malgun Gothic" w:hAnsi="Verdana" w:cs="Arial"/>
          <w:sz w:val="18"/>
          <w:szCs w:val="18"/>
          <w:lang w:val="el-GR"/>
        </w:rPr>
        <w:t>Εν</w:t>
      </w:r>
      <w:r w:rsidRPr="00E44FF8">
        <w:rPr>
          <w:rFonts w:ascii="Verdana" w:eastAsia="Malgun Gothic" w:hAnsi="Verdana" w:cs="Arial"/>
          <w:sz w:val="18"/>
          <w:szCs w:val="18"/>
          <w:lang w:val="el-GR"/>
        </w:rPr>
        <w:t>ΔΤΚ</w:t>
      </w:r>
      <w:proofErr w:type="spellEnd"/>
      <w:r w:rsidRPr="00E44FF8">
        <w:rPr>
          <w:rFonts w:ascii="Verdana" w:eastAsia="Malgun Gothic" w:hAnsi="Verdana" w:cs="Arial"/>
          <w:sz w:val="18"/>
          <w:szCs w:val="18"/>
          <w:lang w:val="el-GR"/>
        </w:rPr>
        <w:t xml:space="preserve"> σε σχέση με τον αντίστοιχο μήνα του προηγούμενου έτους.</w:t>
      </w:r>
    </w:p>
    <w:p w:rsidR="00AF5CC6" w:rsidRPr="00E44FF8" w:rsidRDefault="00AF5CC6" w:rsidP="00AF5CC6">
      <w:pPr>
        <w:tabs>
          <w:tab w:val="left" w:pos="945"/>
        </w:tabs>
        <w:jc w:val="both"/>
        <w:rPr>
          <w:rFonts w:ascii="Verdana" w:eastAsia="Malgun Gothic" w:hAnsi="Verdana" w:cs="Arial"/>
          <w:sz w:val="18"/>
          <w:szCs w:val="18"/>
          <w:lang w:val="el-GR"/>
        </w:rPr>
      </w:pPr>
    </w:p>
    <w:p w:rsidR="00AF5CC6" w:rsidRPr="002D7490" w:rsidRDefault="00AF5CC6" w:rsidP="00AF5CC6">
      <w:pPr>
        <w:pStyle w:val="Normal13pt"/>
        <w:spacing w:line="240" w:lineRule="auto"/>
        <w:ind w:left="0"/>
        <w:jc w:val="left"/>
        <w:rPr>
          <w:rFonts w:ascii="Verdana" w:eastAsia="Malgun Gothic" w:hAnsi="Verdana" w:cs="Arial"/>
          <w:b w:val="0"/>
          <w:sz w:val="18"/>
          <w:szCs w:val="18"/>
          <w:u w:val="none"/>
        </w:rPr>
      </w:pPr>
      <w:r w:rsidRPr="004D4B7C">
        <w:rPr>
          <w:rFonts w:ascii="Verdana" w:eastAsia="Malgun Gothic" w:hAnsi="Verdana" w:cs="Arial"/>
          <w:sz w:val="18"/>
          <w:szCs w:val="18"/>
        </w:rPr>
        <w:t xml:space="preserve">Προϊόντα/Υπηρεσίες </w:t>
      </w:r>
    </w:p>
    <w:p w:rsidR="00AF5CC6" w:rsidRPr="001922DC" w:rsidRDefault="00AF5CC6" w:rsidP="00AF5CC6">
      <w:pPr>
        <w:tabs>
          <w:tab w:val="left" w:pos="1080"/>
          <w:tab w:val="left" w:pos="6840"/>
        </w:tabs>
        <w:jc w:val="both"/>
        <w:rPr>
          <w:rFonts w:ascii="Verdana" w:eastAsia="Malgun Gothic" w:hAnsi="Verdana" w:cs="Arial"/>
          <w:sz w:val="18"/>
          <w:szCs w:val="18"/>
          <w:lang w:val="el-GR"/>
        </w:rPr>
      </w:pPr>
      <w:r w:rsidRPr="002D7490">
        <w:rPr>
          <w:rFonts w:ascii="Verdana" w:eastAsia="Malgun Gothic" w:hAnsi="Verdana" w:cs="Arial"/>
          <w:sz w:val="18"/>
          <w:szCs w:val="18"/>
          <w:lang w:val="el-GR"/>
        </w:rPr>
        <w:br/>
        <w:t>Με ισχύ απ</w:t>
      </w:r>
      <w:r>
        <w:rPr>
          <w:rFonts w:ascii="Verdana" w:eastAsia="Malgun Gothic" w:hAnsi="Verdana" w:cs="Arial"/>
          <w:sz w:val="18"/>
          <w:szCs w:val="18"/>
          <w:lang w:val="el-GR"/>
        </w:rPr>
        <w:t xml:space="preserve">ό τον Ιανουάριο του 2018, </w:t>
      </w:r>
      <w:r w:rsidRPr="002D7490">
        <w:rPr>
          <w:rFonts w:ascii="Verdana" w:eastAsia="Malgun Gothic" w:hAnsi="Verdana" w:cs="Arial"/>
          <w:sz w:val="18"/>
          <w:szCs w:val="18"/>
          <w:lang w:val="el-GR"/>
        </w:rPr>
        <w:t xml:space="preserve">τα προϊόντα που περιέχονται στον </w:t>
      </w:r>
      <w:proofErr w:type="spellStart"/>
      <w:r>
        <w:rPr>
          <w:rFonts w:ascii="Verdana" w:eastAsia="Malgun Gothic" w:hAnsi="Verdana" w:cs="Arial"/>
          <w:sz w:val="18"/>
          <w:szCs w:val="18"/>
          <w:lang w:val="el-GR"/>
        </w:rPr>
        <w:t>Εν</w:t>
      </w:r>
      <w:r w:rsidRPr="002D7490">
        <w:rPr>
          <w:rFonts w:ascii="Verdana" w:eastAsia="Malgun Gothic" w:hAnsi="Verdana" w:cs="Arial"/>
          <w:sz w:val="18"/>
          <w:szCs w:val="18"/>
          <w:lang w:val="el-GR"/>
        </w:rPr>
        <w:t>ΔΤΚ</w:t>
      </w:r>
      <w:proofErr w:type="spellEnd"/>
      <w:r w:rsidRPr="002D7490">
        <w:rPr>
          <w:rFonts w:ascii="Verdana" w:eastAsia="Malgun Gothic" w:hAnsi="Verdana" w:cs="Arial"/>
          <w:sz w:val="18"/>
          <w:szCs w:val="18"/>
          <w:lang w:val="el-GR"/>
        </w:rPr>
        <w:t xml:space="preserve"> αναθεωρήθηκαν. Η αναθεώρηση βασίστηκε στα αποτελέσματα της Έρευνας Οικογενειακών Προϋπολογισμών 2015/2016</w:t>
      </w:r>
      <w:r>
        <w:rPr>
          <w:rFonts w:ascii="Verdana" w:eastAsia="Malgun Gothic" w:hAnsi="Verdana" w:cs="Arial"/>
          <w:sz w:val="18"/>
          <w:szCs w:val="18"/>
          <w:lang w:val="el-GR"/>
        </w:rPr>
        <w:t>. Περισσότερες πληροφορίες είναι διαθέσιμες στον ιστότοπο της Στατιστικής Υπηρεσίας στο μέρος Μεθοδολογία</w:t>
      </w:r>
      <w:r w:rsidRPr="001B25A4">
        <w:rPr>
          <w:rFonts w:ascii="Verdana" w:eastAsia="Malgun Gothic" w:hAnsi="Verdana" w:cs="Arial"/>
          <w:sz w:val="18"/>
          <w:szCs w:val="18"/>
          <w:lang w:val="el-GR"/>
        </w:rPr>
        <w:t xml:space="preserve">, </w:t>
      </w:r>
      <w:r>
        <w:rPr>
          <w:rFonts w:ascii="Verdana" w:eastAsia="Malgun Gothic" w:hAnsi="Verdana" w:cs="Arial"/>
          <w:sz w:val="18"/>
          <w:szCs w:val="18"/>
          <w:lang w:val="el-GR"/>
        </w:rPr>
        <w:t>στο στατιστικό υπόθεμα Οικονομία/ Δείκτες Τιμών/ Εναρμονισμένος Δείκτης Τιμών Καταναλωτή.</w:t>
      </w:r>
    </w:p>
    <w:p w:rsidR="00AF5CC6" w:rsidRPr="002D7D4A" w:rsidRDefault="00AF5CC6" w:rsidP="00AF5CC6">
      <w:pPr>
        <w:tabs>
          <w:tab w:val="left" w:pos="945"/>
        </w:tabs>
        <w:jc w:val="both"/>
        <w:rPr>
          <w:rFonts w:ascii="Verdana" w:eastAsia="Malgun Gothic" w:hAnsi="Verdana" w:cs="Arial"/>
          <w:sz w:val="18"/>
          <w:szCs w:val="18"/>
          <w:lang w:val="el-GR"/>
        </w:rPr>
      </w:pPr>
    </w:p>
    <w:p w:rsidR="00AF5CC6" w:rsidRPr="003D3348" w:rsidRDefault="00AF5CC6" w:rsidP="00AF5CC6">
      <w:pPr>
        <w:tabs>
          <w:tab w:val="left" w:pos="1080"/>
          <w:tab w:val="left" w:pos="6840"/>
        </w:tabs>
        <w:jc w:val="both"/>
        <w:rPr>
          <w:rFonts w:ascii="Verdana" w:eastAsia="Malgun Gothic" w:hAnsi="Verdana" w:cs="Arial"/>
          <w:b/>
          <w:sz w:val="18"/>
          <w:szCs w:val="18"/>
          <w:u w:val="single"/>
          <w:lang w:val="el-GR"/>
        </w:rPr>
      </w:pPr>
      <w:proofErr w:type="spellStart"/>
      <w:r w:rsidRPr="003D3348">
        <w:rPr>
          <w:rFonts w:ascii="Verdana" w:eastAsia="Malgun Gothic" w:hAnsi="Verdana" w:cs="Arial"/>
          <w:b/>
          <w:sz w:val="18"/>
          <w:szCs w:val="18"/>
          <w:u w:val="single"/>
          <w:lang w:val="el-GR"/>
        </w:rPr>
        <w:t>Τιμοληψία</w:t>
      </w:r>
      <w:proofErr w:type="spellEnd"/>
    </w:p>
    <w:p w:rsidR="00AF5CC6" w:rsidRPr="00892CB9" w:rsidRDefault="00AF5CC6" w:rsidP="00AF5CC6">
      <w:pPr>
        <w:tabs>
          <w:tab w:val="left" w:pos="945"/>
        </w:tabs>
        <w:jc w:val="both"/>
        <w:rPr>
          <w:rFonts w:ascii="Verdana" w:eastAsia="Malgun Gothic" w:hAnsi="Verdana" w:cs="Arial"/>
          <w:color w:val="948A54"/>
          <w:sz w:val="18"/>
          <w:szCs w:val="18"/>
          <w:lang w:val="el-GR"/>
        </w:rPr>
      </w:pPr>
    </w:p>
    <w:p w:rsidR="00AF5CC6" w:rsidRPr="003D3348"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Η </w:t>
      </w:r>
      <w:proofErr w:type="spellStart"/>
      <w:r w:rsidRPr="003D3348">
        <w:rPr>
          <w:rFonts w:ascii="Verdana" w:eastAsia="Malgun Gothic" w:hAnsi="Verdana" w:cs="Arial"/>
          <w:sz w:val="18"/>
          <w:szCs w:val="18"/>
          <w:lang w:val="el-GR"/>
        </w:rPr>
        <w:t>τιμοληψία</w:t>
      </w:r>
      <w:proofErr w:type="spellEnd"/>
      <w:r w:rsidRPr="003D3348">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είναι οι ακόλουθες: Λευκωσία 42%, Λεμεσός 30%, Λάρνακα 18% και Πάφος 10%. </w:t>
      </w:r>
    </w:p>
    <w:p w:rsidR="00AF5CC6" w:rsidRPr="00892CB9" w:rsidRDefault="00AF5CC6" w:rsidP="00AF5CC6">
      <w:pPr>
        <w:tabs>
          <w:tab w:val="left" w:pos="945"/>
        </w:tabs>
        <w:jc w:val="both"/>
        <w:rPr>
          <w:rFonts w:ascii="Verdana" w:eastAsia="Malgun Gothic" w:hAnsi="Verdana" w:cs="Arial"/>
          <w:color w:val="948A54"/>
          <w:sz w:val="18"/>
          <w:szCs w:val="18"/>
          <w:lang w:val="el-GR"/>
        </w:rPr>
      </w:pPr>
    </w:p>
    <w:p w:rsidR="00AF5CC6" w:rsidRDefault="00AF5CC6" w:rsidP="00AF5CC6">
      <w:pPr>
        <w:tabs>
          <w:tab w:val="left" w:pos="945"/>
        </w:tabs>
        <w:jc w:val="both"/>
        <w:rPr>
          <w:rFonts w:ascii="Verdana" w:eastAsia="Malgun Gothic" w:hAnsi="Verdana" w:cs="Arial"/>
          <w:sz w:val="18"/>
          <w:szCs w:val="18"/>
          <w:lang w:val="el-GR"/>
        </w:rPr>
      </w:pPr>
      <w:r w:rsidRPr="003D3348">
        <w:rPr>
          <w:rFonts w:ascii="Verdana" w:eastAsia="Malgun Gothic" w:hAnsi="Verdana" w:cs="Arial"/>
          <w:sz w:val="18"/>
          <w:szCs w:val="18"/>
          <w:lang w:val="el-GR"/>
        </w:rPr>
        <w:t xml:space="preserve">Οι τιμές των </w:t>
      </w:r>
      <w:r>
        <w:rPr>
          <w:rFonts w:ascii="Verdana" w:eastAsia="Malgun Gothic" w:hAnsi="Verdana" w:cs="Arial"/>
          <w:sz w:val="18"/>
          <w:szCs w:val="18"/>
          <w:lang w:val="el-GR"/>
        </w:rPr>
        <w:t xml:space="preserve">805 ειδών (αγαθών και υπηρεσιών) </w:t>
      </w:r>
      <w:r w:rsidRPr="003D3348">
        <w:rPr>
          <w:rFonts w:ascii="Verdana" w:eastAsia="Malgun Gothic" w:hAnsi="Verdana" w:cs="Arial"/>
          <w:sz w:val="18"/>
          <w:szCs w:val="18"/>
          <w:lang w:val="el-GR"/>
        </w:rPr>
        <w:t>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r>
        <w:rPr>
          <w:rFonts w:ascii="Verdana" w:eastAsia="Malgun Gothic" w:hAnsi="Verdana" w:cs="Arial"/>
          <w:sz w:val="18"/>
          <w:szCs w:val="18"/>
          <w:lang w:val="el-GR"/>
        </w:rPr>
        <w:t xml:space="preserve"> </w:t>
      </w:r>
      <w:r w:rsidRPr="004929C2">
        <w:rPr>
          <w:rFonts w:ascii="Verdana" w:eastAsia="Malgun Gothic" w:hAnsi="Verdana" w:cs="Arial"/>
          <w:sz w:val="18"/>
          <w:szCs w:val="18"/>
          <w:lang w:val="el-GR"/>
        </w:rPr>
        <w:t xml:space="preserve">Οι </w:t>
      </w:r>
      <w:r>
        <w:rPr>
          <w:rFonts w:ascii="Verdana" w:eastAsia="Malgun Gothic" w:hAnsi="Verdana" w:cs="Arial"/>
          <w:sz w:val="18"/>
          <w:szCs w:val="18"/>
          <w:lang w:val="el-GR"/>
        </w:rPr>
        <w:t xml:space="preserve">συλλεγόμενες τιμές είναι πραγματικά καταβαλλόμενες τιμές από τους καταναλωτές, συμπεριλαμβανομένων και των διάφορων φόρων (ΦΠΑ, </w:t>
      </w:r>
      <w:r w:rsidRPr="004929C2">
        <w:rPr>
          <w:rFonts w:ascii="Verdana" w:eastAsia="Malgun Gothic" w:hAnsi="Verdana" w:cs="Arial"/>
          <w:sz w:val="18"/>
          <w:szCs w:val="18"/>
          <w:lang w:val="el-GR"/>
        </w:rPr>
        <w:t>φόρο</w:t>
      </w:r>
      <w:r>
        <w:rPr>
          <w:rFonts w:ascii="Verdana" w:eastAsia="Malgun Gothic" w:hAnsi="Verdana" w:cs="Arial"/>
          <w:sz w:val="18"/>
          <w:szCs w:val="18"/>
          <w:lang w:val="el-GR"/>
        </w:rPr>
        <w:t>ι</w:t>
      </w:r>
      <w:r w:rsidRPr="004929C2">
        <w:rPr>
          <w:rFonts w:ascii="Verdana" w:eastAsia="Malgun Gothic" w:hAnsi="Verdana" w:cs="Arial"/>
          <w:sz w:val="18"/>
          <w:szCs w:val="18"/>
          <w:lang w:val="el-GR"/>
        </w:rPr>
        <w:t xml:space="preserve"> κατανάλωσης</w:t>
      </w:r>
      <w:r>
        <w:rPr>
          <w:rFonts w:ascii="Verdana" w:eastAsia="Malgun Gothic" w:hAnsi="Verdana" w:cs="Arial"/>
          <w:sz w:val="18"/>
          <w:szCs w:val="18"/>
          <w:lang w:val="el-GR"/>
        </w:rPr>
        <w:t>)</w:t>
      </w:r>
      <w:r w:rsidRPr="004929C2">
        <w:rPr>
          <w:rFonts w:ascii="Verdana" w:eastAsia="Malgun Gothic" w:hAnsi="Verdana" w:cs="Arial"/>
          <w:sz w:val="18"/>
          <w:szCs w:val="18"/>
          <w:lang w:val="el-GR"/>
        </w:rPr>
        <w:t>.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w:t>
      </w:r>
    </w:p>
    <w:p w:rsidR="00AF5CC6" w:rsidRDefault="00AF5CC6" w:rsidP="00AF5CC6">
      <w:pPr>
        <w:tabs>
          <w:tab w:val="left" w:pos="945"/>
        </w:tabs>
        <w:jc w:val="both"/>
        <w:rPr>
          <w:rFonts w:ascii="Verdana" w:eastAsia="Malgun Gothic" w:hAnsi="Verdana" w:cs="Arial"/>
          <w:sz w:val="18"/>
          <w:szCs w:val="18"/>
          <w:lang w:val="el-GR"/>
        </w:rPr>
      </w:pPr>
    </w:p>
    <w:p w:rsidR="00AF5CC6" w:rsidRPr="00B75AE5" w:rsidRDefault="00AF5CC6" w:rsidP="00AF5CC6">
      <w:pPr>
        <w:tabs>
          <w:tab w:val="left" w:pos="360"/>
          <w:tab w:val="left" w:pos="6840"/>
        </w:tabs>
        <w:ind w:right="-79"/>
        <w:jc w:val="both"/>
        <w:rPr>
          <w:rFonts w:ascii="Verdana" w:eastAsia="Malgun Gothic" w:hAnsi="Verdana" w:cs="Arial"/>
          <w:b/>
          <w:sz w:val="18"/>
          <w:szCs w:val="18"/>
          <w:u w:val="single"/>
          <w:lang w:val="el-GR"/>
        </w:rPr>
      </w:pPr>
      <w:r w:rsidRPr="00B75AE5">
        <w:rPr>
          <w:rFonts w:ascii="Verdana" w:eastAsia="Malgun Gothic" w:hAnsi="Verdana" w:cs="Arial"/>
          <w:b/>
          <w:sz w:val="18"/>
          <w:szCs w:val="18"/>
          <w:u w:val="single"/>
          <w:lang w:val="el-GR"/>
        </w:rPr>
        <w:t xml:space="preserve">Συντελεστές στάθμισης των ειδών </w:t>
      </w:r>
    </w:p>
    <w:p w:rsidR="00AF5CC6" w:rsidRDefault="00AF5CC6" w:rsidP="00AF5CC6">
      <w:pPr>
        <w:tabs>
          <w:tab w:val="left" w:pos="360"/>
          <w:tab w:val="left" w:pos="6840"/>
        </w:tabs>
        <w:ind w:right="-79"/>
        <w:jc w:val="both"/>
        <w:rPr>
          <w:rFonts w:ascii="Verdana" w:eastAsia="Malgun Gothic" w:hAnsi="Verdana" w:cs="Arial"/>
          <w:b/>
          <w:i/>
          <w:sz w:val="20"/>
          <w:szCs w:val="20"/>
          <w:lang w:val="el-GR"/>
        </w:rPr>
      </w:pPr>
    </w:p>
    <w:p w:rsidR="00AF5CC6" w:rsidRDefault="00AF5CC6" w:rsidP="00AF5CC6">
      <w:pPr>
        <w:tabs>
          <w:tab w:val="left" w:pos="360"/>
          <w:tab w:val="left" w:pos="6840"/>
        </w:tabs>
        <w:ind w:right="-79"/>
        <w:jc w:val="both"/>
        <w:rPr>
          <w:rFonts w:ascii="Verdana" w:eastAsia="Malgun Gothic" w:hAnsi="Verdana" w:cs="Arial"/>
          <w:b/>
          <w:i/>
          <w:sz w:val="20"/>
          <w:szCs w:val="20"/>
          <w:lang w:val="el-GR"/>
        </w:rPr>
      </w:pPr>
      <w:r>
        <w:rPr>
          <w:rFonts w:ascii="Verdana" w:eastAsia="Malgun Gothic" w:hAnsi="Verdana" w:cs="Arial"/>
          <w:sz w:val="18"/>
          <w:szCs w:val="18"/>
          <w:lang w:val="el-GR"/>
        </w:rPr>
        <w:t xml:space="preserve">Οι συντελεστές στάθμισης των ειδών του </w:t>
      </w:r>
      <w:proofErr w:type="spellStart"/>
      <w:r>
        <w:rPr>
          <w:rFonts w:ascii="Verdana" w:eastAsia="Malgun Gothic" w:hAnsi="Verdana" w:cs="Arial"/>
          <w:sz w:val="18"/>
          <w:szCs w:val="18"/>
          <w:lang w:val="el-GR"/>
        </w:rPr>
        <w:t>ΕνΔΤΚ</w:t>
      </w:r>
      <w:proofErr w:type="spellEnd"/>
      <w:r>
        <w:rPr>
          <w:rFonts w:ascii="Verdana" w:eastAsia="Malgun Gothic" w:hAnsi="Verdana" w:cs="Arial"/>
          <w:sz w:val="18"/>
          <w:szCs w:val="18"/>
          <w:lang w:val="el-GR"/>
        </w:rPr>
        <w:t xml:space="preserve"> υπολογίζονται βάσει των καταναλωτικών δαπανών (των νοικοκυριών και τουριστών), που πραγματοποιούνται στην οικονομική επικράτεια της χώρας. </w:t>
      </w:r>
      <w:r w:rsidRPr="00B75AE5">
        <w:rPr>
          <w:rFonts w:ascii="Verdana" w:eastAsia="Malgun Gothic" w:hAnsi="Verdana" w:cs="Arial"/>
          <w:sz w:val="18"/>
          <w:szCs w:val="18"/>
          <w:lang w:val="el-GR"/>
        </w:rPr>
        <w:t xml:space="preserve">Μέχρι το 2011 </w:t>
      </w:r>
      <w:r>
        <w:rPr>
          <w:rFonts w:ascii="Verdana" w:eastAsia="Malgun Gothic" w:hAnsi="Verdana" w:cs="Arial"/>
          <w:sz w:val="18"/>
          <w:szCs w:val="18"/>
          <w:lang w:val="el-GR"/>
        </w:rPr>
        <w:t>η κύρια πηγή</w:t>
      </w:r>
      <w:r w:rsidRPr="00B75AE5">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για τις καταναλωτικές δαπάνες αποτελούσε η </w:t>
      </w:r>
      <w:r w:rsidRPr="00B75AE5">
        <w:rPr>
          <w:rFonts w:ascii="Verdana" w:eastAsia="Malgun Gothic" w:hAnsi="Verdana" w:cs="Arial"/>
          <w:sz w:val="18"/>
          <w:szCs w:val="18"/>
          <w:lang w:val="el-GR"/>
        </w:rPr>
        <w:t>Έρευνα Οικογενειακού Προϋπολογισμού, ενώ από το 2012 και με βάση κανονισμό της Ευρωπαϊκής Στατιστικής Υπηρεσίας (</w:t>
      </w:r>
      <w:proofErr w:type="spellStart"/>
      <w:r w:rsidRPr="00B75AE5">
        <w:rPr>
          <w:rFonts w:ascii="Verdana" w:eastAsia="Malgun Gothic" w:hAnsi="Verdana" w:cs="Arial"/>
          <w:sz w:val="18"/>
          <w:szCs w:val="18"/>
          <w:lang w:val="el-GR"/>
        </w:rPr>
        <w:t>No</w:t>
      </w:r>
      <w:proofErr w:type="spellEnd"/>
      <w:r w:rsidRPr="00B75AE5">
        <w:rPr>
          <w:rFonts w:ascii="Verdana" w:eastAsia="Malgun Gothic" w:hAnsi="Verdana" w:cs="Arial"/>
          <w:sz w:val="18"/>
          <w:szCs w:val="18"/>
          <w:lang w:val="el-GR"/>
        </w:rPr>
        <w:t xml:space="preserve"> 1</w:t>
      </w:r>
      <w:r>
        <w:rPr>
          <w:rFonts w:ascii="Verdana" w:eastAsia="Malgun Gothic" w:hAnsi="Verdana" w:cs="Arial"/>
          <w:sz w:val="18"/>
          <w:szCs w:val="18"/>
          <w:lang w:val="el-GR"/>
        </w:rPr>
        <w:t>148</w:t>
      </w:r>
      <w:r w:rsidRPr="00B75AE5">
        <w:rPr>
          <w:rFonts w:ascii="Verdana" w:eastAsia="Malgun Gothic" w:hAnsi="Verdana" w:cs="Arial"/>
          <w:sz w:val="18"/>
          <w:szCs w:val="18"/>
          <w:lang w:val="el-GR"/>
        </w:rPr>
        <w:t>/20</w:t>
      </w:r>
      <w:r>
        <w:rPr>
          <w:rFonts w:ascii="Verdana" w:eastAsia="Malgun Gothic" w:hAnsi="Verdana" w:cs="Arial"/>
          <w:sz w:val="18"/>
          <w:szCs w:val="18"/>
          <w:lang w:val="el-GR"/>
        </w:rPr>
        <w:t>2</w:t>
      </w:r>
      <w:r w:rsidRPr="00B75AE5">
        <w:rPr>
          <w:rFonts w:ascii="Verdana" w:eastAsia="Malgun Gothic" w:hAnsi="Verdana" w:cs="Arial"/>
          <w:sz w:val="18"/>
          <w:szCs w:val="18"/>
          <w:lang w:val="el-GR"/>
        </w:rPr>
        <w:t xml:space="preserve">0) </w:t>
      </w:r>
      <w:r>
        <w:rPr>
          <w:rFonts w:ascii="Verdana" w:eastAsia="Malgun Gothic" w:hAnsi="Verdana" w:cs="Arial"/>
          <w:sz w:val="18"/>
          <w:szCs w:val="18"/>
          <w:lang w:val="el-GR"/>
        </w:rPr>
        <w:t>αξιοποιούνται κυρίως</w:t>
      </w:r>
      <w:r w:rsidRPr="00B75AE5">
        <w:rPr>
          <w:rFonts w:ascii="Verdana" w:eastAsia="Malgun Gothic" w:hAnsi="Verdana" w:cs="Arial"/>
          <w:sz w:val="18"/>
          <w:szCs w:val="18"/>
          <w:lang w:val="el-GR"/>
        </w:rPr>
        <w:t xml:space="preserve"> στοιχεία </w:t>
      </w:r>
      <w:r>
        <w:rPr>
          <w:rFonts w:ascii="Verdana" w:eastAsia="Malgun Gothic" w:hAnsi="Verdana" w:cs="Arial"/>
          <w:sz w:val="18"/>
          <w:szCs w:val="18"/>
          <w:lang w:val="el-GR"/>
        </w:rPr>
        <w:t xml:space="preserve">από τους </w:t>
      </w:r>
      <w:r w:rsidRPr="00B75AE5">
        <w:rPr>
          <w:rFonts w:ascii="Verdana" w:eastAsia="Malgun Gothic" w:hAnsi="Verdana" w:cs="Arial"/>
          <w:sz w:val="18"/>
          <w:szCs w:val="18"/>
          <w:lang w:val="el-GR"/>
        </w:rPr>
        <w:t>Εθνικ</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Λογαριασμ</w:t>
      </w:r>
      <w:r>
        <w:rPr>
          <w:rFonts w:ascii="Verdana" w:eastAsia="Malgun Gothic" w:hAnsi="Verdana" w:cs="Arial"/>
          <w:sz w:val="18"/>
          <w:szCs w:val="18"/>
          <w:lang w:val="el-GR"/>
        </w:rPr>
        <w:t>ούς</w:t>
      </w:r>
      <w:r w:rsidRPr="00B75AE5">
        <w:rPr>
          <w:rFonts w:ascii="Verdana" w:eastAsia="Malgun Gothic" w:hAnsi="Verdana" w:cs="Arial"/>
          <w:sz w:val="18"/>
          <w:szCs w:val="18"/>
          <w:lang w:val="el-GR"/>
        </w:rPr>
        <w:t xml:space="preserve">. </w:t>
      </w:r>
    </w:p>
    <w:p w:rsidR="00AF5CC6" w:rsidRPr="00E44FF8" w:rsidRDefault="00AF5CC6" w:rsidP="00AF5CC6">
      <w:pPr>
        <w:tabs>
          <w:tab w:val="left" w:pos="945"/>
        </w:tabs>
        <w:jc w:val="both"/>
        <w:rPr>
          <w:rFonts w:ascii="Verdana" w:eastAsia="Malgun Gothic" w:hAnsi="Verdana" w:cs="Arial"/>
          <w:sz w:val="18"/>
          <w:szCs w:val="18"/>
          <w:lang w:val="el-GR"/>
        </w:rPr>
      </w:pPr>
    </w:p>
    <w:p w:rsidR="00AF5CC6" w:rsidRPr="0080014B" w:rsidRDefault="00AF5CC6" w:rsidP="00AF5CC6">
      <w:pPr>
        <w:pStyle w:val="Normal13pt"/>
        <w:spacing w:line="240" w:lineRule="auto"/>
        <w:ind w:left="0"/>
        <w:rPr>
          <w:rFonts w:ascii="Verdana" w:eastAsia="Malgun Gothic" w:hAnsi="Verdana" w:cs="Arial"/>
          <w:sz w:val="18"/>
          <w:szCs w:val="18"/>
        </w:rPr>
      </w:pPr>
      <w:r w:rsidRPr="0080014B">
        <w:rPr>
          <w:rFonts w:ascii="Verdana" w:eastAsia="Malgun Gothic" w:hAnsi="Verdana" w:cs="Arial"/>
          <w:sz w:val="18"/>
          <w:szCs w:val="18"/>
        </w:rPr>
        <w:t>Έτος βάσης</w:t>
      </w:r>
    </w:p>
    <w:p w:rsidR="00AF5CC6" w:rsidRPr="00E44FF8" w:rsidRDefault="00AF5CC6" w:rsidP="00AF5CC6">
      <w:pPr>
        <w:tabs>
          <w:tab w:val="left" w:pos="945"/>
        </w:tabs>
        <w:jc w:val="both"/>
        <w:rPr>
          <w:rFonts w:ascii="Verdana" w:eastAsia="Malgun Gothic" w:hAnsi="Verdana" w:cs="Arial"/>
          <w:sz w:val="18"/>
          <w:szCs w:val="18"/>
          <w:lang w:val="el-GR"/>
        </w:rPr>
      </w:pPr>
    </w:p>
    <w:p w:rsidR="00AF5CC6" w:rsidRPr="00E44FF8" w:rsidRDefault="00AF5CC6" w:rsidP="00AF5CC6">
      <w:pPr>
        <w:jc w:val="both"/>
        <w:rPr>
          <w:rFonts w:ascii="Verdana" w:eastAsia="Malgun Gothic" w:hAnsi="Verdana" w:cs="Arial"/>
          <w:sz w:val="18"/>
          <w:szCs w:val="18"/>
          <w:lang w:val="el-GR"/>
        </w:rPr>
      </w:pPr>
      <w:r w:rsidRPr="00E44FF8">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rsidR="00AF5CC6" w:rsidRPr="00E44FF8" w:rsidRDefault="00AF5CC6" w:rsidP="00AF5CC6">
      <w:pPr>
        <w:pStyle w:val="Normal13pt"/>
        <w:spacing w:line="240" w:lineRule="auto"/>
        <w:ind w:left="0"/>
        <w:rPr>
          <w:rFonts w:ascii="Verdana" w:eastAsia="Malgun Gothic" w:hAnsi="Verdana" w:cs="Arial"/>
          <w:i/>
          <w:sz w:val="18"/>
          <w:szCs w:val="18"/>
          <w:u w:val="none"/>
        </w:rPr>
      </w:pPr>
    </w:p>
    <w:p w:rsidR="00AF5CC6" w:rsidRPr="0080014B" w:rsidRDefault="00AF5CC6" w:rsidP="00AF5CC6">
      <w:pPr>
        <w:pStyle w:val="Normal13pt"/>
        <w:spacing w:line="240" w:lineRule="auto"/>
        <w:ind w:left="0"/>
        <w:rPr>
          <w:rFonts w:ascii="Verdana" w:eastAsia="Malgun Gothic" w:hAnsi="Verdana" w:cs="Arial"/>
          <w:sz w:val="18"/>
          <w:szCs w:val="18"/>
        </w:rPr>
      </w:pPr>
      <w:r>
        <w:rPr>
          <w:rFonts w:ascii="Verdana" w:eastAsia="Malgun Gothic" w:hAnsi="Verdana" w:cs="Arial"/>
          <w:sz w:val="18"/>
          <w:szCs w:val="18"/>
        </w:rPr>
        <w:t>Ταξινόμηση</w:t>
      </w:r>
      <w:r w:rsidRPr="0080014B">
        <w:rPr>
          <w:rFonts w:ascii="Verdana" w:eastAsia="Malgun Gothic" w:hAnsi="Verdana" w:cs="Arial"/>
          <w:sz w:val="18"/>
          <w:szCs w:val="18"/>
        </w:rPr>
        <w:t xml:space="preserve">                                                                                                                  </w:t>
      </w:r>
    </w:p>
    <w:p w:rsidR="00AF5CC6" w:rsidRPr="00E44FF8" w:rsidRDefault="00AF5CC6" w:rsidP="00AF5CC6">
      <w:pPr>
        <w:tabs>
          <w:tab w:val="left" w:pos="360"/>
          <w:tab w:val="left" w:pos="6840"/>
        </w:tabs>
        <w:ind w:right="-79"/>
        <w:jc w:val="both"/>
        <w:rPr>
          <w:rFonts w:ascii="Verdana" w:eastAsia="Malgun Gothic" w:hAnsi="Verdana" w:cs="Arial"/>
          <w:sz w:val="18"/>
          <w:szCs w:val="18"/>
          <w:lang w:val="el-GR"/>
        </w:rPr>
      </w:pPr>
    </w:p>
    <w:p w:rsidR="00AF5CC6" w:rsidRPr="00C23701" w:rsidRDefault="00AF5CC6" w:rsidP="00AF5CC6">
      <w:pPr>
        <w:pStyle w:val="Normal13pt"/>
        <w:spacing w:line="240" w:lineRule="auto"/>
        <w:ind w:left="0"/>
        <w:rPr>
          <w:rFonts w:ascii="Verdana" w:eastAsia="Malgun Gothic" w:hAnsi="Verdana" w:cs="Arial"/>
          <w:b w:val="0"/>
          <w:sz w:val="18"/>
          <w:szCs w:val="18"/>
          <w:u w:val="none"/>
        </w:rPr>
      </w:pPr>
      <w:r w:rsidRPr="00E44FF8">
        <w:rPr>
          <w:rFonts w:ascii="Verdana" w:eastAsia="Malgun Gothic" w:hAnsi="Verdana" w:cs="Arial"/>
          <w:b w:val="0"/>
          <w:sz w:val="18"/>
          <w:szCs w:val="18"/>
          <w:u w:val="none"/>
        </w:rPr>
        <w:t xml:space="preserve">Μέχρι το Δεκέμβριο του 2015,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ολογιζόταν και δημοσιευόταν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COICOP4 </w:t>
      </w:r>
      <w:r>
        <w:rPr>
          <w:rFonts w:ascii="Verdana" w:eastAsia="Malgun Gothic" w:hAnsi="Verdana" w:cs="Arial"/>
          <w:b w:val="0"/>
          <w:sz w:val="18"/>
          <w:szCs w:val="18"/>
          <w:u w:val="none"/>
        </w:rPr>
        <w:t>με την ο</w:t>
      </w:r>
      <w:r w:rsidRPr="00E44FF8">
        <w:rPr>
          <w:rFonts w:ascii="Verdana" w:eastAsia="Malgun Gothic" w:hAnsi="Verdana" w:cs="Arial"/>
          <w:b w:val="0"/>
          <w:sz w:val="18"/>
          <w:szCs w:val="18"/>
          <w:u w:val="none"/>
        </w:rPr>
        <w:t xml:space="preserve">ποία </w:t>
      </w:r>
      <w:r>
        <w:rPr>
          <w:rFonts w:ascii="Verdana" w:eastAsia="Malgun Gothic" w:hAnsi="Verdana" w:cs="Arial"/>
          <w:b w:val="0"/>
          <w:sz w:val="18"/>
          <w:szCs w:val="18"/>
          <w:u w:val="none"/>
        </w:rPr>
        <w:t>η κατηγορία</w:t>
      </w:r>
      <w:r w:rsidRPr="00E44FF8">
        <w:rPr>
          <w:rFonts w:ascii="Verdana" w:eastAsia="Malgun Gothic" w:hAnsi="Verdana" w:cs="Arial"/>
          <w:b w:val="0"/>
          <w:sz w:val="18"/>
          <w:szCs w:val="18"/>
          <w:u w:val="none"/>
        </w:rPr>
        <w:t xml:space="preserve"> των προϊόντων  </w:t>
      </w:r>
      <w:r>
        <w:rPr>
          <w:rFonts w:ascii="Verdana" w:eastAsia="Malgun Gothic" w:hAnsi="Verdana" w:cs="Arial"/>
          <w:b w:val="0"/>
          <w:sz w:val="18"/>
          <w:szCs w:val="18"/>
          <w:u w:val="none"/>
        </w:rPr>
        <w:t>καθορίζεται μέχρι τα</w:t>
      </w:r>
      <w:r w:rsidRPr="00E44FF8">
        <w:rPr>
          <w:rFonts w:ascii="Verdana" w:eastAsia="Malgun Gothic" w:hAnsi="Verdana" w:cs="Arial"/>
          <w:b w:val="0"/>
          <w:sz w:val="18"/>
          <w:szCs w:val="18"/>
          <w:u w:val="none"/>
        </w:rPr>
        <w:t xml:space="preserve"> </w:t>
      </w:r>
      <w:r>
        <w:rPr>
          <w:rFonts w:ascii="Verdana" w:eastAsia="Malgun Gothic" w:hAnsi="Verdana" w:cs="Arial"/>
          <w:b w:val="0"/>
          <w:sz w:val="18"/>
          <w:szCs w:val="18"/>
          <w:u w:val="none"/>
        </w:rPr>
        <w:t>τέσσερα ψηφία</w:t>
      </w:r>
      <w:r w:rsidRPr="00E44FF8">
        <w:rPr>
          <w:rFonts w:ascii="Verdana" w:eastAsia="Malgun Gothic" w:hAnsi="Verdana" w:cs="Arial"/>
          <w:b w:val="0"/>
          <w:sz w:val="18"/>
          <w:szCs w:val="18"/>
          <w:u w:val="none"/>
        </w:rPr>
        <w:t xml:space="preserve">. Από τον Ιανουάριο του 2016, ο </w:t>
      </w:r>
      <w:proofErr w:type="spellStart"/>
      <w:r>
        <w:rPr>
          <w:rFonts w:ascii="Verdana" w:eastAsia="Malgun Gothic" w:hAnsi="Verdana" w:cs="Arial"/>
          <w:b w:val="0"/>
          <w:sz w:val="18"/>
          <w:szCs w:val="18"/>
          <w:u w:val="none"/>
        </w:rPr>
        <w:t>Εν</w:t>
      </w:r>
      <w:r w:rsidRPr="00E44FF8">
        <w:rPr>
          <w:rFonts w:ascii="Verdana" w:eastAsia="Malgun Gothic" w:hAnsi="Verdana" w:cs="Arial"/>
          <w:b w:val="0"/>
          <w:sz w:val="18"/>
          <w:szCs w:val="18"/>
          <w:u w:val="none"/>
        </w:rPr>
        <w:t>ΔΤΚ</w:t>
      </w:r>
      <w:proofErr w:type="spellEnd"/>
      <w:r w:rsidRPr="00E44FF8">
        <w:rPr>
          <w:rFonts w:ascii="Verdana" w:eastAsia="Malgun Gothic" w:hAnsi="Verdana" w:cs="Arial"/>
          <w:b w:val="0"/>
          <w:sz w:val="18"/>
          <w:szCs w:val="18"/>
          <w:u w:val="none"/>
        </w:rPr>
        <w:t xml:space="preserve"> υπ</w:t>
      </w:r>
      <w:r>
        <w:rPr>
          <w:rFonts w:ascii="Verdana" w:eastAsia="Malgun Gothic" w:hAnsi="Verdana" w:cs="Arial"/>
          <w:b w:val="0"/>
          <w:sz w:val="18"/>
          <w:szCs w:val="18"/>
          <w:u w:val="none"/>
        </w:rPr>
        <w:t>ολογίζεται και δημοσιεύεται βάσει</w:t>
      </w:r>
      <w:r w:rsidRPr="00E44FF8">
        <w:rPr>
          <w:rFonts w:ascii="Verdana" w:eastAsia="Malgun Gothic" w:hAnsi="Verdana" w:cs="Arial"/>
          <w:b w:val="0"/>
          <w:sz w:val="18"/>
          <w:szCs w:val="18"/>
          <w:u w:val="none"/>
        </w:rPr>
        <w:t xml:space="preserve"> της </w:t>
      </w:r>
      <w:r>
        <w:rPr>
          <w:rFonts w:ascii="Verdana" w:eastAsia="Malgun Gothic" w:hAnsi="Verdana" w:cs="Arial"/>
          <w:b w:val="0"/>
          <w:sz w:val="18"/>
          <w:szCs w:val="18"/>
          <w:u w:val="none"/>
        </w:rPr>
        <w:t>ταξινόμησης</w:t>
      </w:r>
      <w:r w:rsidRPr="00E44FF8">
        <w:rPr>
          <w:rFonts w:ascii="Verdana" w:eastAsia="Malgun Gothic" w:hAnsi="Verdana" w:cs="Arial"/>
          <w:b w:val="0"/>
          <w:sz w:val="18"/>
          <w:szCs w:val="18"/>
          <w:u w:val="none"/>
        </w:rPr>
        <w:t xml:space="preserve">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rsidR="00AF5CC6" w:rsidRDefault="00AF5CC6" w:rsidP="00AF5CC6">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Από τον Φ</w:t>
      </w:r>
      <w:r w:rsidRPr="008430B2">
        <w:rPr>
          <w:rFonts w:ascii="Verdana" w:eastAsia="Malgun Gothic" w:hAnsi="Verdana" w:cs="Arial"/>
          <w:sz w:val="18"/>
          <w:szCs w:val="18"/>
          <w:lang w:val="el-GR"/>
        </w:rPr>
        <w:t>εβρου</w:t>
      </w:r>
      <w:r>
        <w:rPr>
          <w:rFonts w:ascii="Verdana" w:eastAsia="Malgun Gothic" w:hAnsi="Verdana" w:cs="Arial"/>
          <w:sz w:val="18"/>
          <w:szCs w:val="18"/>
          <w:lang w:val="el-GR"/>
        </w:rPr>
        <w:t>άριο</w:t>
      </w:r>
      <w:r w:rsidRPr="008430B2">
        <w:rPr>
          <w:rFonts w:ascii="Verdana" w:eastAsia="Malgun Gothic" w:hAnsi="Verdana" w:cs="Arial"/>
          <w:sz w:val="18"/>
          <w:szCs w:val="18"/>
          <w:lang w:val="el-GR"/>
        </w:rPr>
        <w:t xml:space="preserve"> 2019, η Στατιστική Υπηρεσία Κύπρου δημοσιεύει τις οικονομικές κατηγορίες του </w:t>
      </w:r>
      <w:proofErr w:type="spellStart"/>
      <w:r w:rsidRPr="008430B2">
        <w:rPr>
          <w:rFonts w:ascii="Verdana" w:eastAsia="Malgun Gothic" w:hAnsi="Verdana" w:cs="Arial"/>
          <w:sz w:val="18"/>
          <w:szCs w:val="18"/>
          <w:lang w:val="el-GR"/>
        </w:rPr>
        <w:t>ΕνΔΤΚ</w:t>
      </w:r>
      <w:proofErr w:type="spellEnd"/>
      <w:r w:rsidRPr="008430B2">
        <w:rPr>
          <w:rFonts w:ascii="Verdana" w:eastAsia="Malgun Gothic" w:hAnsi="Verdana" w:cs="Arial"/>
          <w:sz w:val="18"/>
          <w:szCs w:val="18"/>
          <w:lang w:val="el-GR"/>
        </w:rPr>
        <w:t xml:space="preserve"> όπως υπολογίστηκαν από πιο λεπτομερή δεδομένα. </w:t>
      </w:r>
    </w:p>
    <w:p w:rsidR="00AF5CC6" w:rsidRPr="007E52E7" w:rsidRDefault="00AF5CC6" w:rsidP="00AF5CC6">
      <w:pPr>
        <w:tabs>
          <w:tab w:val="left" w:pos="360"/>
          <w:tab w:val="left" w:pos="6840"/>
        </w:tabs>
        <w:ind w:right="-79"/>
        <w:jc w:val="both"/>
        <w:rPr>
          <w:rFonts w:ascii="Verdana" w:eastAsia="Malgun Gothic" w:hAnsi="Verdana" w:cs="Arial"/>
          <w:sz w:val="18"/>
          <w:szCs w:val="18"/>
          <w:lang w:val="el-GR"/>
        </w:rPr>
      </w:pPr>
    </w:p>
    <w:p w:rsidR="00AF5CC6" w:rsidRPr="00BE4A4D" w:rsidRDefault="00AF5CC6" w:rsidP="00AF5CC6">
      <w:pPr>
        <w:tabs>
          <w:tab w:val="left" w:pos="360"/>
          <w:tab w:val="left" w:pos="6840"/>
        </w:tabs>
        <w:ind w:right="-79"/>
        <w:jc w:val="both"/>
        <w:rPr>
          <w:rFonts w:ascii="Verdana" w:eastAsia="Malgun Gothic" w:hAnsi="Verdana" w:cs="Arial"/>
          <w:sz w:val="20"/>
          <w:szCs w:val="20"/>
          <w:lang w:val="el-GR"/>
        </w:rPr>
      </w:pPr>
    </w:p>
    <w:p w:rsidR="00AF5CC6" w:rsidRPr="004E3745" w:rsidRDefault="00AF5CC6" w:rsidP="00AF5CC6">
      <w:pPr>
        <w:tabs>
          <w:tab w:val="left" w:pos="360"/>
          <w:tab w:val="left" w:pos="6840"/>
        </w:tabs>
        <w:ind w:right="-79"/>
        <w:jc w:val="both"/>
        <w:rPr>
          <w:rFonts w:ascii="Verdana" w:eastAsia="Malgun Gothic" w:hAnsi="Verdana" w:cs="Arial"/>
          <w:b/>
          <w:i/>
          <w:sz w:val="18"/>
          <w:szCs w:val="18"/>
          <w:lang w:val="el-GR"/>
        </w:rPr>
      </w:pPr>
      <w:r w:rsidRPr="00780A62">
        <w:rPr>
          <w:rFonts w:ascii="Verdana" w:eastAsia="Malgun Gothic" w:hAnsi="Verdana" w:cs="Arial"/>
          <w:b/>
          <w:i/>
          <w:sz w:val="18"/>
          <w:szCs w:val="18"/>
          <w:lang w:val="el-GR"/>
        </w:rPr>
        <w:t>Για περισσότερες πληροφορίες</w:t>
      </w:r>
      <w:r w:rsidRPr="002D7D4A">
        <w:rPr>
          <w:rFonts w:ascii="Verdana" w:eastAsia="Malgun Gothic" w:hAnsi="Verdana" w:cs="Arial"/>
          <w:b/>
          <w:i/>
          <w:sz w:val="18"/>
          <w:szCs w:val="18"/>
          <w:lang w:val="el-GR"/>
        </w:rPr>
        <w:t>:</w:t>
      </w:r>
    </w:p>
    <w:p w:rsidR="00AF5CC6" w:rsidRPr="0050785A" w:rsidRDefault="00AF5CC6" w:rsidP="00AF5CC6">
      <w:pPr>
        <w:rPr>
          <w:rFonts w:ascii="Verdana" w:hAnsi="Verdana"/>
          <w:sz w:val="18"/>
          <w:szCs w:val="18"/>
          <w:lang w:val="el-GR"/>
        </w:rPr>
      </w:pPr>
      <w:r w:rsidRPr="0050785A">
        <w:rPr>
          <w:rFonts w:ascii="Verdana" w:hAnsi="Verdana"/>
          <w:sz w:val="18"/>
          <w:szCs w:val="18"/>
          <w:lang w:val="el-GR"/>
        </w:rPr>
        <w:t xml:space="preserve">Πύλη Στατιστικής Υπηρεσίας, υπόθεμα </w:t>
      </w:r>
      <w:hyperlink r:id="rId9" w:history="1">
        <w:r w:rsidRPr="0050785A">
          <w:rPr>
            <w:rStyle w:val="Hyperlink"/>
            <w:rFonts w:ascii="Verdana" w:hAnsi="Verdana"/>
            <w:sz w:val="18"/>
            <w:szCs w:val="18"/>
            <w:lang w:val="el-GR"/>
          </w:rPr>
          <w:t>Δείκτες Τιμών</w:t>
        </w:r>
      </w:hyperlink>
    </w:p>
    <w:p w:rsidR="00AF5CC6" w:rsidRPr="0050785A" w:rsidRDefault="00000000" w:rsidP="00AF5CC6">
      <w:pPr>
        <w:rPr>
          <w:rFonts w:ascii="Verdana" w:hAnsi="Verdana"/>
          <w:sz w:val="18"/>
          <w:szCs w:val="18"/>
          <w:lang w:val="el-GR"/>
        </w:rPr>
      </w:pPr>
      <w:hyperlink r:id="rId10" w:history="1">
        <w:r w:rsidR="00AF5CC6" w:rsidRPr="00966C90">
          <w:rPr>
            <w:rStyle w:val="Hyperlink"/>
            <w:rFonts w:ascii="Verdana" w:hAnsi="Verdana"/>
            <w:sz w:val="18"/>
            <w:szCs w:val="18"/>
          </w:rPr>
          <w:t>CYSTAT</w:t>
        </w:r>
        <w:r w:rsidR="00AF5CC6" w:rsidRPr="0050785A">
          <w:rPr>
            <w:rStyle w:val="Hyperlink"/>
            <w:rFonts w:ascii="Verdana" w:hAnsi="Verdana"/>
            <w:sz w:val="18"/>
            <w:szCs w:val="18"/>
            <w:lang w:val="el-GR"/>
          </w:rPr>
          <w:t>-</w:t>
        </w:r>
        <w:r w:rsidR="00AF5CC6" w:rsidRPr="00966C90">
          <w:rPr>
            <w:rStyle w:val="Hyperlink"/>
            <w:rFonts w:ascii="Verdana" w:hAnsi="Verdana"/>
            <w:sz w:val="18"/>
            <w:szCs w:val="18"/>
          </w:rPr>
          <w:t>DB</w:t>
        </w:r>
      </w:hyperlink>
      <w:r w:rsidR="00AF5CC6" w:rsidRPr="0050785A">
        <w:rPr>
          <w:rFonts w:ascii="Verdana" w:hAnsi="Verdana"/>
          <w:sz w:val="18"/>
          <w:szCs w:val="18"/>
          <w:lang w:val="el-GR"/>
        </w:rPr>
        <w:t xml:space="preserve"> (Βάση Δεδομένων)</w:t>
      </w:r>
    </w:p>
    <w:p w:rsidR="00AF5CC6" w:rsidRPr="0050785A" w:rsidRDefault="00000000" w:rsidP="00AF5CC6">
      <w:pPr>
        <w:rPr>
          <w:rFonts w:ascii="Verdana" w:hAnsi="Verdana"/>
          <w:sz w:val="18"/>
          <w:szCs w:val="18"/>
          <w:lang w:val="el-GR"/>
        </w:rPr>
      </w:pPr>
      <w:hyperlink r:id="rId11" w:history="1">
        <w:r w:rsidR="00AF5CC6" w:rsidRPr="0050785A">
          <w:rPr>
            <w:rStyle w:val="Hyperlink"/>
            <w:rFonts w:ascii="Verdana" w:hAnsi="Verdana"/>
            <w:sz w:val="18"/>
            <w:szCs w:val="18"/>
            <w:lang w:val="el-GR"/>
          </w:rPr>
          <w:t>Προκαθορισμένοι Πίνακες</w:t>
        </w:r>
      </w:hyperlink>
      <w:r w:rsidR="00AF5CC6" w:rsidRPr="0050785A">
        <w:rPr>
          <w:rFonts w:ascii="Verdana" w:hAnsi="Verdana"/>
          <w:sz w:val="18"/>
          <w:szCs w:val="18"/>
          <w:lang w:val="el-GR"/>
        </w:rPr>
        <w:t xml:space="preserve"> (</w:t>
      </w:r>
      <w:r w:rsidR="00AF5CC6" w:rsidRPr="00040F97">
        <w:rPr>
          <w:rFonts w:ascii="Verdana" w:hAnsi="Verdana"/>
          <w:sz w:val="18"/>
          <w:szCs w:val="18"/>
        </w:rPr>
        <w:t>Excel</w:t>
      </w:r>
      <w:r w:rsidR="00AF5CC6" w:rsidRPr="0050785A">
        <w:rPr>
          <w:rFonts w:ascii="Verdana" w:hAnsi="Verdana"/>
          <w:sz w:val="18"/>
          <w:szCs w:val="18"/>
          <w:lang w:val="el-GR"/>
        </w:rPr>
        <w:t>)</w:t>
      </w:r>
    </w:p>
    <w:p w:rsidR="00B536D6" w:rsidRPr="00B536D6" w:rsidRDefault="00B536D6" w:rsidP="00B536D6">
      <w:pPr>
        <w:jc w:val="both"/>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"https://www.cystat.gov.cy/el/MethodologicalDetails?m=2091" \o "Μεθοδολογικές Πληροφορίες" </w:instrText>
      </w:r>
      <w:r>
        <w:rPr>
          <w:rFonts w:ascii="Verdana" w:hAnsi="Verdana"/>
          <w:sz w:val="18"/>
          <w:szCs w:val="18"/>
          <w:lang w:val="el-GR"/>
        </w:rPr>
      </w:r>
      <w:r>
        <w:rPr>
          <w:rFonts w:ascii="Verdana" w:hAnsi="Verdana"/>
          <w:sz w:val="18"/>
          <w:szCs w:val="18"/>
          <w:lang w:val="el-GR"/>
        </w:rPr>
        <w:fldChar w:fldCharType="separate"/>
      </w:r>
      <w:r w:rsidRPr="00B536D6">
        <w:rPr>
          <w:rStyle w:val="Hyperlink"/>
          <w:rFonts w:ascii="Verdana" w:hAnsi="Verdana"/>
          <w:sz w:val="18"/>
          <w:szCs w:val="18"/>
          <w:lang w:val="el-GR"/>
        </w:rPr>
        <w:t>Μεθοδολογικές Πληροφορίες</w:t>
      </w:r>
    </w:p>
    <w:p w:rsidR="00AF5CC6" w:rsidRDefault="00B536D6" w:rsidP="00AF5CC6">
      <w:pPr>
        <w:ind w:right="-79"/>
        <w:jc w:val="both"/>
        <w:rPr>
          <w:rFonts w:ascii="Verdana" w:hAnsi="Verdana"/>
          <w:sz w:val="18"/>
          <w:szCs w:val="18"/>
          <w:lang w:val="el-GR"/>
        </w:rPr>
      </w:pPr>
      <w:r>
        <w:rPr>
          <w:rFonts w:ascii="Verdana" w:hAnsi="Verdana"/>
          <w:sz w:val="18"/>
          <w:szCs w:val="18"/>
          <w:lang w:val="el-GR"/>
        </w:rPr>
        <w:fldChar w:fldCharType="end"/>
      </w:r>
    </w:p>
    <w:p w:rsidR="008774AA" w:rsidRDefault="008774AA" w:rsidP="00AF5CC6">
      <w:pPr>
        <w:ind w:right="-79"/>
        <w:jc w:val="both"/>
        <w:rPr>
          <w:rFonts w:ascii="Verdana" w:hAnsi="Verdana"/>
          <w:sz w:val="18"/>
          <w:szCs w:val="18"/>
          <w:lang w:val="el-GR"/>
        </w:rPr>
      </w:pPr>
    </w:p>
    <w:p w:rsidR="008774AA" w:rsidRDefault="008774AA" w:rsidP="00AF5CC6">
      <w:pPr>
        <w:ind w:right="-79"/>
        <w:jc w:val="both"/>
        <w:rPr>
          <w:rFonts w:ascii="Verdana" w:eastAsia="Malgun Gothic" w:hAnsi="Verdana" w:cs="Arial"/>
          <w:sz w:val="18"/>
          <w:szCs w:val="18"/>
          <w:lang w:val="el-GR"/>
        </w:rPr>
      </w:pPr>
    </w:p>
    <w:p w:rsidR="00AF5CC6" w:rsidRDefault="00AF5CC6" w:rsidP="00AF5CC6">
      <w:pPr>
        <w:jc w:val="both"/>
        <w:rPr>
          <w:rFonts w:ascii="Verdana" w:hAnsi="Verdana"/>
          <w:b/>
          <w:bCs/>
          <w:sz w:val="18"/>
          <w:szCs w:val="18"/>
          <w:lang w:val="el-GR"/>
        </w:rPr>
      </w:pPr>
      <w:r>
        <w:rPr>
          <w:rFonts w:ascii="Verdana" w:hAnsi="Verdana"/>
          <w:b/>
          <w:bCs/>
          <w:sz w:val="18"/>
          <w:szCs w:val="18"/>
          <w:lang w:val="el-GR"/>
        </w:rPr>
        <w:lastRenderedPageBreak/>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2403FC">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rsidR="00AF5CC6" w:rsidRPr="003735F9" w:rsidRDefault="00AF5CC6" w:rsidP="00AF5CC6">
      <w:pPr>
        <w:ind w:right="-79"/>
        <w:jc w:val="both"/>
        <w:rPr>
          <w:rFonts w:ascii="Verdana" w:eastAsia="Malgun Gothic" w:hAnsi="Verdana" w:cs="Arial"/>
          <w:sz w:val="18"/>
          <w:szCs w:val="18"/>
          <w:lang w:val="el-GR"/>
        </w:rPr>
      </w:pPr>
    </w:p>
    <w:p w:rsidR="00AF5CC6" w:rsidRDefault="00AF5CC6" w:rsidP="00AF5CC6">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rsidR="00AF5CC6" w:rsidRPr="00A12E81" w:rsidRDefault="00AF5CC6" w:rsidP="00AF5CC6">
      <w:pPr>
        <w:jc w:val="both"/>
        <w:rPr>
          <w:rFonts w:ascii="Verdana" w:eastAsia="Malgun Gothic" w:hAnsi="Verdana" w:cs="Arial"/>
          <w:sz w:val="18"/>
          <w:szCs w:val="18"/>
          <w:lang w:val="el-GR"/>
        </w:rPr>
      </w:pPr>
      <w:r w:rsidRPr="00780A62">
        <w:rPr>
          <w:rFonts w:ascii="Verdana" w:eastAsia="Malgun Gothic" w:hAnsi="Verdana" w:cs="Arial"/>
          <w:sz w:val="18"/>
          <w:szCs w:val="18"/>
          <w:lang w:val="el-GR"/>
        </w:rPr>
        <w:t xml:space="preserve">Κωνσταντία Παπαγεωργίου: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 xml:space="preserve">:+35722602116,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2" w:history="1">
        <w:r w:rsidRPr="00780A62">
          <w:rPr>
            <w:rStyle w:val="Hyperlink"/>
            <w:rFonts w:ascii="Verdana" w:eastAsia="Malgun Gothic" w:hAnsi="Verdana" w:cs="Arial"/>
            <w:sz w:val="18"/>
            <w:szCs w:val="18"/>
            <w:lang w:val="el-GR"/>
          </w:rPr>
          <w:t>cpapageorgiou@cystat.mof.gov.cy</w:t>
        </w:r>
      </w:hyperlink>
    </w:p>
    <w:p w:rsidR="001712CF" w:rsidRDefault="001712CF" w:rsidP="000E4CB0">
      <w:pPr>
        <w:jc w:val="both"/>
        <w:rPr>
          <w:rFonts w:ascii="Verdana" w:hAnsi="Verdana" w:cs="Arial"/>
          <w:sz w:val="18"/>
          <w:szCs w:val="18"/>
          <w:lang w:val="el-GR"/>
        </w:rPr>
      </w:pPr>
    </w:p>
    <w:p w:rsidR="001712CF" w:rsidRDefault="001712CF" w:rsidP="000E4CB0">
      <w:pPr>
        <w:jc w:val="both"/>
        <w:rPr>
          <w:rFonts w:ascii="Verdana" w:hAnsi="Verdana" w:cs="Arial"/>
          <w:sz w:val="18"/>
          <w:szCs w:val="18"/>
          <w:lang w:val="el-GR"/>
        </w:rPr>
      </w:pPr>
    </w:p>
    <w:p w:rsidR="001712CF" w:rsidRDefault="001712CF" w:rsidP="000E4CB0">
      <w:pPr>
        <w:jc w:val="both"/>
        <w:rPr>
          <w:rFonts w:ascii="Verdana" w:hAnsi="Verdana" w:cs="Arial"/>
          <w:sz w:val="18"/>
          <w:szCs w:val="18"/>
          <w:lang w:val="el-GR"/>
        </w:rPr>
      </w:pPr>
    </w:p>
    <w:sectPr w:rsidR="001712CF"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7126" w:rsidRDefault="001E7126" w:rsidP="00FB398F">
      <w:r>
        <w:separator/>
      </w:r>
    </w:p>
  </w:endnote>
  <w:endnote w:type="continuationSeparator" w:id="0">
    <w:p w:rsidR="001E7126" w:rsidRDefault="001E712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233FBF">
      <w:rPr>
        <w:rFonts w:ascii="Arial" w:hAnsi="Arial" w:cs="Arial"/>
        <w:i/>
        <w:iCs/>
        <w:sz w:val="16"/>
        <w:szCs w:val="16"/>
        <w:lang w:val="el-GR"/>
      </w:rPr>
      <w:t>.:  22 602129, 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E472AC">
      <w:rPr>
        <w:lang w:val="el-GR"/>
      </w:rPr>
      <w:instrText xml:space="preserve"> "</w:instrText>
    </w:r>
    <w:r w:rsidR="00000000">
      <w:instrText>mailto</w:instrText>
    </w:r>
    <w:r w:rsidR="00000000" w:rsidRPr="00E472AC">
      <w:rPr>
        <w:lang w:val="el-GR"/>
      </w:rPr>
      <w:instrText>:</w:instrText>
    </w:r>
    <w:r w:rsidR="00000000">
      <w:instrText>enquiries</w:instrText>
    </w:r>
    <w:r w:rsidR="00000000" w:rsidRPr="00E472AC">
      <w:rPr>
        <w:lang w:val="el-GR"/>
      </w:rPr>
      <w:instrText>@</w:instrText>
    </w:r>
    <w:r w:rsidR="00000000">
      <w:instrText>cystat</w:instrText>
    </w:r>
    <w:r w:rsidR="00000000" w:rsidRPr="00E472AC">
      <w:rPr>
        <w:lang w:val="el-GR"/>
      </w:rPr>
      <w:instrText>.</w:instrText>
    </w:r>
    <w:r w:rsidR="00000000">
      <w:instrText>mof</w:instrText>
    </w:r>
    <w:r w:rsidR="00000000" w:rsidRPr="00E472AC">
      <w:rPr>
        <w:lang w:val="el-GR"/>
      </w:rPr>
      <w:instrText>.</w:instrText>
    </w:r>
    <w:r w:rsidR="00000000">
      <w:instrText>gov</w:instrText>
    </w:r>
    <w:r w:rsidR="00000000" w:rsidRPr="00E472AC">
      <w:rPr>
        <w:lang w:val="el-GR"/>
      </w:rPr>
      <w:instrText>.</w:instrText>
    </w:r>
    <w:r w:rsidR="00000000">
      <w:instrText>cy</w:instrText>
    </w:r>
    <w:r w:rsidR="00000000" w:rsidRPr="00E472AC">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7126" w:rsidRDefault="001E7126" w:rsidP="00FB398F">
      <w:r>
        <w:separator/>
      </w:r>
    </w:p>
  </w:footnote>
  <w:footnote w:type="continuationSeparator" w:id="0">
    <w:p w:rsidR="001E7126" w:rsidRDefault="001E712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F42" w:rsidRDefault="003D05B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4772660</wp:posOffset>
              </wp:positionH>
              <wp:positionV relativeFrom="paragraph">
                <wp:posOffset>-69215</wp:posOffset>
              </wp:positionV>
              <wp:extent cx="1287780" cy="1047750"/>
              <wp:effectExtent l="0" t="0" r="8255" b="0"/>
              <wp:wrapNone/>
              <wp:docPr id="83692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rsidR="004E4F42" w:rsidRDefault="003D05B3" w:rsidP="000932CF">
                          <w:r w:rsidRPr="00FA55C3">
                            <w:rPr>
                              <w:noProof/>
                            </w:rPr>
                            <w:drawing>
                              <wp:inline distT="0" distB="0" distL="0" distR="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rsidR="004E4F42" w:rsidRDefault="003D05B3" w:rsidP="000932CF">
                    <w:r w:rsidRPr="00FA55C3">
                      <w:rPr>
                        <w:noProof/>
                      </w:rPr>
                      <w:drawing>
                        <wp:inline distT="0" distB="0" distL="0" distR="0">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3439160</wp:posOffset>
              </wp:positionH>
              <wp:positionV relativeFrom="paragraph">
                <wp:posOffset>-221615</wp:posOffset>
              </wp:positionV>
              <wp:extent cx="1468755" cy="1200150"/>
              <wp:effectExtent l="0" t="0" r="0" b="0"/>
              <wp:wrapNone/>
              <wp:docPr id="1134245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rsidR="004E4F42" w:rsidRDefault="003D05B3" w:rsidP="000932CF">
                          <w:r w:rsidRPr="00FA55C3">
                            <w:rPr>
                              <w:noProof/>
                            </w:rPr>
                            <w:drawing>
                              <wp:inline distT="0" distB="0" distL="0" distR="0">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rsidR="004E4F42" w:rsidRDefault="003D05B3" w:rsidP="000932CF">
                    <w:r w:rsidRPr="00FA55C3">
                      <w:rPr>
                        <w:noProof/>
                      </w:rPr>
                      <w:drawing>
                        <wp:inline distT="0" distB="0" distL="0" distR="0">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rsidR="004E4F42" w:rsidRDefault="003D05B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4159250</wp:posOffset>
              </wp:positionH>
              <wp:positionV relativeFrom="paragraph">
                <wp:posOffset>104140</wp:posOffset>
              </wp:positionV>
              <wp:extent cx="1828800" cy="438150"/>
              <wp:effectExtent l="0" t="0" r="0" b="0"/>
              <wp:wrapNone/>
              <wp:docPr id="205454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78391563">
    <w:abstractNumId w:val="4"/>
  </w:num>
  <w:num w:numId="2" w16cid:durableId="1074477141">
    <w:abstractNumId w:val="1"/>
  </w:num>
  <w:num w:numId="3" w16cid:durableId="1361249385">
    <w:abstractNumId w:val="2"/>
  </w:num>
  <w:num w:numId="4" w16cid:durableId="1440567803">
    <w:abstractNumId w:val="3"/>
  </w:num>
  <w:num w:numId="5" w16cid:durableId="1455489493">
    <w:abstractNumId w:val="0"/>
  </w:num>
  <w:num w:numId="6" w16cid:durableId="171044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9A3"/>
    <w:rsid w:val="0000542E"/>
    <w:rsid w:val="00013E40"/>
    <w:rsid w:val="000161B1"/>
    <w:rsid w:val="000241BB"/>
    <w:rsid w:val="00025A39"/>
    <w:rsid w:val="00027853"/>
    <w:rsid w:val="00030E18"/>
    <w:rsid w:val="00031D32"/>
    <w:rsid w:val="0003603D"/>
    <w:rsid w:val="00045088"/>
    <w:rsid w:val="00045A06"/>
    <w:rsid w:val="00050391"/>
    <w:rsid w:val="00051C7D"/>
    <w:rsid w:val="00054D3C"/>
    <w:rsid w:val="00055291"/>
    <w:rsid w:val="0005631A"/>
    <w:rsid w:val="000563D3"/>
    <w:rsid w:val="00057E44"/>
    <w:rsid w:val="00061299"/>
    <w:rsid w:val="00070576"/>
    <w:rsid w:val="000752BB"/>
    <w:rsid w:val="00081ADF"/>
    <w:rsid w:val="00084A02"/>
    <w:rsid w:val="00084BF7"/>
    <w:rsid w:val="000870E9"/>
    <w:rsid w:val="000932CF"/>
    <w:rsid w:val="00096ED8"/>
    <w:rsid w:val="000A1A88"/>
    <w:rsid w:val="000A2B5C"/>
    <w:rsid w:val="000A3601"/>
    <w:rsid w:val="000A47D3"/>
    <w:rsid w:val="000A6FA8"/>
    <w:rsid w:val="000B37AC"/>
    <w:rsid w:val="000C1070"/>
    <w:rsid w:val="000C4E72"/>
    <w:rsid w:val="000D1E7A"/>
    <w:rsid w:val="000E1C04"/>
    <w:rsid w:val="000E24B1"/>
    <w:rsid w:val="000E2735"/>
    <w:rsid w:val="000E32D6"/>
    <w:rsid w:val="000E4CB0"/>
    <w:rsid w:val="000E57F2"/>
    <w:rsid w:val="000E7206"/>
    <w:rsid w:val="000E72A7"/>
    <w:rsid w:val="000F1162"/>
    <w:rsid w:val="000F3467"/>
    <w:rsid w:val="000F38DE"/>
    <w:rsid w:val="000F532A"/>
    <w:rsid w:val="000F5D6C"/>
    <w:rsid w:val="000F756B"/>
    <w:rsid w:val="00106852"/>
    <w:rsid w:val="00110F9D"/>
    <w:rsid w:val="00114A67"/>
    <w:rsid w:val="001253B6"/>
    <w:rsid w:val="001262C3"/>
    <w:rsid w:val="00127320"/>
    <w:rsid w:val="00127456"/>
    <w:rsid w:val="001312D8"/>
    <w:rsid w:val="0013137B"/>
    <w:rsid w:val="0015118B"/>
    <w:rsid w:val="001519CE"/>
    <w:rsid w:val="00161CF3"/>
    <w:rsid w:val="00162C00"/>
    <w:rsid w:val="001639EF"/>
    <w:rsid w:val="0016589F"/>
    <w:rsid w:val="001712CF"/>
    <w:rsid w:val="0017769A"/>
    <w:rsid w:val="00183C7C"/>
    <w:rsid w:val="00183DFC"/>
    <w:rsid w:val="00184384"/>
    <w:rsid w:val="00186717"/>
    <w:rsid w:val="00187FFC"/>
    <w:rsid w:val="00192F2F"/>
    <w:rsid w:val="0019391C"/>
    <w:rsid w:val="001A2018"/>
    <w:rsid w:val="001B25A4"/>
    <w:rsid w:val="001B2C39"/>
    <w:rsid w:val="001B3675"/>
    <w:rsid w:val="001B5E10"/>
    <w:rsid w:val="001B6AB3"/>
    <w:rsid w:val="001B73D5"/>
    <w:rsid w:val="001C0681"/>
    <w:rsid w:val="001C62B3"/>
    <w:rsid w:val="001C7C8C"/>
    <w:rsid w:val="001D0D6A"/>
    <w:rsid w:val="001D20A4"/>
    <w:rsid w:val="001E00D1"/>
    <w:rsid w:val="001E0E26"/>
    <w:rsid w:val="001E0E58"/>
    <w:rsid w:val="001E14F3"/>
    <w:rsid w:val="001E15ED"/>
    <w:rsid w:val="001E35EF"/>
    <w:rsid w:val="001E61AA"/>
    <w:rsid w:val="001E7126"/>
    <w:rsid w:val="001E7F26"/>
    <w:rsid w:val="001F3FAD"/>
    <w:rsid w:val="0020309E"/>
    <w:rsid w:val="00210B58"/>
    <w:rsid w:val="00222423"/>
    <w:rsid w:val="00225B28"/>
    <w:rsid w:val="00226891"/>
    <w:rsid w:val="00230D9B"/>
    <w:rsid w:val="002313AC"/>
    <w:rsid w:val="00235FB2"/>
    <w:rsid w:val="00237BC1"/>
    <w:rsid w:val="002430B4"/>
    <w:rsid w:val="002443EB"/>
    <w:rsid w:val="002447D0"/>
    <w:rsid w:val="002454C5"/>
    <w:rsid w:val="00245E19"/>
    <w:rsid w:val="00246AEB"/>
    <w:rsid w:val="00250005"/>
    <w:rsid w:val="0025254F"/>
    <w:rsid w:val="0025566D"/>
    <w:rsid w:val="0025595C"/>
    <w:rsid w:val="00257149"/>
    <w:rsid w:val="002576E7"/>
    <w:rsid w:val="00260357"/>
    <w:rsid w:val="00264F04"/>
    <w:rsid w:val="00267554"/>
    <w:rsid w:val="0028338F"/>
    <w:rsid w:val="002915C4"/>
    <w:rsid w:val="00297E6B"/>
    <w:rsid w:val="002A1D1C"/>
    <w:rsid w:val="002A4D64"/>
    <w:rsid w:val="002B3BC7"/>
    <w:rsid w:val="002B4969"/>
    <w:rsid w:val="002B6554"/>
    <w:rsid w:val="002B7A07"/>
    <w:rsid w:val="002C21CB"/>
    <w:rsid w:val="002D05F0"/>
    <w:rsid w:val="002D2829"/>
    <w:rsid w:val="002D3EE7"/>
    <w:rsid w:val="002D7D4A"/>
    <w:rsid w:val="002E3846"/>
    <w:rsid w:val="002E3F78"/>
    <w:rsid w:val="002F400C"/>
    <w:rsid w:val="002F4D76"/>
    <w:rsid w:val="002F6D26"/>
    <w:rsid w:val="0030231E"/>
    <w:rsid w:val="003042C4"/>
    <w:rsid w:val="00304CB4"/>
    <w:rsid w:val="00307F8E"/>
    <w:rsid w:val="003104F0"/>
    <w:rsid w:val="00313F37"/>
    <w:rsid w:val="003141D0"/>
    <w:rsid w:val="003168C1"/>
    <w:rsid w:val="00322FBE"/>
    <w:rsid w:val="00325632"/>
    <w:rsid w:val="00327549"/>
    <w:rsid w:val="003342A5"/>
    <w:rsid w:val="00334616"/>
    <w:rsid w:val="00336C36"/>
    <w:rsid w:val="00343815"/>
    <w:rsid w:val="00351BEC"/>
    <w:rsid w:val="003522BB"/>
    <w:rsid w:val="00352F6C"/>
    <w:rsid w:val="003556EA"/>
    <w:rsid w:val="00360B86"/>
    <w:rsid w:val="00386FC7"/>
    <w:rsid w:val="00390A32"/>
    <w:rsid w:val="003A1E91"/>
    <w:rsid w:val="003A40F2"/>
    <w:rsid w:val="003A50D1"/>
    <w:rsid w:val="003B196D"/>
    <w:rsid w:val="003B2710"/>
    <w:rsid w:val="003B4608"/>
    <w:rsid w:val="003B6FD8"/>
    <w:rsid w:val="003C2392"/>
    <w:rsid w:val="003C5174"/>
    <w:rsid w:val="003C5240"/>
    <w:rsid w:val="003C76E6"/>
    <w:rsid w:val="003D05B3"/>
    <w:rsid w:val="003D14E0"/>
    <w:rsid w:val="003D1EA5"/>
    <w:rsid w:val="003D3348"/>
    <w:rsid w:val="003D4E63"/>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472D6"/>
    <w:rsid w:val="00452753"/>
    <w:rsid w:val="0046078F"/>
    <w:rsid w:val="00463214"/>
    <w:rsid w:val="0046434D"/>
    <w:rsid w:val="004656FA"/>
    <w:rsid w:val="00471D77"/>
    <w:rsid w:val="00475587"/>
    <w:rsid w:val="00476CB0"/>
    <w:rsid w:val="00480BC2"/>
    <w:rsid w:val="004845C3"/>
    <w:rsid w:val="004929C2"/>
    <w:rsid w:val="00493FDD"/>
    <w:rsid w:val="0049586B"/>
    <w:rsid w:val="004A3E44"/>
    <w:rsid w:val="004B2018"/>
    <w:rsid w:val="004B2896"/>
    <w:rsid w:val="004B326A"/>
    <w:rsid w:val="004B38E9"/>
    <w:rsid w:val="004B3FBA"/>
    <w:rsid w:val="004B6599"/>
    <w:rsid w:val="004C2B79"/>
    <w:rsid w:val="004C6CA7"/>
    <w:rsid w:val="004D4357"/>
    <w:rsid w:val="004D4950"/>
    <w:rsid w:val="004E0E32"/>
    <w:rsid w:val="004E2393"/>
    <w:rsid w:val="004E3745"/>
    <w:rsid w:val="004E42BE"/>
    <w:rsid w:val="004E4F42"/>
    <w:rsid w:val="004E63D5"/>
    <w:rsid w:val="004F03FD"/>
    <w:rsid w:val="004F172C"/>
    <w:rsid w:val="004F52F0"/>
    <w:rsid w:val="004F5E3B"/>
    <w:rsid w:val="004F6250"/>
    <w:rsid w:val="004F677C"/>
    <w:rsid w:val="004F6D8F"/>
    <w:rsid w:val="00505503"/>
    <w:rsid w:val="0051107B"/>
    <w:rsid w:val="00512F9C"/>
    <w:rsid w:val="00513EA9"/>
    <w:rsid w:val="00527CDB"/>
    <w:rsid w:val="005341C9"/>
    <w:rsid w:val="005369CA"/>
    <w:rsid w:val="00536DE9"/>
    <w:rsid w:val="00541E08"/>
    <w:rsid w:val="005425F7"/>
    <w:rsid w:val="00551328"/>
    <w:rsid w:val="005544D8"/>
    <w:rsid w:val="00554FE0"/>
    <w:rsid w:val="00556564"/>
    <w:rsid w:val="0055789A"/>
    <w:rsid w:val="00560952"/>
    <w:rsid w:val="00565109"/>
    <w:rsid w:val="005652D1"/>
    <w:rsid w:val="005653F5"/>
    <w:rsid w:val="005660A0"/>
    <w:rsid w:val="00566A4F"/>
    <w:rsid w:val="00566ACF"/>
    <w:rsid w:val="00567D64"/>
    <w:rsid w:val="005923C4"/>
    <w:rsid w:val="0059552E"/>
    <w:rsid w:val="005978D4"/>
    <w:rsid w:val="005A23FA"/>
    <w:rsid w:val="005A27EE"/>
    <w:rsid w:val="005A55DC"/>
    <w:rsid w:val="005B2A67"/>
    <w:rsid w:val="005B3DCD"/>
    <w:rsid w:val="005B4AD4"/>
    <w:rsid w:val="005C2798"/>
    <w:rsid w:val="005C2ECE"/>
    <w:rsid w:val="005C36C3"/>
    <w:rsid w:val="005C56EE"/>
    <w:rsid w:val="005D1714"/>
    <w:rsid w:val="005D7638"/>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8B6"/>
    <w:rsid w:val="00641D59"/>
    <w:rsid w:val="00644507"/>
    <w:rsid w:val="00646880"/>
    <w:rsid w:val="00647D2A"/>
    <w:rsid w:val="006537BB"/>
    <w:rsid w:val="0065643E"/>
    <w:rsid w:val="006625B2"/>
    <w:rsid w:val="00667E07"/>
    <w:rsid w:val="00671785"/>
    <w:rsid w:val="00672BA9"/>
    <w:rsid w:val="00673005"/>
    <w:rsid w:val="00674681"/>
    <w:rsid w:val="006804BE"/>
    <w:rsid w:val="0068434A"/>
    <w:rsid w:val="0069008E"/>
    <w:rsid w:val="0069087E"/>
    <w:rsid w:val="006925C4"/>
    <w:rsid w:val="006A02B7"/>
    <w:rsid w:val="006A46B9"/>
    <w:rsid w:val="006A7019"/>
    <w:rsid w:val="006B2083"/>
    <w:rsid w:val="006B46D5"/>
    <w:rsid w:val="006B46F4"/>
    <w:rsid w:val="006C3D86"/>
    <w:rsid w:val="006C7AF3"/>
    <w:rsid w:val="006D0B9D"/>
    <w:rsid w:val="006D6548"/>
    <w:rsid w:val="006E0E20"/>
    <w:rsid w:val="006E4256"/>
    <w:rsid w:val="006E4BBA"/>
    <w:rsid w:val="006E5F43"/>
    <w:rsid w:val="006E60A6"/>
    <w:rsid w:val="006F0F69"/>
    <w:rsid w:val="006F116B"/>
    <w:rsid w:val="006F117F"/>
    <w:rsid w:val="006F13DF"/>
    <w:rsid w:val="006F2780"/>
    <w:rsid w:val="006F5486"/>
    <w:rsid w:val="006F64F6"/>
    <w:rsid w:val="007012C2"/>
    <w:rsid w:val="00702F26"/>
    <w:rsid w:val="0070313E"/>
    <w:rsid w:val="00703799"/>
    <w:rsid w:val="00704AF7"/>
    <w:rsid w:val="00705C5C"/>
    <w:rsid w:val="00711475"/>
    <w:rsid w:val="00712F06"/>
    <w:rsid w:val="00716DC7"/>
    <w:rsid w:val="00721C1B"/>
    <w:rsid w:val="0072548A"/>
    <w:rsid w:val="007277A6"/>
    <w:rsid w:val="0074243C"/>
    <w:rsid w:val="007437AB"/>
    <w:rsid w:val="00745425"/>
    <w:rsid w:val="007534F8"/>
    <w:rsid w:val="007545AD"/>
    <w:rsid w:val="00763722"/>
    <w:rsid w:val="007645E4"/>
    <w:rsid w:val="00764BC1"/>
    <w:rsid w:val="00770869"/>
    <w:rsid w:val="007738AA"/>
    <w:rsid w:val="00780A62"/>
    <w:rsid w:val="00783241"/>
    <w:rsid w:val="00784BDC"/>
    <w:rsid w:val="007903FF"/>
    <w:rsid w:val="00791479"/>
    <w:rsid w:val="00792F28"/>
    <w:rsid w:val="007935CA"/>
    <w:rsid w:val="0079543F"/>
    <w:rsid w:val="00795880"/>
    <w:rsid w:val="007A3035"/>
    <w:rsid w:val="007A4367"/>
    <w:rsid w:val="007B0867"/>
    <w:rsid w:val="007B1AC1"/>
    <w:rsid w:val="007B24C1"/>
    <w:rsid w:val="007B2DD9"/>
    <w:rsid w:val="007B5424"/>
    <w:rsid w:val="007B5A08"/>
    <w:rsid w:val="007B693D"/>
    <w:rsid w:val="007C4CDC"/>
    <w:rsid w:val="007E041B"/>
    <w:rsid w:val="007E189D"/>
    <w:rsid w:val="007E199A"/>
    <w:rsid w:val="007E1AED"/>
    <w:rsid w:val="007E2415"/>
    <w:rsid w:val="007E39F3"/>
    <w:rsid w:val="007E3B04"/>
    <w:rsid w:val="007E405E"/>
    <w:rsid w:val="007E68F4"/>
    <w:rsid w:val="007E6DE2"/>
    <w:rsid w:val="007F1828"/>
    <w:rsid w:val="007F31BA"/>
    <w:rsid w:val="007F4078"/>
    <w:rsid w:val="0080014B"/>
    <w:rsid w:val="008013F2"/>
    <w:rsid w:val="00801793"/>
    <w:rsid w:val="00803642"/>
    <w:rsid w:val="00806EA2"/>
    <w:rsid w:val="00812A2B"/>
    <w:rsid w:val="00814A4C"/>
    <w:rsid w:val="00831AAB"/>
    <w:rsid w:val="00833BCD"/>
    <w:rsid w:val="00834B82"/>
    <w:rsid w:val="0083574E"/>
    <w:rsid w:val="0083640C"/>
    <w:rsid w:val="008374E3"/>
    <w:rsid w:val="0084157B"/>
    <w:rsid w:val="00842BFB"/>
    <w:rsid w:val="00846B85"/>
    <w:rsid w:val="00847DC3"/>
    <w:rsid w:val="00847F49"/>
    <w:rsid w:val="0085234C"/>
    <w:rsid w:val="008535C5"/>
    <w:rsid w:val="00853765"/>
    <w:rsid w:val="0085516F"/>
    <w:rsid w:val="00856A74"/>
    <w:rsid w:val="00867186"/>
    <w:rsid w:val="00870AF6"/>
    <w:rsid w:val="00871E9E"/>
    <w:rsid w:val="00875215"/>
    <w:rsid w:val="00877452"/>
    <w:rsid w:val="008774AA"/>
    <w:rsid w:val="00881268"/>
    <w:rsid w:val="0088394A"/>
    <w:rsid w:val="008860BD"/>
    <w:rsid w:val="00887399"/>
    <w:rsid w:val="0088779E"/>
    <w:rsid w:val="008912AF"/>
    <w:rsid w:val="00892114"/>
    <w:rsid w:val="00892CB9"/>
    <w:rsid w:val="008935CB"/>
    <w:rsid w:val="008A2050"/>
    <w:rsid w:val="008B0E7E"/>
    <w:rsid w:val="008B1B73"/>
    <w:rsid w:val="008B65BD"/>
    <w:rsid w:val="008B75DE"/>
    <w:rsid w:val="008B7900"/>
    <w:rsid w:val="008C03B7"/>
    <w:rsid w:val="008C71BF"/>
    <w:rsid w:val="008C7FE0"/>
    <w:rsid w:val="008D5717"/>
    <w:rsid w:val="008E44A9"/>
    <w:rsid w:val="008E5324"/>
    <w:rsid w:val="008E6B4D"/>
    <w:rsid w:val="008E6BFF"/>
    <w:rsid w:val="008F21AF"/>
    <w:rsid w:val="008F2400"/>
    <w:rsid w:val="008F61BA"/>
    <w:rsid w:val="008F6E3C"/>
    <w:rsid w:val="008F7C55"/>
    <w:rsid w:val="009014B1"/>
    <w:rsid w:val="00914A23"/>
    <w:rsid w:val="00917621"/>
    <w:rsid w:val="009177FE"/>
    <w:rsid w:val="00922253"/>
    <w:rsid w:val="0092530F"/>
    <w:rsid w:val="00930754"/>
    <w:rsid w:val="0093325D"/>
    <w:rsid w:val="00934F68"/>
    <w:rsid w:val="009355AC"/>
    <w:rsid w:val="00935F38"/>
    <w:rsid w:val="00937586"/>
    <w:rsid w:val="0094203D"/>
    <w:rsid w:val="00947889"/>
    <w:rsid w:val="009478BD"/>
    <w:rsid w:val="00957563"/>
    <w:rsid w:val="00960E98"/>
    <w:rsid w:val="00963A82"/>
    <w:rsid w:val="00972912"/>
    <w:rsid w:val="00976D1F"/>
    <w:rsid w:val="00981C81"/>
    <w:rsid w:val="00997147"/>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1B07"/>
    <w:rsid w:val="009F233B"/>
    <w:rsid w:val="00A05D16"/>
    <w:rsid w:val="00A0659F"/>
    <w:rsid w:val="00A079BA"/>
    <w:rsid w:val="00A14E8C"/>
    <w:rsid w:val="00A20C70"/>
    <w:rsid w:val="00A33875"/>
    <w:rsid w:val="00A35DC3"/>
    <w:rsid w:val="00A360A1"/>
    <w:rsid w:val="00A402B3"/>
    <w:rsid w:val="00A40C14"/>
    <w:rsid w:val="00A544B7"/>
    <w:rsid w:val="00A618CF"/>
    <w:rsid w:val="00A62770"/>
    <w:rsid w:val="00A62EEB"/>
    <w:rsid w:val="00A660FF"/>
    <w:rsid w:val="00A73395"/>
    <w:rsid w:val="00A771E3"/>
    <w:rsid w:val="00A81C4F"/>
    <w:rsid w:val="00A823EA"/>
    <w:rsid w:val="00A82B4C"/>
    <w:rsid w:val="00A863B5"/>
    <w:rsid w:val="00A877A7"/>
    <w:rsid w:val="00A93A4C"/>
    <w:rsid w:val="00A94D5D"/>
    <w:rsid w:val="00AA1D9B"/>
    <w:rsid w:val="00AA2543"/>
    <w:rsid w:val="00AA3804"/>
    <w:rsid w:val="00AA53EE"/>
    <w:rsid w:val="00AA55C2"/>
    <w:rsid w:val="00AB0ACA"/>
    <w:rsid w:val="00AB1D41"/>
    <w:rsid w:val="00AB58B3"/>
    <w:rsid w:val="00AC27A7"/>
    <w:rsid w:val="00AC5E9A"/>
    <w:rsid w:val="00AC704B"/>
    <w:rsid w:val="00AD553E"/>
    <w:rsid w:val="00AD5848"/>
    <w:rsid w:val="00AD7FDB"/>
    <w:rsid w:val="00AE5ADA"/>
    <w:rsid w:val="00AF5CC6"/>
    <w:rsid w:val="00AF6145"/>
    <w:rsid w:val="00B01386"/>
    <w:rsid w:val="00B016F3"/>
    <w:rsid w:val="00B01915"/>
    <w:rsid w:val="00B01BB5"/>
    <w:rsid w:val="00B026CC"/>
    <w:rsid w:val="00B032BE"/>
    <w:rsid w:val="00B04AF4"/>
    <w:rsid w:val="00B05214"/>
    <w:rsid w:val="00B14E17"/>
    <w:rsid w:val="00B30D97"/>
    <w:rsid w:val="00B31074"/>
    <w:rsid w:val="00B3181A"/>
    <w:rsid w:val="00B33515"/>
    <w:rsid w:val="00B35A7C"/>
    <w:rsid w:val="00B44ECD"/>
    <w:rsid w:val="00B450D1"/>
    <w:rsid w:val="00B536D6"/>
    <w:rsid w:val="00B53D47"/>
    <w:rsid w:val="00B54A25"/>
    <w:rsid w:val="00B618C3"/>
    <w:rsid w:val="00B63652"/>
    <w:rsid w:val="00B668B0"/>
    <w:rsid w:val="00B70F5C"/>
    <w:rsid w:val="00B71873"/>
    <w:rsid w:val="00B75AE5"/>
    <w:rsid w:val="00B800C0"/>
    <w:rsid w:val="00B8132B"/>
    <w:rsid w:val="00B84C5A"/>
    <w:rsid w:val="00B858F5"/>
    <w:rsid w:val="00B93668"/>
    <w:rsid w:val="00B97650"/>
    <w:rsid w:val="00BA68C6"/>
    <w:rsid w:val="00BB12F1"/>
    <w:rsid w:val="00BB276E"/>
    <w:rsid w:val="00BB3FEE"/>
    <w:rsid w:val="00BB5EB0"/>
    <w:rsid w:val="00BC245A"/>
    <w:rsid w:val="00BD16FA"/>
    <w:rsid w:val="00BD41C3"/>
    <w:rsid w:val="00BD488B"/>
    <w:rsid w:val="00BD5F9B"/>
    <w:rsid w:val="00BD7CCC"/>
    <w:rsid w:val="00BE002A"/>
    <w:rsid w:val="00BE0283"/>
    <w:rsid w:val="00BE1BC9"/>
    <w:rsid w:val="00BE5CDA"/>
    <w:rsid w:val="00BE608F"/>
    <w:rsid w:val="00BF23BB"/>
    <w:rsid w:val="00BF33DD"/>
    <w:rsid w:val="00BF5755"/>
    <w:rsid w:val="00BF684B"/>
    <w:rsid w:val="00C016F3"/>
    <w:rsid w:val="00C10683"/>
    <w:rsid w:val="00C15193"/>
    <w:rsid w:val="00C15609"/>
    <w:rsid w:val="00C15F6A"/>
    <w:rsid w:val="00C217A7"/>
    <w:rsid w:val="00C23EA7"/>
    <w:rsid w:val="00C256F3"/>
    <w:rsid w:val="00C270A2"/>
    <w:rsid w:val="00C315B5"/>
    <w:rsid w:val="00C35E28"/>
    <w:rsid w:val="00C426AF"/>
    <w:rsid w:val="00C469C1"/>
    <w:rsid w:val="00C50659"/>
    <w:rsid w:val="00C51B39"/>
    <w:rsid w:val="00C5338A"/>
    <w:rsid w:val="00C54EF9"/>
    <w:rsid w:val="00C56BBF"/>
    <w:rsid w:val="00C572AA"/>
    <w:rsid w:val="00C575E6"/>
    <w:rsid w:val="00C57A9A"/>
    <w:rsid w:val="00C6016A"/>
    <w:rsid w:val="00C60B3F"/>
    <w:rsid w:val="00C623EB"/>
    <w:rsid w:val="00C64C6B"/>
    <w:rsid w:val="00C6588D"/>
    <w:rsid w:val="00C66F2E"/>
    <w:rsid w:val="00C6785C"/>
    <w:rsid w:val="00C70FD1"/>
    <w:rsid w:val="00C72B76"/>
    <w:rsid w:val="00C733AA"/>
    <w:rsid w:val="00C7637F"/>
    <w:rsid w:val="00C83027"/>
    <w:rsid w:val="00C84B8A"/>
    <w:rsid w:val="00C85E65"/>
    <w:rsid w:val="00C87CA1"/>
    <w:rsid w:val="00C911B4"/>
    <w:rsid w:val="00C91B3B"/>
    <w:rsid w:val="00C94262"/>
    <w:rsid w:val="00C95A92"/>
    <w:rsid w:val="00C976E1"/>
    <w:rsid w:val="00CA148E"/>
    <w:rsid w:val="00CA3A9A"/>
    <w:rsid w:val="00CA61C5"/>
    <w:rsid w:val="00CB6BC1"/>
    <w:rsid w:val="00CB7021"/>
    <w:rsid w:val="00CD2498"/>
    <w:rsid w:val="00CD3294"/>
    <w:rsid w:val="00CD4524"/>
    <w:rsid w:val="00CD784D"/>
    <w:rsid w:val="00CF3A1C"/>
    <w:rsid w:val="00CF40F8"/>
    <w:rsid w:val="00CF6799"/>
    <w:rsid w:val="00D008DA"/>
    <w:rsid w:val="00D019EE"/>
    <w:rsid w:val="00D0416F"/>
    <w:rsid w:val="00D05851"/>
    <w:rsid w:val="00D10FED"/>
    <w:rsid w:val="00D11736"/>
    <w:rsid w:val="00D12EE8"/>
    <w:rsid w:val="00D14CDF"/>
    <w:rsid w:val="00D15FF1"/>
    <w:rsid w:val="00D167F4"/>
    <w:rsid w:val="00D2092A"/>
    <w:rsid w:val="00D2216D"/>
    <w:rsid w:val="00D25352"/>
    <w:rsid w:val="00D3063B"/>
    <w:rsid w:val="00D31A6F"/>
    <w:rsid w:val="00D353D1"/>
    <w:rsid w:val="00D367DB"/>
    <w:rsid w:val="00D36E05"/>
    <w:rsid w:val="00D44AC9"/>
    <w:rsid w:val="00D44F27"/>
    <w:rsid w:val="00D45304"/>
    <w:rsid w:val="00D46165"/>
    <w:rsid w:val="00D461C7"/>
    <w:rsid w:val="00D50424"/>
    <w:rsid w:val="00D525C9"/>
    <w:rsid w:val="00D57D3E"/>
    <w:rsid w:val="00D76249"/>
    <w:rsid w:val="00D849D4"/>
    <w:rsid w:val="00D95D17"/>
    <w:rsid w:val="00D977FD"/>
    <w:rsid w:val="00DA1633"/>
    <w:rsid w:val="00DA38A7"/>
    <w:rsid w:val="00DA7D12"/>
    <w:rsid w:val="00DB1B7A"/>
    <w:rsid w:val="00DC23CF"/>
    <w:rsid w:val="00DC6562"/>
    <w:rsid w:val="00DD40E1"/>
    <w:rsid w:val="00DE130D"/>
    <w:rsid w:val="00DE24CF"/>
    <w:rsid w:val="00DE407C"/>
    <w:rsid w:val="00DE7C7D"/>
    <w:rsid w:val="00DF2992"/>
    <w:rsid w:val="00DF2D0C"/>
    <w:rsid w:val="00E00058"/>
    <w:rsid w:val="00E01B9D"/>
    <w:rsid w:val="00E0468F"/>
    <w:rsid w:val="00E04F5E"/>
    <w:rsid w:val="00E050AF"/>
    <w:rsid w:val="00E0522E"/>
    <w:rsid w:val="00E120F4"/>
    <w:rsid w:val="00E17172"/>
    <w:rsid w:val="00E3181C"/>
    <w:rsid w:val="00E3280A"/>
    <w:rsid w:val="00E372AF"/>
    <w:rsid w:val="00E37D68"/>
    <w:rsid w:val="00E40EAE"/>
    <w:rsid w:val="00E436AC"/>
    <w:rsid w:val="00E44F7A"/>
    <w:rsid w:val="00E44FF8"/>
    <w:rsid w:val="00E470FA"/>
    <w:rsid w:val="00E472AC"/>
    <w:rsid w:val="00E5066A"/>
    <w:rsid w:val="00E52CF9"/>
    <w:rsid w:val="00E63F34"/>
    <w:rsid w:val="00E63FEA"/>
    <w:rsid w:val="00E66F21"/>
    <w:rsid w:val="00E6715A"/>
    <w:rsid w:val="00E75DC9"/>
    <w:rsid w:val="00E81610"/>
    <w:rsid w:val="00E84910"/>
    <w:rsid w:val="00E85B28"/>
    <w:rsid w:val="00E91976"/>
    <w:rsid w:val="00E93D88"/>
    <w:rsid w:val="00E947A6"/>
    <w:rsid w:val="00E97A4A"/>
    <w:rsid w:val="00E97FC7"/>
    <w:rsid w:val="00EA0690"/>
    <w:rsid w:val="00EA3956"/>
    <w:rsid w:val="00EA7136"/>
    <w:rsid w:val="00EB325A"/>
    <w:rsid w:val="00EC02A5"/>
    <w:rsid w:val="00EC176B"/>
    <w:rsid w:val="00EC33CD"/>
    <w:rsid w:val="00EC5BE5"/>
    <w:rsid w:val="00ED2650"/>
    <w:rsid w:val="00ED721A"/>
    <w:rsid w:val="00EE393D"/>
    <w:rsid w:val="00EF01CF"/>
    <w:rsid w:val="00EF5E63"/>
    <w:rsid w:val="00EF6A47"/>
    <w:rsid w:val="00EF7AF9"/>
    <w:rsid w:val="00F00952"/>
    <w:rsid w:val="00F01495"/>
    <w:rsid w:val="00F10138"/>
    <w:rsid w:val="00F13F92"/>
    <w:rsid w:val="00F22ECA"/>
    <w:rsid w:val="00F240E8"/>
    <w:rsid w:val="00F244FA"/>
    <w:rsid w:val="00F31593"/>
    <w:rsid w:val="00F366A2"/>
    <w:rsid w:val="00F44F43"/>
    <w:rsid w:val="00F450E1"/>
    <w:rsid w:val="00F50DF4"/>
    <w:rsid w:val="00F555BC"/>
    <w:rsid w:val="00F57AFE"/>
    <w:rsid w:val="00F6278E"/>
    <w:rsid w:val="00F63C41"/>
    <w:rsid w:val="00F63E96"/>
    <w:rsid w:val="00F64CC8"/>
    <w:rsid w:val="00F65DEC"/>
    <w:rsid w:val="00F701E3"/>
    <w:rsid w:val="00F71008"/>
    <w:rsid w:val="00F71F8C"/>
    <w:rsid w:val="00F80821"/>
    <w:rsid w:val="00F86AD4"/>
    <w:rsid w:val="00F935CA"/>
    <w:rsid w:val="00FA0113"/>
    <w:rsid w:val="00FA02B6"/>
    <w:rsid w:val="00FA12B2"/>
    <w:rsid w:val="00FA5F4A"/>
    <w:rsid w:val="00FA7610"/>
    <w:rsid w:val="00FB02BD"/>
    <w:rsid w:val="00FB398F"/>
    <w:rsid w:val="00FB4EF8"/>
    <w:rsid w:val="00FB54AE"/>
    <w:rsid w:val="00FB56EB"/>
    <w:rsid w:val="00FB709A"/>
    <w:rsid w:val="00FB78DD"/>
    <w:rsid w:val="00FC3EF3"/>
    <w:rsid w:val="00FC5D35"/>
    <w:rsid w:val="00FD2049"/>
    <w:rsid w:val="00FD2140"/>
    <w:rsid w:val="00FD5B5F"/>
    <w:rsid w:val="00FD5BDE"/>
    <w:rsid w:val="00FD68EC"/>
    <w:rsid w:val="00FE24A5"/>
    <w:rsid w:val="00FE3076"/>
    <w:rsid w:val="00FE31E5"/>
    <w:rsid w:val="00FE412B"/>
    <w:rsid w:val="00FE6C7B"/>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9FE4A"/>
  <w15:chartTrackingRefBased/>
  <w15:docId w15:val="{23F8D366-2F20-47CE-A254-0C17E6D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536D6"/>
    <w:rPr>
      <w:color w:val="954F72"/>
      <w:u w:val="single"/>
    </w:rPr>
  </w:style>
  <w:style w:type="character" w:styleId="UnresolvedMention">
    <w:name w:val="Unresolved Mention"/>
    <w:uiPriority w:val="99"/>
    <w:semiHidden/>
    <w:unhideWhenUsed/>
    <w:rsid w:val="00B5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apageorgi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Price%20Indices__" TargetMode="Externa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6937</CharactersWithSpaces>
  <SharedDoc>false</SharedDoc>
  <HLinks>
    <vt:vector size="42" baseType="variant">
      <vt:variant>
        <vt:i4>2883594</vt:i4>
      </vt:variant>
      <vt:variant>
        <vt:i4>15</vt:i4>
      </vt:variant>
      <vt:variant>
        <vt:i4>0</vt:i4>
      </vt:variant>
      <vt:variant>
        <vt:i4>5</vt:i4>
      </vt:variant>
      <vt:variant>
        <vt:lpwstr>mailto:cpapageorgiou@cystat.mof.gov.cy</vt:lpwstr>
      </vt:variant>
      <vt:variant>
        <vt:lpwstr/>
      </vt:variant>
      <vt:variant>
        <vt:i4>1179738</vt:i4>
      </vt:variant>
      <vt:variant>
        <vt:i4>12</vt:i4>
      </vt:variant>
      <vt:variant>
        <vt:i4>0</vt:i4>
      </vt:variant>
      <vt:variant>
        <vt:i4>5</vt:i4>
      </vt:variant>
      <vt:variant>
        <vt:lpwstr>https://www.cystat.gov.cy/el/MethodologicalDetails?m=2091</vt:lpwstr>
      </vt:variant>
      <vt:variant>
        <vt:lpwstr/>
      </vt:variant>
      <vt:variant>
        <vt:i4>4259922</vt:i4>
      </vt:variant>
      <vt:variant>
        <vt:i4>9</vt:i4>
      </vt:variant>
      <vt:variant>
        <vt:i4>0</vt:i4>
      </vt:variant>
      <vt:variant>
        <vt:i4>5</vt:i4>
      </vt:variant>
      <vt:variant>
        <vt:lpwstr>https://www.cystat.gov.cy/el/KeyFiguresList?s=47</vt:lpwstr>
      </vt:variant>
      <vt:variant>
        <vt:lpwstr/>
      </vt:variant>
      <vt:variant>
        <vt:i4>786514</vt:i4>
      </vt:variant>
      <vt:variant>
        <vt:i4>6</vt:i4>
      </vt:variant>
      <vt:variant>
        <vt:i4>0</vt:i4>
      </vt:variant>
      <vt:variant>
        <vt:i4>5</vt:i4>
      </vt:variant>
      <vt:variant>
        <vt:lpwstr>https://cystatdb.cystat.gov.cy/pxweb/el/8.CYSTAT-DB/8.CYSTAT-DB__Price Indices__</vt:lpwstr>
      </vt:variant>
      <vt:variant>
        <vt:lpwstr/>
      </vt:variant>
      <vt:variant>
        <vt:i4>5046338</vt:i4>
      </vt:variant>
      <vt:variant>
        <vt:i4>3</vt:i4>
      </vt:variant>
      <vt:variant>
        <vt:i4>0</vt:i4>
      </vt:variant>
      <vt:variant>
        <vt:i4>5</vt:i4>
      </vt:variant>
      <vt:variant>
        <vt:lpwstr>https://www.cystat.gov.cy/el/SubthemeStatistics?s=47</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19</cp:revision>
  <cp:lastPrinted>2016-09-28T08:22:00Z</cp:lastPrinted>
  <dcterms:created xsi:type="dcterms:W3CDTF">2023-04-19T10:02:00Z</dcterms:created>
  <dcterms:modified xsi:type="dcterms:W3CDTF">2023-05-17T08:52:00Z</dcterms:modified>
</cp:coreProperties>
</file>