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3C3F" w14:textId="77777777" w:rsidR="00AF5CC6" w:rsidRPr="00F06D07" w:rsidRDefault="00AF5CC6" w:rsidP="00AF5CC6">
      <w:pPr>
        <w:jc w:val="right"/>
        <w:rPr>
          <w:rFonts w:ascii="Verdana" w:hAnsi="Verdana" w:cs="Arial"/>
          <w:sz w:val="18"/>
          <w:szCs w:val="18"/>
        </w:rPr>
      </w:pPr>
    </w:p>
    <w:p w14:paraId="68993345" w14:textId="77777777" w:rsidR="00AF5CC6" w:rsidRPr="00A12E81" w:rsidRDefault="00AF5CC6" w:rsidP="008A0596">
      <w:pPr>
        <w:jc w:val="right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850DDF8" w14:textId="70BF1447" w:rsidR="00AF5CC6" w:rsidRDefault="00963346" w:rsidP="00AF5CC6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20</w:t>
      </w:r>
      <w:r w:rsidR="0079784F" w:rsidRPr="007D708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Μαΐου</w:t>
      </w:r>
      <w:r w:rsidR="0079784F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AF5CC6" w:rsidRPr="00936735">
        <w:rPr>
          <w:rFonts w:ascii="Verdana" w:eastAsia="Malgun Gothic" w:hAnsi="Verdana" w:cs="Arial"/>
          <w:sz w:val="18"/>
          <w:szCs w:val="18"/>
          <w:lang w:val="el-GR"/>
        </w:rPr>
        <w:t>20</w:t>
      </w:r>
      <w:r w:rsidR="00FD2AF7">
        <w:rPr>
          <w:rFonts w:ascii="Verdana" w:eastAsia="Malgun Gothic" w:hAnsi="Verdana" w:cs="Arial"/>
          <w:sz w:val="18"/>
          <w:szCs w:val="18"/>
          <w:lang w:val="el-GR"/>
        </w:rPr>
        <w:t>26</w:t>
      </w:r>
    </w:p>
    <w:p w14:paraId="31604F42" w14:textId="77777777" w:rsidR="00AF5CC6" w:rsidRDefault="00AF5CC6" w:rsidP="00AF5CC6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</w:p>
    <w:p w14:paraId="1F153A24" w14:textId="77777777" w:rsidR="00AF5CC6" w:rsidRPr="007A496F" w:rsidRDefault="00AF5CC6" w:rsidP="00AF5CC6">
      <w:pPr>
        <w:jc w:val="center"/>
        <w:rPr>
          <w:rFonts w:ascii="Verdana" w:eastAsia="Malgun Gothic" w:hAnsi="Verdana" w:cs="Arial"/>
          <w:b/>
          <w:lang w:val="el-GR"/>
        </w:rPr>
      </w:pPr>
      <w:r w:rsidRPr="00936735">
        <w:rPr>
          <w:rFonts w:ascii="Verdana" w:eastAsia="Malgun Gothic" w:hAnsi="Verdana" w:cs="Arial"/>
          <w:b/>
          <w:sz w:val="24"/>
          <w:szCs w:val="24"/>
          <w:lang w:val="el-GR"/>
        </w:rPr>
        <w:t>ΔΕΛΤΙΟ</w:t>
      </w:r>
      <w:r w:rsidRPr="00F06A85">
        <w:rPr>
          <w:rFonts w:ascii="Verdana" w:eastAsia="Malgun Gothic" w:hAnsi="Verdana" w:cs="Arial"/>
          <w:b/>
          <w:lang w:val="el-GR"/>
        </w:rPr>
        <w:t xml:space="preserve"> ΤΥΠΟΥ</w:t>
      </w:r>
    </w:p>
    <w:p w14:paraId="5A8AFFDB" w14:textId="77777777" w:rsidR="004702E4" w:rsidRPr="007A496F" w:rsidRDefault="004702E4" w:rsidP="00AF5CC6">
      <w:pPr>
        <w:jc w:val="center"/>
        <w:rPr>
          <w:rFonts w:ascii="Verdana" w:eastAsia="Malgun Gothic" w:hAnsi="Verdana" w:cs="Arial"/>
          <w:b/>
          <w:lang w:val="el-GR"/>
        </w:rPr>
      </w:pPr>
    </w:p>
    <w:p w14:paraId="0C642A8F" w14:textId="77777777" w:rsidR="00AF5CC6" w:rsidRPr="00FE5DDC" w:rsidRDefault="00AF5CC6" w:rsidP="00AF5CC6">
      <w:pPr>
        <w:pStyle w:val="Heading6"/>
        <w:jc w:val="left"/>
        <w:rPr>
          <w:rFonts w:ascii="Verdana" w:eastAsia="Malgun Gothic" w:hAnsi="Verdana" w:cs="Arial"/>
          <w:b w:val="0"/>
          <w:szCs w:val="22"/>
        </w:rPr>
      </w:pPr>
    </w:p>
    <w:p w14:paraId="79C15B41" w14:textId="2FB04B15" w:rsidR="00AF5CC6" w:rsidRPr="00FE5DDC" w:rsidRDefault="00AF5CC6" w:rsidP="00A77C83">
      <w:pPr>
        <w:pStyle w:val="Heading6"/>
        <w:jc w:val="left"/>
        <w:rPr>
          <w:rFonts w:ascii="Verdana" w:eastAsia="Malgun Gothic" w:hAnsi="Verdana" w:cs="Arial"/>
          <w:b w:val="0"/>
          <w:szCs w:val="22"/>
        </w:rPr>
      </w:pPr>
      <w:r w:rsidRPr="00FE5DDC">
        <w:rPr>
          <w:rFonts w:ascii="Verdana" w:eastAsia="Malgun Gothic" w:hAnsi="Verdana" w:cs="Arial"/>
          <w:b w:val="0"/>
          <w:szCs w:val="22"/>
        </w:rPr>
        <w:t>ΕΝΑΡΜΟΝΙΣΜΕΝΟΣ ΔΕΙΚΤΗΣ ΤΙΜΩΝ ΚΑΤΑΝΑΛΩΤΗ</w:t>
      </w:r>
      <w:r w:rsidR="00970822" w:rsidRPr="00970822">
        <w:rPr>
          <w:rFonts w:ascii="Verdana" w:eastAsia="Malgun Gothic" w:hAnsi="Verdana" w:cs="Arial"/>
          <w:b w:val="0"/>
          <w:szCs w:val="22"/>
        </w:rPr>
        <w:t xml:space="preserve"> </w:t>
      </w:r>
      <w:r w:rsidRPr="00FE5DDC">
        <w:rPr>
          <w:rFonts w:ascii="Verdana" w:eastAsia="Malgun Gothic" w:hAnsi="Verdana" w:cs="Arial"/>
          <w:b w:val="0"/>
          <w:szCs w:val="22"/>
        </w:rPr>
        <w:t>(</w:t>
      </w:r>
      <w:proofErr w:type="spellStart"/>
      <w:r w:rsidRPr="00FE5DDC">
        <w:rPr>
          <w:rFonts w:ascii="Verdana" w:eastAsia="Malgun Gothic" w:hAnsi="Verdana" w:cs="Arial"/>
          <w:b w:val="0"/>
          <w:szCs w:val="22"/>
        </w:rPr>
        <w:t>ΕνΔΤΚ</w:t>
      </w:r>
      <w:proofErr w:type="spellEnd"/>
      <w:r w:rsidRPr="00FE5DDC">
        <w:rPr>
          <w:rFonts w:ascii="Verdana" w:eastAsia="Malgun Gothic" w:hAnsi="Verdana" w:cs="Arial"/>
          <w:b w:val="0"/>
          <w:szCs w:val="22"/>
        </w:rPr>
        <w:t xml:space="preserve">): </w:t>
      </w:r>
      <w:r w:rsidR="00963346">
        <w:rPr>
          <w:rFonts w:ascii="Verdana" w:eastAsia="Malgun Gothic" w:hAnsi="Verdana" w:cs="Arial"/>
          <w:caps/>
          <w:szCs w:val="22"/>
        </w:rPr>
        <w:t>ΑΠΡΙΛΙΟΣ</w:t>
      </w:r>
      <w:r w:rsidR="00171AFE">
        <w:rPr>
          <w:rFonts w:ascii="Verdana" w:eastAsia="Malgun Gothic" w:hAnsi="Verdana" w:cs="Arial"/>
          <w:caps/>
          <w:szCs w:val="22"/>
        </w:rPr>
        <w:t xml:space="preserve"> </w:t>
      </w:r>
      <w:r w:rsidRPr="00FE5DDC">
        <w:rPr>
          <w:rFonts w:ascii="Verdana" w:eastAsia="Malgun Gothic" w:hAnsi="Verdana" w:cs="Arial"/>
          <w:szCs w:val="22"/>
        </w:rPr>
        <w:t>202</w:t>
      </w:r>
      <w:r w:rsidR="00FD2AF7">
        <w:rPr>
          <w:rFonts w:ascii="Verdana" w:eastAsia="Malgun Gothic" w:hAnsi="Verdana" w:cs="Arial"/>
          <w:szCs w:val="22"/>
        </w:rPr>
        <w:t>6</w:t>
      </w:r>
    </w:p>
    <w:p w14:paraId="09D6CC5F" w14:textId="77777777" w:rsidR="00AF5CC6" w:rsidRPr="00FE5DDC" w:rsidRDefault="00AF5CC6" w:rsidP="00AF5CC6">
      <w:pPr>
        <w:rPr>
          <w:rFonts w:ascii="Verdana" w:eastAsia="Malgun Gothic" w:hAnsi="Verdana" w:cs="Arial"/>
          <w:lang w:val="el-GR"/>
        </w:rPr>
      </w:pPr>
    </w:p>
    <w:p w14:paraId="106B0074" w14:textId="05D25B07" w:rsidR="00AF5CC6" w:rsidRPr="00FE5DDC" w:rsidRDefault="00AF5CC6" w:rsidP="00AF5CC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 w:rsidRPr="00FE5DDC">
        <w:rPr>
          <w:rFonts w:ascii="Verdana" w:eastAsia="Malgun Gothic" w:hAnsi="Verdana" w:cs="Arial"/>
          <w:b/>
          <w:lang w:val="el-GR"/>
        </w:rPr>
        <w:t>Ετήσια Μεταβολή</w:t>
      </w:r>
      <w:r w:rsidRPr="00963346">
        <w:rPr>
          <w:rFonts w:ascii="Verdana" w:eastAsia="Malgun Gothic" w:hAnsi="Verdana" w:cs="Arial"/>
          <w:b/>
          <w:color w:val="EE0000"/>
          <w:lang w:val="el-GR"/>
        </w:rPr>
        <w:t xml:space="preserve"> </w:t>
      </w:r>
      <w:r w:rsidR="00CF77B5" w:rsidRPr="00CF77B5">
        <w:rPr>
          <w:rFonts w:ascii="Verdana" w:eastAsia="Malgun Gothic" w:hAnsi="Verdana" w:cs="Arial"/>
          <w:b/>
          <w:lang w:val="el-GR"/>
        </w:rPr>
        <w:t>3</w:t>
      </w:r>
      <w:r w:rsidRPr="00CF77B5">
        <w:rPr>
          <w:rFonts w:ascii="Verdana" w:eastAsia="Malgun Gothic" w:hAnsi="Verdana" w:cs="Arial"/>
          <w:b/>
          <w:lang w:val="el-GR"/>
        </w:rPr>
        <w:t>,</w:t>
      </w:r>
      <w:r w:rsidR="00CF77B5" w:rsidRPr="00CF77B5">
        <w:rPr>
          <w:rFonts w:ascii="Verdana" w:eastAsia="Malgun Gothic" w:hAnsi="Verdana" w:cs="Arial"/>
          <w:b/>
          <w:lang w:val="el-GR"/>
        </w:rPr>
        <w:t>0</w:t>
      </w:r>
      <w:r w:rsidRPr="00CF77B5">
        <w:rPr>
          <w:rFonts w:ascii="Verdana" w:eastAsia="Malgun Gothic" w:hAnsi="Verdana" w:cs="Arial"/>
          <w:b/>
          <w:lang w:val="el-GR"/>
        </w:rPr>
        <w:t>%</w:t>
      </w:r>
    </w:p>
    <w:p w14:paraId="73FD0E7F" w14:textId="77777777" w:rsidR="00871E9E" w:rsidRPr="007A496F" w:rsidRDefault="00871E9E" w:rsidP="00AF5CC6">
      <w:pPr>
        <w:tabs>
          <w:tab w:val="left" w:pos="1080"/>
          <w:tab w:val="left" w:pos="6840"/>
        </w:tabs>
        <w:jc w:val="both"/>
        <w:rPr>
          <w:rFonts w:ascii="Verdana" w:hAnsi="Verdana" w:cs="Arial"/>
          <w:lang w:val="el-GR"/>
        </w:rPr>
      </w:pPr>
    </w:p>
    <w:p w14:paraId="62C77076" w14:textId="77777777" w:rsidR="004702E4" w:rsidRPr="007A496F" w:rsidRDefault="004702E4" w:rsidP="00AF5CC6">
      <w:pPr>
        <w:tabs>
          <w:tab w:val="left" w:pos="1080"/>
          <w:tab w:val="left" w:pos="6840"/>
        </w:tabs>
        <w:jc w:val="both"/>
        <w:rPr>
          <w:rFonts w:ascii="Verdana" w:hAnsi="Verdana" w:cs="Arial"/>
          <w:lang w:val="el-GR"/>
        </w:rPr>
      </w:pPr>
    </w:p>
    <w:p w14:paraId="4E220C5B" w14:textId="3390ADB0" w:rsidR="00CF6799" w:rsidRDefault="00AF5CC6" w:rsidP="00EF65D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Εναρμονισμένος 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Δείκτης Τιμών Καταναλωτή </w:t>
      </w:r>
      <w:r>
        <w:rPr>
          <w:rFonts w:ascii="Verdana" w:eastAsia="Malgun Gothic" w:hAnsi="Verdana" w:cs="Arial"/>
          <w:sz w:val="18"/>
          <w:szCs w:val="18"/>
          <w:lang w:val="el-GR"/>
        </w:rPr>
        <w:t>τον</w:t>
      </w:r>
      <w:r w:rsidR="004E3A6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63346">
        <w:rPr>
          <w:rFonts w:ascii="Verdana" w:eastAsia="Malgun Gothic" w:hAnsi="Verdana" w:cs="Arial"/>
          <w:sz w:val="18"/>
          <w:szCs w:val="18"/>
          <w:lang w:val="el-GR"/>
        </w:rPr>
        <w:t>Απρίλιο</w:t>
      </w:r>
      <w:r w:rsidR="00EB5A3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>20</w:t>
      </w:r>
      <w:r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FD2AF7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FF6287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αυξήθηκε κατά </w:t>
      </w:r>
      <w:r w:rsidR="00CF77B5" w:rsidRPr="00CF77B5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76654B">
        <w:rPr>
          <w:rFonts w:ascii="Verdana" w:eastAsia="Malgun Gothic" w:hAnsi="Verdana" w:cs="Arial"/>
          <w:sz w:val="18"/>
          <w:szCs w:val="18"/>
          <w:lang w:val="el-GR"/>
        </w:rPr>
        <w:t>,0</w:t>
      </w:r>
      <w:r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% </w:t>
      </w:r>
      <w:r>
        <w:rPr>
          <w:rFonts w:ascii="Verdana" w:eastAsia="Malgun Gothic" w:hAnsi="Verdana" w:cs="Arial"/>
          <w:sz w:val="18"/>
          <w:szCs w:val="18"/>
          <w:lang w:val="el-GR"/>
        </w:rPr>
        <w:t>σε σχέση με τον</w:t>
      </w:r>
      <w:r w:rsidR="00E94F4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63346">
        <w:rPr>
          <w:rFonts w:ascii="Verdana" w:eastAsia="Malgun Gothic" w:hAnsi="Verdana" w:cs="Arial"/>
          <w:sz w:val="18"/>
          <w:szCs w:val="18"/>
          <w:lang w:val="el-GR"/>
        </w:rPr>
        <w:t>Απρίλιο</w:t>
      </w:r>
      <w:r w:rsidR="00171AF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FD2AF7">
        <w:rPr>
          <w:rFonts w:ascii="Verdana" w:eastAsia="Malgun Gothic" w:hAnsi="Verdana" w:cs="Arial"/>
          <w:sz w:val="18"/>
          <w:szCs w:val="18"/>
          <w:lang w:val="el-GR"/>
        </w:rPr>
        <w:t>5</w:t>
      </w:r>
      <w:r>
        <w:rPr>
          <w:rFonts w:ascii="Verdana" w:eastAsia="Malgun Gothic" w:hAnsi="Verdana" w:cs="Arial"/>
          <w:sz w:val="18"/>
          <w:szCs w:val="18"/>
          <w:lang w:val="el-GR"/>
        </w:rPr>
        <w:t>, ενώ σε σχέση με τον προηγούμενο μήνα</w:t>
      </w:r>
      <w:r w:rsidR="007A496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929D3" w:rsidRPr="00CF77B5">
        <w:rPr>
          <w:rFonts w:ascii="Verdana" w:eastAsia="Malgun Gothic" w:hAnsi="Verdana" w:cs="Arial"/>
          <w:sz w:val="18"/>
          <w:szCs w:val="18"/>
          <w:lang w:val="el-GR"/>
        </w:rPr>
        <w:t>αυξή</w:t>
      </w:r>
      <w:r w:rsidR="00A812C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θηκε κατά </w:t>
      </w:r>
      <w:r w:rsidR="00CF77B5" w:rsidRPr="00CF77B5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A812C0" w:rsidRPr="00CF77B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CF77B5" w:rsidRPr="00CF77B5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0A1781" w:rsidRPr="00CF77B5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Pr="00CF77B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1B117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D876E0">
        <w:rPr>
          <w:rFonts w:ascii="Verdana" w:eastAsia="Malgun Gothic" w:hAnsi="Verdana" w:cs="Arial"/>
          <w:sz w:val="18"/>
          <w:szCs w:val="18"/>
          <w:lang w:val="el-GR"/>
        </w:rPr>
        <w:t>(</w:t>
      </w:r>
      <w:r>
        <w:rPr>
          <w:rFonts w:ascii="Verdana" w:eastAsia="Malgun Gothic" w:hAnsi="Verdana" w:cs="Arial"/>
          <w:sz w:val="18"/>
          <w:szCs w:val="18"/>
          <w:lang w:val="el-GR"/>
        </w:rPr>
        <w:t>Πίνακας 1)</w:t>
      </w:r>
    </w:p>
    <w:p w14:paraId="29175F4F" w14:textId="77777777" w:rsidR="00EB5A3F" w:rsidRDefault="00EB5A3F" w:rsidP="00EF65D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A61777E" w14:textId="77777777" w:rsidR="00E6491B" w:rsidRDefault="00E6491B" w:rsidP="00EF65D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3867704" w14:textId="6763E8CC" w:rsidR="00F10E2C" w:rsidRPr="00171AFE" w:rsidRDefault="00EA0DD5" w:rsidP="00C0713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050BB32D" wp14:editId="7523543F">
            <wp:extent cx="6054090" cy="4498975"/>
            <wp:effectExtent l="0" t="0" r="3810" b="0"/>
            <wp:docPr id="10091942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449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E0D60" w14:textId="4EEE5312" w:rsidR="00AF5CC6" w:rsidRPr="00C5332F" w:rsidRDefault="001B1170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366092"/>
          <w:sz w:val="16"/>
          <w:szCs w:val="16"/>
          <w:lang w:val="el-GR"/>
        </w:rPr>
      </w:pPr>
      <w:r w:rsidRPr="00C5332F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 </w:t>
      </w:r>
      <w:r w:rsidR="00AF5CC6" w:rsidRPr="00E502A1">
        <w:rPr>
          <w:rFonts w:ascii="Verdana" w:eastAsia="Malgun Gothic" w:hAnsi="Verdana" w:cs="Arial"/>
          <w:color w:val="558ED5"/>
          <w:sz w:val="16"/>
          <w:szCs w:val="16"/>
          <w:lang w:val="el-GR"/>
        </w:rPr>
        <w:t xml:space="preserve">Σημείωση: Ο </w:t>
      </w:r>
      <w:proofErr w:type="spellStart"/>
      <w:r w:rsidR="00AF5CC6" w:rsidRPr="00E502A1">
        <w:rPr>
          <w:rFonts w:ascii="Verdana" w:eastAsia="Malgun Gothic" w:hAnsi="Verdana" w:cs="Arial"/>
          <w:color w:val="558ED5"/>
          <w:sz w:val="16"/>
          <w:szCs w:val="16"/>
          <w:lang w:val="el-GR"/>
        </w:rPr>
        <w:t>ΕνΔΤΚ</w:t>
      </w:r>
      <w:proofErr w:type="spellEnd"/>
      <w:r w:rsidR="00AF5CC6" w:rsidRPr="00E502A1">
        <w:rPr>
          <w:rFonts w:ascii="Verdana" w:eastAsia="Malgun Gothic" w:hAnsi="Verdana" w:cs="Arial"/>
          <w:color w:val="558ED5"/>
          <w:sz w:val="16"/>
          <w:szCs w:val="16"/>
          <w:lang w:val="el-GR"/>
        </w:rPr>
        <w:t xml:space="preserve"> Ευρωζώνης για τον τελευταίο μήνα βασίζεται σε εκτίμηση της </w:t>
      </w:r>
      <w:r w:rsidR="00AF5CC6" w:rsidRPr="00E502A1">
        <w:rPr>
          <w:rFonts w:ascii="Verdana" w:eastAsia="Malgun Gothic" w:hAnsi="Verdana" w:cs="Arial"/>
          <w:color w:val="558ED5"/>
          <w:sz w:val="16"/>
          <w:szCs w:val="16"/>
          <w:lang w:val="en-GB"/>
        </w:rPr>
        <w:t>EUROSTAT</w:t>
      </w:r>
      <w:r w:rsidR="00AF5CC6" w:rsidRPr="00E502A1">
        <w:rPr>
          <w:rFonts w:ascii="Verdana" w:eastAsia="Malgun Gothic" w:hAnsi="Verdana" w:cs="Arial"/>
          <w:color w:val="558ED5"/>
          <w:sz w:val="16"/>
          <w:szCs w:val="16"/>
          <w:lang w:val="el-GR"/>
        </w:rPr>
        <w:t xml:space="preserve"> (</w:t>
      </w:r>
      <w:r w:rsidR="00AF5CC6" w:rsidRPr="00E502A1">
        <w:rPr>
          <w:rFonts w:ascii="Verdana" w:eastAsia="Malgun Gothic" w:hAnsi="Verdana" w:cs="Arial"/>
          <w:color w:val="558ED5"/>
          <w:sz w:val="16"/>
          <w:szCs w:val="16"/>
          <w:lang w:val="en-GB"/>
        </w:rPr>
        <w:t>flash</w:t>
      </w:r>
      <w:r w:rsidR="00AF5CC6" w:rsidRPr="00E502A1">
        <w:rPr>
          <w:rFonts w:ascii="Verdana" w:eastAsia="Malgun Gothic" w:hAnsi="Verdana" w:cs="Arial"/>
          <w:color w:val="558ED5"/>
          <w:sz w:val="16"/>
          <w:szCs w:val="16"/>
          <w:lang w:val="el-GR"/>
        </w:rPr>
        <w:t xml:space="preserve"> </w:t>
      </w:r>
      <w:r w:rsidR="00AF5CC6" w:rsidRPr="00E502A1">
        <w:rPr>
          <w:rFonts w:ascii="Verdana" w:eastAsia="Malgun Gothic" w:hAnsi="Verdana" w:cs="Arial"/>
          <w:color w:val="558ED5"/>
          <w:sz w:val="16"/>
          <w:szCs w:val="16"/>
          <w:lang w:val="en-GB"/>
        </w:rPr>
        <w:t>estimate</w:t>
      </w:r>
      <w:r w:rsidR="00AF5CC6" w:rsidRPr="00C5332F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). </w:t>
      </w:r>
    </w:p>
    <w:p w14:paraId="01F3CC95" w14:textId="77777777" w:rsidR="00AF5CC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0FC2628" w14:textId="77777777" w:rsidR="00AF5CC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4507E95" w14:textId="77777777" w:rsidR="008C03B7" w:rsidRDefault="008C03B7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8E1F931" w14:textId="77777777" w:rsidR="00EB5A3F" w:rsidRDefault="00EB5A3F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F1517D9" w14:textId="77777777" w:rsidR="008774AA" w:rsidRPr="007A496F" w:rsidRDefault="008774AA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0919790" w14:textId="77777777" w:rsidR="00AF5CC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C704E2C" w14:textId="3ED8C894" w:rsidR="00AF5CC6" w:rsidRPr="00C23701" w:rsidRDefault="00AF5CC6" w:rsidP="00114DB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lastRenderedPageBreak/>
        <w:t>Συγκριτικά με τον</w:t>
      </w:r>
      <w:r w:rsidR="00114DB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63346">
        <w:rPr>
          <w:rFonts w:ascii="Verdana" w:eastAsia="Malgun Gothic" w:hAnsi="Verdana" w:cs="Arial"/>
          <w:sz w:val="18"/>
          <w:szCs w:val="18"/>
          <w:lang w:val="el-GR"/>
        </w:rPr>
        <w:t>Απρίλιο</w:t>
      </w:r>
      <w:r w:rsidR="002658F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590727" w:rsidRPr="00590727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2B4E6C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9E502E" w:rsidRPr="00CF77B5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="00007254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F77B5">
        <w:rPr>
          <w:rFonts w:ascii="Verdana" w:eastAsia="Malgun Gothic" w:hAnsi="Verdana" w:cs="Arial"/>
          <w:sz w:val="18"/>
          <w:szCs w:val="18"/>
          <w:lang w:val="el-GR"/>
        </w:rPr>
        <w:t>κατηγορί</w:t>
      </w:r>
      <w:r w:rsidR="009E502E" w:rsidRPr="00CF77B5">
        <w:rPr>
          <w:rFonts w:ascii="Verdana" w:eastAsia="Malgun Gothic" w:hAnsi="Verdana" w:cs="Arial"/>
          <w:sz w:val="18"/>
          <w:szCs w:val="18"/>
          <w:lang w:val="el-GR"/>
        </w:rPr>
        <w:t>ες</w:t>
      </w:r>
      <w:bookmarkStart w:id="0" w:name="_Hlk169516628"/>
      <w:r w:rsidR="00CF77B5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D5897" w:rsidRPr="00CF77B5">
        <w:rPr>
          <w:rFonts w:ascii="Verdana" w:eastAsia="Malgun Gothic" w:hAnsi="Verdana" w:cs="Arial"/>
          <w:i/>
          <w:iCs/>
          <w:sz w:val="18"/>
          <w:szCs w:val="18"/>
          <w:lang w:val="el-GR"/>
        </w:rPr>
        <w:t>Α</w:t>
      </w:r>
      <w:r w:rsidR="00DA1B90" w:rsidRPr="00CF77B5">
        <w:rPr>
          <w:rFonts w:ascii="Verdana" w:eastAsia="Malgun Gothic" w:hAnsi="Verdana" w:cs="Arial"/>
          <w:i/>
          <w:iCs/>
          <w:sz w:val="18"/>
          <w:szCs w:val="18"/>
          <w:lang w:val="el-GR"/>
        </w:rPr>
        <w:t>ναψυχή</w:t>
      </w:r>
      <w:r w:rsidR="00590727" w:rsidRPr="00CF77B5">
        <w:rPr>
          <w:rFonts w:ascii="Verdana" w:eastAsia="Malgun Gothic" w:hAnsi="Verdana" w:cs="Arial"/>
          <w:i/>
          <w:iCs/>
          <w:sz w:val="18"/>
          <w:szCs w:val="18"/>
          <w:lang w:val="el-GR"/>
        </w:rPr>
        <w:t>, Αθλητισμός</w:t>
      </w:r>
      <w:r w:rsidR="00DA1B90" w:rsidRPr="00CF77B5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και Πολιτισμός</w:t>
      </w:r>
      <w:r w:rsidR="00DA1B9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14DB4" w:rsidRPr="00CF77B5">
        <w:rPr>
          <w:rFonts w:ascii="Verdana" w:eastAsia="Malgun Gothic" w:hAnsi="Verdana" w:cs="Arial"/>
          <w:iCs/>
          <w:sz w:val="18"/>
          <w:szCs w:val="18"/>
          <w:lang w:val="el-GR"/>
        </w:rPr>
        <w:t>(</w:t>
      </w:r>
      <w:r w:rsidR="00CF77B5" w:rsidRPr="00CF77B5">
        <w:rPr>
          <w:rFonts w:ascii="Verdana" w:eastAsia="Malgun Gothic" w:hAnsi="Verdana" w:cs="Arial"/>
          <w:iCs/>
          <w:sz w:val="18"/>
          <w:szCs w:val="18"/>
          <w:lang w:val="el-GR"/>
        </w:rPr>
        <w:t>6</w:t>
      </w:r>
      <w:r w:rsidR="00114DB4" w:rsidRPr="00CF77B5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CF77B5" w:rsidRPr="00CF77B5">
        <w:rPr>
          <w:rFonts w:ascii="Verdana" w:eastAsia="Malgun Gothic" w:hAnsi="Verdana" w:cs="Arial"/>
          <w:iCs/>
          <w:sz w:val="18"/>
          <w:szCs w:val="18"/>
          <w:lang w:val="el-GR"/>
        </w:rPr>
        <w:t>8</w:t>
      </w:r>
      <w:r w:rsidR="00114DB4" w:rsidRPr="00CF77B5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bookmarkEnd w:id="0"/>
      <w:r w:rsidR="00CF77B5" w:rsidRPr="00CF77B5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και </w:t>
      </w:r>
      <w:r w:rsidR="00CF77B5" w:rsidRPr="00CF77B5">
        <w:rPr>
          <w:rFonts w:ascii="Verdana" w:eastAsia="Malgun Gothic" w:hAnsi="Verdana" w:cs="Arial"/>
          <w:i/>
          <w:sz w:val="18"/>
          <w:szCs w:val="18"/>
          <w:lang w:val="el-GR"/>
        </w:rPr>
        <w:t xml:space="preserve">Μεταφορές </w:t>
      </w:r>
      <w:r w:rsidR="00CF77B5" w:rsidRPr="00CF77B5">
        <w:rPr>
          <w:rFonts w:ascii="Verdana" w:eastAsia="Malgun Gothic" w:hAnsi="Verdana" w:cs="Arial"/>
          <w:iCs/>
          <w:sz w:val="18"/>
          <w:szCs w:val="18"/>
          <w:lang w:val="el-GR"/>
        </w:rPr>
        <w:t>(6,7%),</w:t>
      </w:r>
      <w:r w:rsidR="00AD5897" w:rsidRPr="00CF77B5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</w:t>
      </w:r>
      <w:r w:rsidRPr="00CF77B5">
        <w:rPr>
          <w:rFonts w:ascii="Verdana" w:eastAsia="Malgun Gothic" w:hAnsi="Verdana" w:cs="Arial"/>
          <w:sz w:val="18"/>
          <w:szCs w:val="18"/>
          <w:lang w:val="el-GR"/>
        </w:rPr>
        <w:t>παρουσίασ</w:t>
      </w:r>
      <w:r w:rsidR="009E502E" w:rsidRPr="00CF77B5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τ</w:t>
      </w:r>
      <w:r w:rsidR="00007254" w:rsidRPr="00CF77B5">
        <w:rPr>
          <w:rFonts w:ascii="Verdana" w:eastAsia="Malgun Gothic" w:hAnsi="Verdana" w:cs="Arial"/>
          <w:sz w:val="18"/>
          <w:szCs w:val="18"/>
          <w:lang w:val="el-GR"/>
        </w:rPr>
        <w:t>ην</w:t>
      </w:r>
      <w:r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007254" w:rsidRPr="00CF77B5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F2415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θετική </w:t>
      </w:r>
      <w:r w:rsidRPr="00CF77B5">
        <w:rPr>
          <w:rFonts w:ascii="Verdana" w:eastAsia="Malgun Gothic" w:hAnsi="Verdana" w:cs="Arial"/>
          <w:sz w:val="18"/>
          <w:szCs w:val="18"/>
          <w:lang w:val="el-GR"/>
        </w:rPr>
        <w:t>μεταβολ</w:t>
      </w:r>
      <w:r w:rsidR="00007254" w:rsidRPr="00CF77B5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E74ACD" w:rsidRPr="00CF77B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812C0" w:rsidRPr="00CF77B5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A812C0" w:rsidRPr="00CF77B5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αρνητικ</w:t>
      </w:r>
      <w:r w:rsidR="00A812C0" w:rsidRPr="00CF77B5">
        <w:rPr>
          <w:rFonts w:ascii="Verdana" w:eastAsia="Malgun Gothic" w:hAnsi="Verdana" w:cs="Arial"/>
          <w:sz w:val="18"/>
          <w:szCs w:val="18"/>
          <w:lang w:val="el-GR"/>
        </w:rPr>
        <w:t>ές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A812C0" w:rsidRPr="00CF77B5">
        <w:rPr>
          <w:rFonts w:ascii="Verdana" w:eastAsia="Malgun Gothic" w:hAnsi="Verdana" w:cs="Arial"/>
          <w:sz w:val="18"/>
          <w:szCs w:val="18"/>
          <w:lang w:val="el-GR"/>
        </w:rPr>
        <w:t>ές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καταγράφηκ</w:t>
      </w:r>
      <w:r w:rsidR="00A812C0" w:rsidRPr="00CF77B5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812C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στις 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>κατηγορί</w:t>
      </w:r>
      <w:r w:rsidR="00A812C0" w:rsidRPr="00CF77B5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01870" w:rsidRPr="00CF77B5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AA5052" w:rsidRPr="00CF77B5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="00AD5897" w:rsidRPr="00CF77B5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A75A50" w:rsidRPr="00A75A50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="00601870" w:rsidRPr="00CF77B5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4870FD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και</w:t>
      </w:r>
      <w:r w:rsidR="004870FD" w:rsidRPr="00CF77B5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CF77B5" w:rsidRPr="00CF77B5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Ενημέρωση και Επικοινωνία </w:t>
      </w:r>
      <w:r w:rsidR="00CF77B5" w:rsidRPr="00CF77B5">
        <w:rPr>
          <w:rFonts w:ascii="Verdana" w:eastAsia="Malgun Gothic" w:hAnsi="Verdana" w:cs="Arial"/>
          <w:sz w:val="18"/>
          <w:szCs w:val="18"/>
          <w:lang w:val="el-GR"/>
        </w:rPr>
        <w:t>(-2,</w:t>
      </w:r>
      <w:r w:rsidR="00A75A50" w:rsidRPr="00A75A50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CF77B5" w:rsidRPr="00CF77B5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1B1170" w:rsidRPr="00CF77B5">
        <w:rPr>
          <w:rFonts w:ascii="Verdana" w:eastAsia="Times New Roman" w:hAnsi="Verdana" w:cs="Arial"/>
          <w:sz w:val="18"/>
          <w:szCs w:val="18"/>
          <w:lang w:val="el-GR"/>
        </w:rPr>
        <w:t>.</w:t>
      </w:r>
      <w:r w:rsidR="00E74ACD" w:rsidRPr="00CF77B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(Πίνακας </w:t>
      </w:r>
      <w:r>
        <w:rPr>
          <w:rFonts w:ascii="Verdana" w:eastAsia="Malgun Gothic" w:hAnsi="Verdana" w:cs="Arial"/>
          <w:sz w:val="18"/>
          <w:szCs w:val="18"/>
          <w:lang w:val="el-GR"/>
        </w:rPr>
        <w:t>1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>)</w:t>
      </w:r>
    </w:p>
    <w:p w14:paraId="6B73C62C" w14:textId="77777777" w:rsidR="00AF5CC6" w:rsidRPr="00C23701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3867E2B" w14:textId="20817716" w:rsidR="00AF5CC6" w:rsidRDefault="00AF5CC6" w:rsidP="0024027B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Σε σχέση με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τον </w:t>
      </w:r>
      <w:r w:rsidR="00963346">
        <w:rPr>
          <w:rFonts w:ascii="Verdana" w:eastAsia="Malgun Gothic" w:hAnsi="Verdana" w:cs="Arial"/>
          <w:sz w:val="18"/>
          <w:szCs w:val="18"/>
          <w:lang w:val="el-GR"/>
        </w:rPr>
        <w:t>Μάρτιο</w:t>
      </w:r>
      <w:r w:rsidR="0031762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20</w:t>
      </w:r>
      <w:r w:rsidR="00E74ACD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4870FD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5C380F" w:rsidRPr="0082105F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Pr="0082105F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5C380F" w:rsidRPr="0082105F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3439A8" w:rsidRPr="0082105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82105F">
        <w:rPr>
          <w:rFonts w:ascii="Verdana" w:eastAsia="Malgun Gothic" w:hAnsi="Verdana" w:cs="Arial"/>
          <w:sz w:val="18"/>
          <w:szCs w:val="18"/>
          <w:lang w:val="el-GR"/>
        </w:rPr>
        <w:t>μεταβολ</w:t>
      </w:r>
      <w:r w:rsidR="005C380F" w:rsidRPr="0082105F">
        <w:rPr>
          <w:rFonts w:ascii="Verdana" w:eastAsia="Malgun Gothic" w:hAnsi="Verdana" w:cs="Arial"/>
          <w:sz w:val="18"/>
          <w:szCs w:val="18"/>
          <w:lang w:val="el-GR"/>
        </w:rPr>
        <w:t>ές</w:t>
      </w:r>
      <w:r w:rsidRPr="0082105F">
        <w:rPr>
          <w:rFonts w:ascii="Verdana" w:eastAsia="Malgun Gothic" w:hAnsi="Verdana" w:cs="Arial"/>
          <w:sz w:val="18"/>
          <w:szCs w:val="18"/>
          <w:lang w:val="el-GR"/>
        </w:rPr>
        <w:t xml:space="preserve"> καταγράφη</w:t>
      </w:r>
      <w:r w:rsidR="005C380F" w:rsidRPr="0082105F">
        <w:rPr>
          <w:rFonts w:ascii="Verdana" w:eastAsia="Malgun Gothic" w:hAnsi="Verdana" w:cs="Arial"/>
          <w:sz w:val="18"/>
          <w:szCs w:val="18"/>
          <w:lang w:val="el-GR"/>
        </w:rPr>
        <w:t>καν</w:t>
      </w:r>
      <w:r w:rsidRPr="0082105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FE2B32" w:rsidRPr="0082105F">
        <w:rPr>
          <w:rFonts w:ascii="Verdana" w:eastAsia="Malgun Gothic" w:hAnsi="Verdana" w:cs="Arial"/>
          <w:sz w:val="18"/>
          <w:szCs w:val="18"/>
          <w:lang w:val="el-GR"/>
        </w:rPr>
        <w:t>στ</w:t>
      </w:r>
      <w:r w:rsidR="005C380F" w:rsidRPr="0082105F">
        <w:rPr>
          <w:rFonts w:ascii="Verdana" w:eastAsia="Malgun Gothic" w:hAnsi="Verdana" w:cs="Arial"/>
          <w:sz w:val="18"/>
          <w:szCs w:val="18"/>
          <w:lang w:val="el-GR"/>
        </w:rPr>
        <w:t>ις</w:t>
      </w:r>
      <w:r w:rsidR="00FE2B32" w:rsidRPr="0082105F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5C380F" w:rsidRPr="0082105F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200657" w:rsidRPr="0082105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2105F" w:rsidRPr="0082105F">
        <w:rPr>
          <w:rFonts w:ascii="Verdana" w:eastAsia="Malgun Gothic" w:hAnsi="Verdana" w:cs="Arial"/>
          <w:i/>
          <w:iCs/>
          <w:sz w:val="18"/>
          <w:szCs w:val="18"/>
          <w:lang w:val="el-GR"/>
        </w:rPr>
        <w:t>Μεταφορές</w:t>
      </w:r>
      <w:r w:rsidR="0082105F" w:rsidRPr="0082105F">
        <w:rPr>
          <w:rFonts w:ascii="Verdana" w:eastAsia="Malgun Gothic" w:hAnsi="Verdana" w:cs="Arial"/>
          <w:sz w:val="18"/>
          <w:szCs w:val="18"/>
          <w:lang w:val="el-GR"/>
        </w:rPr>
        <w:t xml:space="preserve"> (9,</w:t>
      </w:r>
      <w:r w:rsidR="00A75A50" w:rsidRPr="00A75A50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82105F" w:rsidRPr="0082105F">
        <w:rPr>
          <w:rFonts w:ascii="Verdana" w:eastAsia="Malgun Gothic" w:hAnsi="Verdana" w:cs="Arial"/>
          <w:sz w:val="18"/>
          <w:szCs w:val="18"/>
          <w:lang w:val="el-GR"/>
        </w:rPr>
        <w:t xml:space="preserve">%) και </w:t>
      </w:r>
      <w:r w:rsidR="0082105F" w:rsidRPr="0082105F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</w:t>
      </w:r>
      <w:r w:rsidR="00D67F50" w:rsidRPr="0082105F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και Υπόδηση </w:t>
      </w:r>
      <w:r w:rsidR="00FE2B32" w:rsidRPr="0082105F">
        <w:rPr>
          <w:rFonts w:ascii="Verdana" w:eastAsia="Malgun Gothic" w:hAnsi="Verdana" w:cs="Arial"/>
          <w:iCs/>
          <w:sz w:val="18"/>
          <w:szCs w:val="18"/>
          <w:lang w:val="el-GR"/>
        </w:rPr>
        <w:t>(</w:t>
      </w:r>
      <w:r w:rsidR="0082105F" w:rsidRPr="0082105F">
        <w:rPr>
          <w:rFonts w:ascii="Verdana" w:eastAsia="Malgun Gothic" w:hAnsi="Verdana" w:cs="Arial"/>
          <w:iCs/>
          <w:sz w:val="18"/>
          <w:szCs w:val="18"/>
          <w:lang w:val="el-GR"/>
        </w:rPr>
        <w:t>5</w:t>
      </w:r>
      <w:r w:rsidR="00FE2B32" w:rsidRPr="0082105F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A75A50" w:rsidRPr="00A75A50">
        <w:rPr>
          <w:rFonts w:ascii="Verdana" w:eastAsia="Malgun Gothic" w:hAnsi="Verdana" w:cs="Arial"/>
          <w:iCs/>
          <w:sz w:val="18"/>
          <w:szCs w:val="18"/>
          <w:lang w:val="el-GR"/>
        </w:rPr>
        <w:t>3</w:t>
      </w:r>
      <w:r w:rsidR="00FE2B32" w:rsidRPr="0082105F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E114B9" w:rsidRPr="0082105F">
        <w:rPr>
          <w:rFonts w:ascii="Verdana" w:eastAsia="Malgun Gothic" w:hAnsi="Verdana" w:cs="Arial"/>
          <w:iCs/>
          <w:sz w:val="18"/>
          <w:szCs w:val="18"/>
          <w:lang w:val="el-GR"/>
        </w:rPr>
        <w:t>.</w:t>
      </w:r>
      <w:r w:rsidRPr="0082105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(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>Πίνακας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1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>)</w:t>
      </w:r>
    </w:p>
    <w:p w14:paraId="69A31EF2" w14:textId="77777777" w:rsidR="007B2DD9" w:rsidRPr="000156B4" w:rsidRDefault="007B2DD9" w:rsidP="00AF5CC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D4DFF9B" w14:textId="3E7BB41B" w:rsidR="00850F43" w:rsidRPr="00601870" w:rsidRDefault="005E7DDA" w:rsidP="00850F4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0156B4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AF5CC6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Pr="000156B4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AF5CC6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Pr="000156B4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AF5CC6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στις οικονομικές κατηγορίες</w:t>
      </w:r>
      <w:r w:rsidR="001A2238" w:rsidRPr="001A2238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822B64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2446D">
        <w:rPr>
          <w:rFonts w:ascii="Verdana" w:eastAsia="Malgun Gothic" w:hAnsi="Verdana" w:cs="Arial"/>
          <w:sz w:val="18"/>
          <w:szCs w:val="18"/>
          <w:lang w:val="el-GR"/>
        </w:rPr>
        <w:t xml:space="preserve">τόσο </w:t>
      </w:r>
      <w:r w:rsidR="00822B64" w:rsidRPr="000156B4">
        <w:rPr>
          <w:rFonts w:ascii="Verdana" w:eastAsia="Malgun Gothic" w:hAnsi="Verdana" w:cs="Arial"/>
          <w:sz w:val="18"/>
          <w:szCs w:val="18"/>
          <w:lang w:val="el-GR"/>
        </w:rPr>
        <w:t>σε σχέση μ</w:t>
      </w:r>
      <w:r w:rsidR="00AF5CC6" w:rsidRPr="000156B4">
        <w:rPr>
          <w:rFonts w:ascii="Verdana" w:eastAsia="Malgun Gothic" w:hAnsi="Verdana" w:cs="Arial"/>
          <w:sz w:val="18"/>
          <w:szCs w:val="18"/>
          <w:lang w:val="el-GR"/>
        </w:rPr>
        <w:t>ε τον</w:t>
      </w:r>
      <w:r w:rsidR="000E3759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63346" w:rsidRPr="000156B4">
        <w:rPr>
          <w:rFonts w:ascii="Verdana" w:eastAsia="Malgun Gothic" w:hAnsi="Verdana" w:cs="Arial"/>
          <w:sz w:val="18"/>
          <w:szCs w:val="18"/>
          <w:lang w:val="el-GR"/>
        </w:rPr>
        <w:t>Απρίλιο</w:t>
      </w:r>
      <w:r w:rsidR="005F0361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F5CC6" w:rsidRPr="000156B4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601870" w:rsidRPr="000156B4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72446D">
        <w:rPr>
          <w:rFonts w:ascii="Verdana" w:eastAsia="Malgun Gothic" w:hAnsi="Verdana" w:cs="Arial"/>
          <w:sz w:val="18"/>
          <w:szCs w:val="18"/>
          <w:lang w:val="el-GR"/>
        </w:rPr>
        <w:t>, όσο και σε σχέση με τον Μάρτιο 2026</w:t>
      </w:r>
      <w:r w:rsidR="00822B64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2446D">
        <w:rPr>
          <w:rFonts w:ascii="Verdana" w:eastAsia="Malgun Gothic" w:hAnsi="Verdana" w:cs="Arial"/>
          <w:sz w:val="18"/>
          <w:szCs w:val="18"/>
          <w:lang w:val="el-GR"/>
        </w:rPr>
        <w:t>παρατηρήθηκε</w:t>
      </w:r>
      <w:r w:rsidR="00895B41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στ</w:t>
      </w:r>
      <w:r w:rsidR="0082105F" w:rsidRPr="000156B4">
        <w:rPr>
          <w:rFonts w:ascii="Verdana" w:eastAsia="Malgun Gothic" w:hAnsi="Verdana" w:cs="Arial"/>
          <w:sz w:val="18"/>
          <w:szCs w:val="18"/>
          <w:lang w:val="el-GR"/>
        </w:rPr>
        <w:t>ην</w:t>
      </w:r>
      <w:r w:rsidR="00895B41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82105F" w:rsidRPr="000156B4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="00895B41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D5897" w:rsidRPr="000156B4">
        <w:rPr>
          <w:rFonts w:ascii="Verdana" w:eastAsia="Malgun Gothic" w:hAnsi="Verdana" w:cs="Arial"/>
          <w:i/>
          <w:iCs/>
          <w:sz w:val="18"/>
          <w:szCs w:val="18"/>
          <w:lang w:val="el-GR"/>
        </w:rPr>
        <w:t>Ενέργεια</w:t>
      </w:r>
      <w:r w:rsidR="00601870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82105F" w:rsidRPr="000156B4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601870" w:rsidRPr="000156B4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A75A50" w:rsidRPr="00A75A50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601870" w:rsidRPr="000156B4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72446D">
        <w:rPr>
          <w:rFonts w:ascii="Verdana" w:eastAsia="Malgun Gothic" w:hAnsi="Verdana" w:cs="Arial"/>
          <w:sz w:val="18"/>
          <w:szCs w:val="18"/>
          <w:lang w:val="el-GR"/>
        </w:rPr>
        <w:t xml:space="preserve"> και 7,5% αντίστοιχα</w:t>
      </w:r>
      <w:r w:rsidR="00601870" w:rsidRPr="000156B4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822B64" w:rsidRPr="000156B4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72446D">
        <w:rPr>
          <w:rFonts w:ascii="Verdana" w:eastAsia="Malgun Gothic" w:hAnsi="Verdana" w:cs="Arial"/>
          <w:sz w:val="18"/>
          <w:szCs w:val="18"/>
          <w:lang w:val="el-GR"/>
        </w:rPr>
        <w:t xml:space="preserve">      </w:t>
      </w:r>
      <w:r w:rsidR="00601870" w:rsidRPr="000156B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50F43" w:rsidRPr="00601870">
        <w:rPr>
          <w:rFonts w:ascii="Verdana" w:eastAsia="Malgun Gothic" w:hAnsi="Verdana" w:cs="Arial"/>
          <w:sz w:val="18"/>
          <w:szCs w:val="18"/>
          <w:lang w:val="el-GR"/>
        </w:rPr>
        <w:t>(Πίνακας 2)</w:t>
      </w:r>
    </w:p>
    <w:p w14:paraId="1D5E4402" w14:textId="77777777" w:rsidR="00E74ACD" w:rsidRPr="005C4C32" w:rsidRDefault="00E74ACD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Style w:val="GridTable1Light-Accent1"/>
        <w:tblW w:w="107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561"/>
        <w:gridCol w:w="240"/>
        <w:gridCol w:w="1318"/>
        <w:gridCol w:w="1275"/>
        <w:gridCol w:w="1703"/>
        <w:gridCol w:w="12"/>
      </w:tblGrid>
      <w:tr w:rsidR="001B1170" w:rsidRPr="001B1170" w14:paraId="2E7A17C5" w14:textId="61EF746F" w:rsidTr="00CF77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7" w:type="dxa"/>
            <w:gridSpan w:val="8"/>
            <w:tcBorders>
              <w:bottom w:val="single" w:sz="4" w:space="0" w:color="366092"/>
            </w:tcBorders>
          </w:tcPr>
          <w:p w14:paraId="3A52B7B1" w14:textId="7B69FF08" w:rsidR="00594514" w:rsidRPr="001B1170" w:rsidRDefault="00594514" w:rsidP="00D25AB6">
            <w:pPr>
              <w:tabs>
                <w:tab w:val="left" w:pos="1080"/>
                <w:tab w:val="left" w:pos="6840"/>
              </w:tabs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Πίνακας </w:t>
            </w: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1</w:t>
            </w:r>
          </w:p>
        </w:tc>
      </w:tr>
      <w:tr w:rsidR="001B1170" w:rsidRPr="001B1170" w14:paraId="5785043C" w14:textId="125DD453" w:rsidTr="00CF77B5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 w:val="restart"/>
            <w:tcBorders>
              <w:top w:val="single" w:sz="4" w:space="0" w:color="366092"/>
            </w:tcBorders>
            <w:vAlign w:val="center"/>
          </w:tcPr>
          <w:p w14:paraId="1CEEBE74" w14:textId="77777777" w:rsidR="00594514" w:rsidRPr="001B1170" w:rsidRDefault="00594514" w:rsidP="00A55D89">
            <w:pPr>
              <w:ind w:right="-130"/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Κατηγορίες Αγαθών</w:t>
            </w:r>
          </w:p>
          <w:p w14:paraId="0E0D3279" w14:textId="77777777" w:rsidR="00594514" w:rsidRPr="001B1170" w:rsidRDefault="00594514" w:rsidP="00D25AB6">
            <w:pPr>
              <w:rPr>
                <w:rFonts w:ascii="Verdana" w:eastAsia="Times New Roman" w:hAnsi="Verdana" w:cs="Arial"/>
                <w:b w:val="0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και Υπηρεσιών</w:t>
            </w:r>
          </w:p>
        </w:tc>
        <w:tc>
          <w:tcPr>
            <w:tcW w:w="3120" w:type="dxa"/>
            <w:gridSpan w:val="2"/>
            <w:tcBorders>
              <w:bottom w:val="single" w:sz="4" w:space="0" w:color="366092"/>
            </w:tcBorders>
            <w:vAlign w:val="center"/>
          </w:tcPr>
          <w:p w14:paraId="2B5606A1" w14:textId="1F657FED" w:rsidR="00594514" w:rsidRPr="001B1170" w:rsidRDefault="00594514" w:rsidP="00D25AB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ΕνΔΤΚ</w:t>
            </w:r>
            <w:proofErr w:type="spellEnd"/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(2025=100)</w:t>
            </w:r>
          </w:p>
        </w:tc>
        <w:tc>
          <w:tcPr>
            <w:tcW w:w="240" w:type="dxa"/>
            <w:tcBorders>
              <w:bottom w:val="single" w:sz="4" w:space="0" w:color="FFFFFF" w:themeColor="background1"/>
            </w:tcBorders>
            <w:noWrap/>
            <w:tcMar>
              <w:left w:w="0" w:type="dxa"/>
              <w:right w:w="28" w:type="dxa"/>
            </w:tcMar>
          </w:tcPr>
          <w:p w14:paraId="1E490A95" w14:textId="77777777" w:rsidR="00594514" w:rsidRPr="001B1170" w:rsidRDefault="00594514" w:rsidP="00D25AB6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b/>
                <w:bCs/>
                <w:color w:val="366092"/>
                <w:sz w:val="10"/>
                <w:szCs w:val="10"/>
              </w:rPr>
            </w:pPr>
          </w:p>
        </w:tc>
        <w:tc>
          <w:tcPr>
            <w:tcW w:w="4308" w:type="dxa"/>
            <w:gridSpan w:val="4"/>
            <w:tcBorders>
              <w:bottom w:val="single" w:sz="4" w:space="0" w:color="366092"/>
            </w:tcBorders>
          </w:tcPr>
          <w:p w14:paraId="34A73185" w14:textId="0A086CEB" w:rsidR="00594514" w:rsidRPr="001B1170" w:rsidRDefault="00594514" w:rsidP="00D25AB6">
            <w:pPr>
              <w:tabs>
                <w:tab w:val="left" w:pos="1080"/>
                <w:tab w:val="left" w:pos="684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963346" w:rsidRPr="001B1170" w14:paraId="4549DBDE" w14:textId="0D238C18" w:rsidTr="00CF77B5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/>
            <w:tcBorders>
              <w:top w:val="single" w:sz="4" w:space="0" w:color="FFFFFF" w:themeColor="background1"/>
              <w:bottom w:val="single" w:sz="4" w:space="0" w:color="366092"/>
            </w:tcBorders>
          </w:tcPr>
          <w:p w14:paraId="250044BF" w14:textId="77777777" w:rsidR="00963346" w:rsidRPr="001B1170" w:rsidRDefault="00963346" w:rsidP="00963346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4" w:space="0" w:color="366092"/>
            </w:tcBorders>
            <w:vAlign w:val="center"/>
          </w:tcPr>
          <w:p w14:paraId="07AD2721" w14:textId="77777777" w:rsidR="00963346" w:rsidRPr="001B1170" w:rsidRDefault="00963346" w:rsidP="00963346">
            <w:pPr>
              <w:ind w:right="-1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Μάρτιος</w:t>
            </w:r>
          </w:p>
          <w:p w14:paraId="173638EB" w14:textId="18C2D437" w:rsidR="00963346" w:rsidRPr="001B1170" w:rsidRDefault="00963346" w:rsidP="00963346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1561" w:type="dxa"/>
            <w:tcBorders>
              <w:bottom w:val="single" w:sz="4" w:space="0" w:color="366092"/>
            </w:tcBorders>
            <w:vAlign w:val="center"/>
          </w:tcPr>
          <w:p w14:paraId="466B3D74" w14:textId="50B771AB" w:rsidR="00963346" w:rsidRPr="001B1170" w:rsidRDefault="00963346" w:rsidP="00963346">
            <w:pPr>
              <w:ind w:right="-1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Απρίλιος</w:t>
            </w:r>
          </w:p>
          <w:p w14:paraId="20133DD4" w14:textId="5E567643" w:rsidR="00963346" w:rsidRPr="001B1170" w:rsidRDefault="00963346" w:rsidP="00963346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EA0DD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240" w:type="dxa"/>
            <w:tcBorders>
              <w:bottom w:val="single" w:sz="4" w:space="0" w:color="366092"/>
            </w:tcBorders>
            <w:noWrap/>
            <w:tcMar>
              <w:left w:w="0" w:type="dxa"/>
              <w:right w:w="28" w:type="dxa"/>
            </w:tcMar>
          </w:tcPr>
          <w:p w14:paraId="1D37A384" w14:textId="77777777" w:rsidR="00963346" w:rsidRPr="001B1170" w:rsidRDefault="00963346" w:rsidP="00963346">
            <w:pPr>
              <w:tabs>
                <w:tab w:val="left" w:pos="1080"/>
                <w:tab w:val="left" w:pos="68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0"/>
                <w:szCs w:val="10"/>
                <w:lang w:val="el-GR"/>
              </w:rPr>
            </w:pPr>
          </w:p>
        </w:tc>
        <w:tc>
          <w:tcPr>
            <w:tcW w:w="1318" w:type="dxa"/>
            <w:tcBorders>
              <w:bottom w:val="single" w:sz="4" w:space="0" w:color="365F91"/>
            </w:tcBorders>
            <w:vAlign w:val="center"/>
          </w:tcPr>
          <w:p w14:paraId="6D2B89D9" w14:textId="18E77072" w:rsidR="00963346" w:rsidRPr="001B1170" w:rsidRDefault="00963346" w:rsidP="00963346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</w:t>
            </w:r>
          </w:p>
        </w:tc>
        <w:tc>
          <w:tcPr>
            <w:tcW w:w="1275" w:type="dxa"/>
            <w:tcBorders>
              <w:top w:val="single" w:sz="4" w:space="0" w:color="366092"/>
              <w:bottom w:val="single" w:sz="4" w:space="0" w:color="365F91"/>
            </w:tcBorders>
            <w:vAlign w:val="center"/>
          </w:tcPr>
          <w:p w14:paraId="4E6F8F9A" w14:textId="3898610E" w:rsidR="00963346" w:rsidRPr="001B1170" w:rsidRDefault="00963346" w:rsidP="00963346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</w:t>
            </w:r>
          </w:p>
        </w:tc>
        <w:tc>
          <w:tcPr>
            <w:tcW w:w="1703" w:type="dxa"/>
            <w:tcBorders>
              <w:bottom w:val="single" w:sz="4" w:space="0" w:color="365F91"/>
            </w:tcBorders>
          </w:tcPr>
          <w:p w14:paraId="14124BBE" w14:textId="3E5901D8" w:rsidR="00963346" w:rsidRPr="001B1170" w:rsidRDefault="00963346" w:rsidP="00963346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Ιαν –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26/</w:t>
            </w:r>
          </w:p>
          <w:p w14:paraId="27C220DA" w14:textId="0A4A72BD" w:rsidR="00963346" w:rsidRPr="001B1170" w:rsidRDefault="00963346" w:rsidP="00963346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Ιαν –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</w:t>
            </w:r>
          </w:p>
        </w:tc>
      </w:tr>
      <w:tr w:rsidR="00F626C0" w:rsidRPr="001B1170" w14:paraId="6E325E2B" w14:textId="5D732482" w:rsidTr="00F626C0">
        <w:trPr>
          <w:gridAfter w:val="1"/>
          <w:wAfter w:w="12" w:type="dxa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366092"/>
            </w:tcBorders>
            <w:vAlign w:val="center"/>
          </w:tcPr>
          <w:p w14:paraId="3D84B894" w14:textId="61AE473D" w:rsidR="00F626C0" w:rsidRPr="001B1170" w:rsidRDefault="00F626C0" w:rsidP="00F626C0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</w:p>
        </w:tc>
        <w:tc>
          <w:tcPr>
            <w:tcW w:w="1559" w:type="dxa"/>
            <w:tcBorders>
              <w:top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27A9D2F2" w14:textId="003BC3D8" w:rsidR="00F626C0" w:rsidRPr="001B1170" w:rsidRDefault="00F626C0" w:rsidP="00F626C0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105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52</w:t>
            </w:r>
          </w:p>
        </w:tc>
        <w:tc>
          <w:tcPr>
            <w:tcW w:w="1561" w:type="dxa"/>
            <w:tcBorders>
              <w:top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390E44D6" w14:textId="4F446A39" w:rsidR="00F626C0" w:rsidRPr="001B1170" w:rsidRDefault="00F626C0" w:rsidP="00F626C0">
            <w:pPr>
              <w:ind w:right="225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104,89</w:t>
            </w:r>
          </w:p>
        </w:tc>
        <w:tc>
          <w:tcPr>
            <w:tcW w:w="240" w:type="dxa"/>
            <w:tcBorders>
              <w:top w:val="single" w:sz="4" w:space="0" w:color="366092"/>
            </w:tcBorders>
            <w:noWrap/>
            <w:tcMar>
              <w:left w:w="0" w:type="dxa"/>
              <w:right w:w="28" w:type="dxa"/>
            </w:tcMar>
            <w:vAlign w:val="center"/>
          </w:tcPr>
          <w:p w14:paraId="7373A50C" w14:textId="77777777" w:rsidR="00F626C0" w:rsidRPr="001B1170" w:rsidRDefault="00F626C0" w:rsidP="00F626C0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tcBorders>
              <w:top w:val="single" w:sz="4" w:space="0" w:color="365F91"/>
            </w:tcBorders>
            <w:noWrap/>
            <w:tcMar>
              <w:left w:w="0" w:type="dxa"/>
              <w:right w:w="397" w:type="dxa"/>
            </w:tcMar>
            <w:vAlign w:val="center"/>
          </w:tcPr>
          <w:p w14:paraId="368FBF5C" w14:textId="254273CA" w:rsidR="00F626C0" w:rsidRPr="001B1170" w:rsidRDefault="00F626C0" w:rsidP="00F626C0">
            <w:pPr>
              <w:ind w:right="25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5,2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</w:p>
        </w:tc>
        <w:tc>
          <w:tcPr>
            <w:tcW w:w="1275" w:type="dxa"/>
            <w:tcBorders>
              <w:top w:val="single" w:sz="4" w:space="0" w:color="365F91"/>
            </w:tcBorders>
            <w:noWrap/>
            <w:tcMar>
              <w:left w:w="0" w:type="dxa"/>
              <w:right w:w="397" w:type="dxa"/>
            </w:tcMar>
            <w:vAlign w:val="center"/>
          </w:tcPr>
          <w:p w14:paraId="43AD0BF5" w14:textId="14ABFE2B" w:rsidR="00F626C0" w:rsidRPr="001B1170" w:rsidRDefault="00F626C0" w:rsidP="00F626C0">
            <w:pPr>
              <w:ind w:right="24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-0,6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</w:p>
        </w:tc>
        <w:tc>
          <w:tcPr>
            <w:tcW w:w="1703" w:type="dxa"/>
            <w:tcBorders>
              <w:top w:val="single" w:sz="4" w:space="0" w:color="365F91"/>
            </w:tcBorders>
            <w:vAlign w:val="center"/>
          </w:tcPr>
          <w:p w14:paraId="254C7CD9" w14:textId="15E39D14" w:rsidR="00F626C0" w:rsidRPr="001B1170" w:rsidRDefault="00F626C0" w:rsidP="00F626C0">
            <w:pPr>
              <w:ind w:right="46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4,39</w:t>
            </w:r>
          </w:p>
        </w:tc>
      </w:tr>
      <w:tr w:rsidR="00F626C0" w:rsidRPr="001B1170" w14:paraId="1B95C1A8" w14:textId="025E60B6" w:rsidTr="00F626C0">
        <w:trPr>
          <w:gridAfter w:val="1"/>
          <w:wAfter w:w="12" w:type="dxa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1D538252" w14:textId="0B385417" w:rsidR="00F626C0" w:rsidRPr="001B1170" w:rsidRDefault="00F626C0" w:rsidP="00F626C0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Αλκοολούχα Π</w:t>
            </w:r>
            <w:proofErr w:type="spellStart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οτά</w:t>
            </w:r>
            <w:proofErr w:type="spellEnd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 xml:space="preserve"> και 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Κ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απ</w:t>
            </w:r>
            <w:proofErr w:type="spellStart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νός</w:t>
            </w:r>
            <w:proofErr w:type="spellEnd"/>
          </w:p>
        </w:tc>
        <w:tc>
          <w:tcPr>
            <w:tcW w:w="1559" w:type="dxa"/>
            <w:noWrap/>
            <w:tcMar>
              <w:left w:w="0" w:type="dxa"/>
              <w:right w:w="198" w:type="dxa"/>
            </w:tcMar>
            <w:vAlign w:val="center"/>
          </w:tcPr>
          <w:p w14:paraId="27BB5071" w14:textId="770A714C" w:rsidR="00F626C0" w:rsidRPr="001B1170" w:rsidRDefault="00F626C0" w:rsidP="00F626C0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101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02</w:t>
            </w:r>
          </w:p>
        </w:tc>
        <w:tc>
          <w:tcPr>
            <w:tcW w:w="1561" w:type="dxa"/>
            <w:noWrap/>
            <w:tcMar>
              <w:left w:w="0" w:type="dxa"/>
              <w:right w:w="198" w:type="dxa"/>
            </w:tcMar>
            <w:vAlign w:val="center"/>
          </w:tcPr>
          <w:p w14:paraId="5809D1EC" w14:textId="7533C975" w:rsidR="00F626C0" w:rsidRPr="001B1170" w:rsidRDefault="00F626C0" w:rsidP="00F626C0">
            <w:pPr>
              <w:ind w:right="225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100,79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0BC72088" w14:textId="77777777" w:rsidR="00F626C0" w:rsidRPr="001B1170" w:rsidRDefault="00F626C0" w:rsidP="00F626C0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7137B40E" w14:textId="25C50D36" w:rsidR="00F626C0" w:rsidRPr="006929D3" w:rsidRDefault="00F626C0" w:rsidP="00F626C0">
            <w:pPr>
              <w:ind w:right="25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1,24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01037533" w14:textId="5D441C10" w:rsidR="00F626C0" w:rsidRPr="001B1170" w:rsidRDefault="00F626C0" w:rsidP="00F626C0">
            <w:pPr>
              <w:ind w:leftChars="-38" w:left="1" w:right="24" w:hangingChars="47" w:hanging="8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-0,23</w:t>
            </w:r>
          </w:p>
        </w:tc>
        <w:tc>
          <w:tcPr>
            <w:tcW w:w="1703" w:type="dxa"/>
            <w:vAlign w:val="center"/>
          </w:tcPr>
          <w:p w14:paraId="79B0CB5A" w14:textId="1A8033B9" w:rsidR="00F626C0" w:rsidRPr="001B1170" w:rsidRDefault="00F626C0" w:rsidP="00F626C0">
            <w:pPr>
              <w:ind w:right="46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1,12</w:t>
            </w:r>
          </w:p>
        </w:tc>
      </w:tr>
      <w:tr w:rsidR="00F626C0" w:rsidRPr="001B1170" w14:paraId="2601AA75" w14:textId="0E764678" w:rsidTr="00F626C0">
        <w:trPr>
          <w:gridAfter w:val="1"/>
          <w:wAfter w:w="12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5B331D93" w14:textId="65E02C65" w:rsidR="00F626C0" w:rsidRPr="001B1170" w:rsidRDefault="00F626C0" w:rsidP="00F626C0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Ένδυση</w:t>
            </w:r>
            <w:proofErr w:type="spellEnd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 xml:space="preserve"> και 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Υ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π</w:t>
            </w:r>
            <w:proofErr w:type="spellStart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όδηση</w:t>
            </w:r>
            <w:proofErr w:type="spellEnd"/>
          </w:p>
        </w:tc>
        <w:tc>
          <w:tcPr>
            <w:tcW w:w="1559" w:type="dxa"/>
            <w:noWrap/>
            <w:tcMar>
              <w:left w:w="0" w:type="dxa"/>
              <w:right w:w="198" w:type="dxa"/>
            </w:tcMar>
            <w:vAlign w:val="center"/>
          </w:tcPr>
          <w:p w14:paraId="53027E8C" w14:textId="0E41CAE3" w:rsidR="00F626C0" w:rsidRPr="001B1170" w:rsidRDefault="00F626C0" w:rsidP="00F626C0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94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09</w:t>
            </w:r>
          </w:p>
        </w:tc>
        <w:tc>
          <w:tcPr>
            <w:tcW w:w="1561" w:type="dxa"/>
            <w:noWrap/>
            <w:tcMar>
              <w:left w:w="0" w:type="dxa"/>
              <w:right w:w="198" w:type="dxa"/>
            </w:tcMar>
            <w:vAlign w:val="center"/>
          </w:tcPr>
          <w:p w14:paraId="21BD9B26" w14:textId="3463772D" w:rsidR="00F626C0" w:rsidRPr="001B1170" w:rsidRDefault="00F626C0" w:rsidP="00F626C0">
            <w:pPr>
              <w:ind w:right="225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99,05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01F5D5ED" w14:textId="77777777" w:rsidR="00F626C0" w:rsidRPr="001B1170" w:rsidRDefault="00F626C0" w:rsidP="00F626C0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4F1CA5C3" w14:textId="7A109389" w:rsidR="00F626C0" w:rsidRPr="001B1170" w:rsidRDefault="00F626C0" w:rsidP="00F626C0">
            <w:pPr>
              <w:ind w:right="25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-5,43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190FFA51" w14:textId="31509411" w:rsidR="00F626C0" w:rsidRPr="001B1170" w:rsidRDefault="00F626C0" w:rsidP="00F626C0">
            <w:pPr>
              <w:ind w:right="24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5,27</w:t>
            </w:r>
          </w:p>
        </w:tc>
        <w:tc>
          <w:tcPr>
            <w:tcW w:w="1703" w:type="dxa"/>
            <w:vAlign w:val="center"/>
          </w:tcPr>
          <w:p w14:paraId="6A7A1D11" w14:textId="58C7DED7" w:rsidR="00F626C0" w:rsidRPr="001B1170" w:rsidRDefault="00F626C0" w:rsidP="00F626C0">
            <w:pPr>
              <w:ind w:right="46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-5,83</w:t>
            </w:r>
          </w:p>
        </w:tc>
      </w:tr>
      <w:tr w:rsidR="00F626C0" w:rsidRPr="001B1170" w14:paraId="221396AC" w14:textId="69BA0D35" w:rsidTr="00F626C0">
        <w:trPr>
          <w:gridAfter w:val="1"/>
          <w:wAfter w:w="12" w:type="dxa"/>
          <w:trHeight w:val="7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28F51117" w14:textId="708AE489" w:rsidR="00F626C0" w:rsidRPr="001B1170" w:rsidRDefault="00F626C0" w:rsidP="00F626C0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Στέγαση, Ύδρευση, Ηλεκτρικό Ρεύμα, Φυσικό Αέριο και Άλλα Καύσιμα</w:t>
            </w:r>
          </w:p>
        </w:tc>
        <w:tc>
          <w:tcPr>
            <w:tcW w:w="1559" w:type="dxa"/>
            <w:noWrap/>
            <w:tcMar>
              <w:left w:w="0" w:type="dxa"/>
              <w:right w:w="198" w:type="dxa"/>
            </w:tcMar>
            <w:vAlign w:val="center"/>
          </w:tcPr>
          <w:p w14:paraId="5C9D56E0" w14:textId="67394066" w:rsidR="00F626C0" w:rsidRPr="001B1170" w:rsidRDefault="00F626C0" w:rsidP="00F626C0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98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58</w:t>
            </w:r>
          </w:p>
        </w:tc>
        <w:tc>
          <w:tcPr>
            <w:tcW w:w="1561" w:type="dxa"/>
            <w:noWrap/>
            <w:tcMar>
              <w:left w:w="0" w:type="dxa"/>
              <w:right w:w="198" w:type="dxa"/>
            </w:tcMar>
            <w:vAlign w:val="center"/>
          </w:tcPr>
          <w:p w14:paraId="1B1AC012" w14:textId="31F81E28" w:rsidR="00F626C0" w:rsidRPr="001B1170" w:rsidRDefault="00F626C0" w:rsidP="00F626C0">
            <w:pPr>
              <w:ind w:right="225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99,99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6C472D35" w14:textId="77777777" w:rsidR="00F626C0" w:rsidRPr="001B1170" w:rsidRDefault="00F626C0" w:rsidP="00F626C0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019E2CB7" w14:textId="14FA21C6" w:rsidR="00F626C0" w:rsidRPr="001B1170" w:rsidRDefault="00F626C0" w:rsidP="00F626C0">
            <w:pPr>
              <w:ind w:right="25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1,16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2C260FAB" w14:textId="05F14CBB" w:rsidR="00F626C0" w:rsidRPr="001B1170" w:rsidRDefault="00F626C0" w:rsidP="00F626C0">
            <w:pPr>
              <w:ind w:right="24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1,43</w:t>
            </w:r>
          </w:p>
        </w:tc>
        <w:tc>
          <w:tcPr>
            <w:tcW w:w="1703" w:type="dxa"/>
            <w:vAlign w:val="center"/>
          </w:tcPr>
          <w:p w14:paraId="2199AA02" w14:textId="0A3E942E" w:rsidR="00F626C0" w:rsidRPr="001B1170" w:rsidRDefault="00F626C0" w:rsidP="00F626C0">
            <w:pPr>
              <w:ind w:right="46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-2,23</w:t>
            </w:r>
          </w:p>
        </w:tc>
      </w:tr>
      <w:tr w:rsidR="00F626C0" w:rsidRPr="001B1170" w14:paraId="48E93CF3" w14:textId="1F1BDCF4" w:rsidTr="00F626C0">
        <w:trPr>
          <w:gridAfter w:val="1"/>
          <w:wAfter w:w="12" w:type="dxa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64880A51" w14:textId="73A8B2C1" w:rsidR="00F626C0" w:rsidRPr="001B1170" w:rsidRDefault="00F626C0" w:rsidP="00F626C0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Επίπλωση και Διακόσμηση, Οικιακός Εξοπλισμός και Συνήθης Συντήρηση Κατοικιών</w:t>
            </w:r>
          </w:p>
        </w:tc>
        <w:tc>
          <w:tcPr>
            <w:tcW w:w="1559" w:type="dxa"/>
            <w:noWrap/>
            <w:tcMar>
              <w:left w:w="0" w:type="dxa"/>
              <w:right w:w="198" w:type="dxa"/>
            </w:tcMar>
            <w:vAlign w:val="center"/>
          </w:tcPr>
          <w:p w14:paraId="5200AA5A" w14:textId="32FCCD79" w:rsidR="00F626C0" w:rsidRPr="001B1170" w:rsidRDefault="00F626C0" w:rsidP="00F626C0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03</w:t>
            </w:r>
          </w:p>
        </w:tc>
        <w:tc>
          <w:tcPr>
            <w:tcW w:w="1561" w:type="dxa"/>
            <w:noWrap/>
            <w:tcMar>
              <w:left w:w="0" w:type="dxa"/>
              <w:right w:w="198" w:type="dxa"/>
            </w:tcMar>
            <w:vAlign w:val="center"/>
          </w:tcPr>
          <w:p w14:paraId="7E94323B" w14:textId="06E54C1D" w:rsidR="00F626C0" w:rsidRPr="001B1170" w:rsidRDefault="00F626C0" w:rsidP="00F626C0">
            <w:pPr>
              <w:ind w:right="225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99,91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16580516" w14:textId="77777777" w:rsidR="00F626C0" w:rsidRPr="001B1170" w:rsidRDefault="00F626C0" w:rsidP="00F626C0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49C7D603" w14:textId="0359786D" w:rsidR="00F626C0" w:rsidRPr="00F626C0" w:rsidRDefault="00F626C0" w:rsidP="00F626C0">
            <w:pPr>
              <w:ind w:right="25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-0,28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126A13B3" w14:textId="7930F9EF" w:rsidR="00F626C0" w:rsidRPr="001B1170" w:rsidRDefault="00F626C0" w:rsidP="00F626C0">
            <w:pPr>
              <w:ind w:right="24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-0,12</w:t>
            </w:r>
          </w:p>
        </w:tc>
        <w:tc>
          <w:tcPr>
            <w:tcW w:w="1703" w:type="dxa"/>
            <w:vAlign w:val="center"/>
          </w:tcPr>
          <w:p w14:paraId="0AF84866" w14:textId="527CBC41" w:rsidR="00F626C0" w:rsidRPr="001B1170" w:rsidRDefault="00F626C0" w:rsidP="00F626C0">
            <w:pPr>
              <w:ind w:right="46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0,18</w:t>
            </w:r>
          </w:p>
        </w:tc>
      </w:tr>
      <w:tr w:rsidR="00F626C0" w:rsidRPr="001B1170" w14:paraId="22ED156A" w14:textId="71FE16AA" w:rsidTr="00F626C0">
        <w:trPr>
          <w:gridAfter w:val="1"/>
          <w:wAfter w:w="12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36D409F9" w14:textId="581D3712" w:rsidR="00F626C0" w:rsidRPr="001B1170" w:rsidRDefault="00F626C0" w:rsidP="00F626C0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Υγεί</w:t>
            </w:r>
            <w:proofErr w:type="spellEnd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559" w:type="dxa"/>
            <w:noWrap/>
            <w:tcMar>
              <w:left w:w="0" w:type="dxa"/>
              <w:right w:w="198" w:type="dxa"/>
            </w:tcMar>
            <w:vAlign w:val="center"/>
          </w:tcPr>
          <w:p w14:paraId="7F8F6B2C" w14:textId="2EB25A34" w:rsidR="00F626C0" w:rsidRPr="001B1170" w:rsidRDefault="00F626C0" w:rsidP="00F626C0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69</w:t>
            </w:r>
          </w:p>
        </w:tc>
        <w:tc>
          <w:tcPr>
            <w:tcW w:w="1561" w:type="dxa"/>
            <w:noWrap/>
            <w:tcMar>
              <w:left w:w="0" w:type="dxa"/>
              <w:right w:w="198" w:type="dxa"/>
            </w:tcMar>
            <w:vAlign w:val="center"/>
          </w:tcPr>
          <w:p w14:paraId="3C0F6F65" w14:textId="5E5F35F1" w:rsidR="00F626C0" w:rsidRPr="001B1170" w:rsidRDefault="00F626C0" w:rsidP="00F626C0">
            <w:pPr>
              <w:ind w:right="225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100,76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37314BA3" w14:textId="77777777" w:rsidR="00F626C0" w:rsidRPr="001B1170" w:rsidRDefault="00F626C0" w:rsidP="00F626C0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792F6CCD" w14:textId="6A9B54C5" w:rsidR="00F626C0" w:rsidRPr="006929D3" w:rsidRDefault="00F626C0" w:rsidP="00F626C0">
            <w:pPr>
              <w:ind w:right="25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0,95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2B6DE458" w14:textId="52122D41" w:rsidR="00F626C0" w:rsidRPr="001B1170" w:rsidRDefault="00F626C0" w:rsidP="00F626C0">
            <w:pPr>
              <w:ind w:right="24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0,07</w:t>
            </w:r>
          </w:p>
        </w:tc>
        <w:tc>
          <w:tcPr>
            <w:tcW w:w="1703" w:type="dxa"/>
            <w:vAlign w:val="center"/>
          </w:tcPr>
          <w:p w14:paraId="3BB87F01" w14:textId="3983979A" w:rsidR="00F626C0" w:rsidRPr="001B1170" w:rsidRDefault="00F626C0" w:rsidP="00F626C0">
            <w:pPr>
              <w:ind w:right="46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0,56</w:t>
            </w:r>
          </w:p>
        </w:tc>
      </w:tr>
      <w:tr w:rsidR="00F626C0" w:rsidRPr="001B1170" w14:paraId="573C0426" w14:textId="2FED1DF5" w:rsidTr="00F626C0">
        <w:trPr>
          <w:gridAfter w:val="1"/>
          <w:wAfter w:w="12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7C5B48AA" w14:textId="08B27ECD" w:rsidR="00F626C0" w:rsidRPr="001B1170" w:rsidRDefault="00F626C0" w:rsidP="00F626C0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Μετ</w:t>
            </w:r>
            <w:proofErr w:type="spellEnd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αφορές</w:t>
            </w:r>
          </w:p>
        </w:tc>
        <w:tc>
          <w:tcPr>
            <w:tcW w:w="1559" w:type="dxa"/>
            <w:noWrap/>
            <w:tcMar>
              <w:left w:w="0" w:type="dxa"/>
              <w:right w:w="198" w:type="dxa"/>
            </w:tcMar>
            <w:vAlign w:val="center"/>
          </w:tcPr>
          <w:p w14:paraId="54FF94B2" w14:textId="7CCEC8DF" w:rsidR="00F626C0" w:rsidRPr="001B1170" w:rsidRDefault="00F626C0" w:rsidP="00F626C0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99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75</w:t>
            </w:r>
          </w:p>
        </w:tc>
        <w:tc>
          <w:tcPr>
            <w:tcW w:w="1561" w:type="dxa"/>
            <w:noWrap/>
            <w:tcMar>
              <w:left w:w="0" w:type="dxa"/>
              <w:right w:w="198" w:type="dxa"/>
            </w:tcMar>
            <w:vAlign w:val="center"/>
          </w:tcPr>
          <w:p w14:paraId="6BF86314" w14:textId="509E7487" w:rsidR="00F626C0" w:rsidRPr="00F626C0" w:rsidRDefault="00F626C0" w:rsidP="00F626C0">
            <w:pPr>
              <w:ind w:right="225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109,3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32FDDE1E" w14:textId="77777777" w:rsidR="00F626C0" w:rsidRPr="001B1170" w:rsidRDefault="00F626C0" w:rsidP="00F626C0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503EF572" w14:textId="40E29ED8" w:rsidR="00F626C0" w:rsidRPr="001B1170" w:rsidRDefault="00F626C0" w:rsidP="00F626C0">
            <w:pPr>
              <w:ind w:right="25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6,73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1A5AFA5F" w14:textId="518FC3B6" w:rsidR="00F626C0" w:rsidRPr="001B1170" w:rsidRDefault="00F626C0" w:rsidP="00F626C0">
            <w:pPr>
              <w:ind w:right="24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9,57</w:t>
            </w:r>
          </w:p>
        </w:tc>
        <w:tc>
          <w:tcPr>
            <w:tcW w:w="1703" w:type="dxa"/>
            <w:vAlign w:val="center"/>
          </w:tcPr>
          <w:p w14:paraId="36A31C9E" w14:textId="158F59B1" w:rsidR="00F626C0" w:rsidRPr="001B1170" w:rsidRDefault="00F626C0" w:rsidP="00F626C0">
            <w:pPr>
              <w:ind w:right="46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1,57</w:t>
            </w:r>
          </w:p>
        </w:tc>
      </w:tr>
      <w:tr w:rsidR="00F626C0" w:rsidRPr="001B1170" w14:paraId="4E4A4FB2" w14:textId="2A8DA05B" w:rsidTr="00F626C0">
        <w:trPr>
          <w:gridAfter w:val="1"/>
          <w:wAfter w:w="12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3478003F" w14:textId="097CC385" w:rsidR="00F626C0" w:rsidRPr="001B1170" w:rsidRDefault="00F626C0" w:rsidP="00F626C0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 xml:space="preserve">Ενημέρωση και 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Επ</w:t>
            </w:r>
            <w:proofErr w:type="spellStart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ικοινωνί</w:t>
            </w:r>
            <w:proofErr w:type="spellEnd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α</w:t>
            </w:r>
          </w:p>
        </w:tc>
        <w:tc>
          <w:tcPr>
            <w:tcW w:w="1559" w:type="dxa"/>
            <w:noWrap/>
            <w:tcMar>
              <w:left w:w="0" w:type="dxa"/>
              <w:right w:w="198" w:type="dxa"/>
            </w:tcMar>
            <w:vAlign w:val="center"/>
          </w:tcPr>
          <w:p w14:paraId="7AAE2D93" w14:textId="3ECE570A" w:rsidR="00F626C0" w:rsidRPr="001B1170" w:rsidRDefault="00F626C0" w:rsidP="00F626C0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98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21</w:t>
            </w:r>
          </w:p>
        </w:tc>
        <w:tc>
          <w:tcPr>
            <w:tcW w:w="1561" w:type="dxa"/>
            <w:noWrap/>
            <w:tcMar>
              <w:left w:w="0" w:type="dxa"/>
              <w:right w:w="198" w:type="dxa"/>
            </w:tcMar>
            <w:vAlign w:val="center"/>
          </w:tcPr>
          <w:p w14:paraId="0717658E" w14:textId="3FC8256D" w:rsidR="00F626C0" w:rsidRPr="001B1170" w:rsidRDefault="00F626C0" w:rsidP="00F626C0">
            <w:pPr>
              <w:ind w:right="225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97,84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279FA386" w14:textId="77777777" w:rsidR="00F626C0" w:rsidRPr="001B1170" w:rsidRDefault="00F626C0" w:rsidP="00F626C0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3251023B" w14:textId="0160E0C2" w:rsidR="00F626C0" w:rsidRPr="001B1170" w:rsidRDefault="00F626C0" w:rsidP="00F626C0">
            <w:pPr>
              <w:ind w:right="25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-2,2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68CF4DE6" w14:textId="68411692" w:rsidR="00F626C0" w:rsidRPr="001B1170" w:rsidRDefault="00F626C0" w:rsidP="00F626C0">
            <w:pPr>
              <w:ind w:right="24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-0,38</w:t>
            </w:r>
          </w:p>
        </w:tc>
        <w:tc>
          <w:tcPr>
            <w:tcW w:w="1703" w:type="dxa"/>
            <w:vAlign w:val="center"/>
          </w:tcPr>
          <w:p w14:paraId="164D9D6D" w14:textId="7688BECE" w:rsidR="00F626C0" w:rsidRPr="001B1170" w:rsidRDefault="00F626C0" w:rsidP="00F626C0">
            <w:pPr>
              <w:ind w:right="46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-2,47</w:t>
            </w:r>
          </w:p>
        </w:tc>
      </w:tr>
      <w:tr w:rsidR="00F626C0" w:rsidRPr="001B1170" w14:paraId="3168295C" w14:textId="3A9D1452" w:rsidTr="00F626C0">
        <w:trPr>
          <w:gridAfter w:val="1"/>
          <w:wAfter w:w="12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13E03490" w14:textId="5C9535DC" w:rsidR="00F626C0" w:rsidRPr="001B1170" w:rsidRDefault="00F626C0" w:rsidP="00F626C0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Αν</w:t>
            </w:r>
            <w:proofErr w:type="spellEnd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αψυχή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, Αθλητισμός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 xml:space="preserve"> και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 xml:space="preserve"> Π</w:t>
            </w:r>
            <w:proofErr w:type="spellStart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ολιτισμός</w:t>
            </w:r>
            <w:proofErr w:type="spellEnd"/>
          </w:p>
        </w:tc>
        <w:tc>
          <w:tcPr>
            <w:tcW w:w="1559" w:type="dxa"/>
            <w:noWrap/>
            <w:tcMar>
              <w:left w:w="0" w:type="dxa"/>
              <w:right w:w="198" w:type="dxa"/>
            </w:tcMar>
            <w:vAlign w:val="center"/>
          </w:tcPr>
          <w:p w14:paraId="1B4D2413" w14:textId="2191A311" w:rsidR="00F626C0" w:rsidRPr="001B1170" w:rsidRDefault="00F626C0" w:rsidP="00F626C0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102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53</w:t>
            </w:r>
          </w:p>
        </w:tc>
        <w:tc>
          <w:tcPr>
            <w:tcW w:w="1561" w:type="dxa"/>
            <w:noWrap/>
            <w:tcMar>
              <w:left w:w="0" w:type="dxa"/>
              <w:right w:w="198" w:type="dxa"/>
            </w:tcMar>
            <w:vAlign w:val="center"/>
          </w:tcPr>
          <w:p w14:paraId="796DA35F" w14:textId="3A89CCFC" w:rsidR="00F626C0" w:rsidRPr="001B1170" w:rsidRDefault="00F626C0" w:rsidP="00F626C0">
            <w:pPr>
              <w:ind w:right="225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103,61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7E2175BC" w14:textId="77777777" w:rsidR="00F626C0" w:rsidRPr="001B1170" w:rsidRDefault="00F626C0" w:rsidP="00F626C0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64AEA1CF" w14:textId="42CFF86B" w:rsidR="00F626C0" w:rsidRPr="001B1170" w:rsidRDefault="00F626C0" w:rsidP="00F626C0">
            <w:pPr>
              <w:ind w:right="25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6,83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1A826D6D" w14:textId="47A4D1FE" w:rsidR="00F626C0" w:rsidRPr="001B1170" w:rsidRDefault="00F626C0" w:rsidP="00F626C0">
            <w:pPr>
              <w:ind w:right="24" w:firstLineChars="20" w:firstLine="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1,05</w:t>
            </w:r>
          </w:p>
        </w:tc>
        <w:tc>
          <w:tcPr>
            <w:tcW w:w="1703" w:type="dxa"/>
            <w:vAlign w:val="center"/>
          </w:tcPr>
          <w:p w14:paraId="372170B2" w14:textId="6A48F676" w:rsidR="00F626C0" w:rsidRPr="001B1170" w:rsidRDefault="00F626C0" w:rsidP="00F626C0">
            <w:pPr>
              <w:ind w:right="46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5,91</w:t>
            </w:r>
          </w:p>
        </w:tc>
      </w:tr>
      <w:tr w:rsidR="00F626C0" w:rsidRPr="001B1170" w14:paraId="4DA8FE93" w14:textId="18ED2D84" w:rsidTr="00F626C0">
        <w:trPr>
          <w:gridAfter w:val="1"/>
          <w:wAfter w:w="12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040786D7" w14:textId="3094A10B" w:rsidR="00F626C0" w:rsidRPr="001B1170" w:rsidRDefault="00F626C0" w:rsidP="00F626C0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Εκ</w:t>
            </w:r>
            <w:proofErr w:type="spellEnd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πα</w:t>
            </w:r>
            <w:proofErr w:type="spellStart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ιδ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ευ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τικές</w:t>
            </w:r>
            <w:proofErr w:type="spellEnd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 xml:space="preserve"> Υπηρεσίες</w:t>
            </w:r>
          </w:p>
        </w:tc>
        <w:tc>
          <w:tcPr>
            <w:tcW w:w="1559" w:type="dxa"/>
            <w:noWrap/>
            <w:tcMar>
              <w:left w:w="0" w:type="dxa"/>
              <w:right w:w="198" w:type="dxa"/>
            </w:tcMar>
            <w:vAlign w:val="center"/>
          </w:tcPr>
          <w:p w14:paraId="2FCCA678" w14:textId="35F25A34" w:rsidR="00F626C0" w:rsidRPr="001B1170" w:rsidRDefault="00F626C0" w:rsidP="00F626C0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102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33</w:t>
            </w:r>
          </w:p>
        </w:tc>
        <w:tc>
          <w:tcPr>
            <w:tcW w:w="1561" w:type="dxa"/>
            <w:noWrap/>
            <w:tcMar>
              <w:left w:w="0" w:type="dxa"/>
              <w:right w:w="198" w:type="dxa"/>
            </w:tcMar>
            <w:vAlign w:val="center"/>
          </w:tcPr>
          <w:p w14:paraId="591B248E" w14:textId="62808054" w:rsidR="00F626C0" w:rsidRPr="001B1170" w:rsidRDefault="00F626C0" w:rsidP="00F626C0">
            <w:pPr>
              <w:ind w:right="225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102,33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0156490F" w14:textId="77777777" w:rsidR="00F626C0" w:rsidRPr="001B1170" w:rsidRDefault="00F626C0" w:rsidP="00F626C0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663D8662" w14:textId="5C9ACE48" w:rsidR="00F626C0" w:rsidRPr="001B1170" w:rsidRDefault="00F626C0" w:rsidP="00F626C0">
            <w:pPr>
              <w:ind w:right="25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3,41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615957CF" w14:textId="4837EF07" w:rsidR="00F626C0" w:rsidRPr="00F626C0" w:rsidRDefault="00F626C0" w:rsidP="00F626C0">
            <w:pPr>
              <w:ind w:right="24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00</w:t>
            </w:r>
          </w:p>
        </w:tc>
        <w:tc>
          <w:tcPr>
            <w:tcW w:w="1703" w:type="dxa"/>
            <w:vAlign w:val="center"/>
          </w:tcPr>
          <w:p w14:paraId="5DF7D40D" w14:textId="33D6C705" w:rsidR="00F626C0" w:rsidRPr="001B1170" w:rsidRDefault="00F626C0" w:rsidP="00F626C0">
            <w:pPr>
              <w:ind w:right="46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3,41</w:t>
            </w:r>
          </w:p>
        </w:tc>
      </w:tr>
      <w:tr w:rsidR="00F626C0" w:rsidRPr="001B1170" w14:paraId="2F3D1C78" w14:textId="078EF248" w:rsidTr="00F626C0">
        <w:trPr>
          <w:gridAfter w:val="1"/>
          <w:wAfter w:w="12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673B39AC" w14:textId="1073A21D" w:rsidR="00F626C0" w:rsidRPr="001B1170" w:rsidRDefault="00F626C0" w:rsidP="00F626C0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Εστιατόρια και Υπηρεσίες Παροχής Καταλύματος</w:t>
            </w:r>
          </w:p>
        </w:tc>
        <w:tc>
          <w:tcPr>
            <w:tcW w:w="1559" w:type="dxa"/>
            <w:noWrap/>
            <w:tcMar>
              <w:left w:w="0" w:type="dxa"/>
              <w:right w:w="198" w:type="dxa"/>
            </w:tcMar>
            <w:vAlign w:val="center"/>
          </w:tcPr>
          <w:p w14:paraId="66206761" w14:textId="6FF49304" w:rsidR="00F626C0" w:rsidRPr="001B1170" w:rsidRDefault="00F626C0" w:rsidP="00F626C0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99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50</w:t>
            </w:r>
          </w:p>
        </w:tc>
        <w:tc>
          <w:tcPr>
            <w:tcW w:w="1561" w:type="dxa"/>
            <w:noWrap/>
            <w:tcMar>
              <w:left w:w="0" w:type="dxa"/>
              <w:right w:w="198" w:type="dxa"/>
            </w:tcMar>
            <w:vAlign w:val="center"/>
          </w:tcPr>
          <w:p w14:paraId="042AE3A9" w14:textId="7305BA91" w:rsidR="00F626C0" w:rsidRPr="001B1170" w:rsidRDefault="00F626C0" w:rsidP="00F626C0">
            <w:pPr>
              <w:ind w:right="225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102,02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7C6C81B0" w14:textId="77777777" w:rsidR="00F626C0" w:rsidRPr="001B1170" w:rsidRDefault="00F626C0" w:rsidP="00F626C0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69B83F16" w14:textId="2FDE63C7" w:rsidR="00F626C0" w:rsidRPr="001B1170" w:rsidRDefault="00F626C0" w:rsidP="00F626C0">
            <w:pPr>
              <w:ind w:right="25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4,78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5C591C76" w14:textId="6C04981D" w:rsidR="00F626C0" w:rsidRPr="001B1170" w:rsidRDefault="00F626C0" w:rsidP="00F626C0">
            <w:pPr>
              <w:ind w:right="24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2,53</w:t>
            </w:r>
          </w:p>
        </w:tc>
        <w:tc>
          <w:tcPr>
            <w:tcW w:w="1703" w:type="dxa"/>
            <w:vAlign w:val="center"/>
          </w:tcPr>
          <w:p w14:paraId="11F17BCA" w14:textId="1DE99081" w:rsidR="00F626C0" w:rsidRPr="001B1170" w:rsidRDefault="00F626C0" w:rsidP="00F626C0">
            <w:pPr>
              <w:ind w:right="46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4,21</w:t>
            </w:r>
          </w:p>
        </w:tc>
      </w:tr>
      <w:tr w:rsidR="00F626C0" w:rsidRPr="001B1170" w14:paraId="64D9DA00" w14:textId="7826C0BB" w:rsidTr="00F626C0">
        <w:trPr>
          <w:gridAfter w:val="1"/>
          <w:wAfter w:w="12" w:type="dxa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23E34084" w14:textId="3F1EE9C2" w:rsidR="00F626C0" w:rsidRPr="001B1170" w:rsidRDefault="00F626C0" w:rsidP="00F626C0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Ασφαλιστικές και Χρηματοπιστωτικές Υπηρεσίες</w:t>
            </w:r>
          </w:p>
        </w:tc>
        <w:tc>
          <w:tcPr>
            <w:tcW w:w="1559" w:type="dxa"/>
            <w:noWrap/>
            <w:tcMar>
              <w:left w:w="0" w:type="dxa"/>
              <w:right w:w="198" w:type="dxa"/>
            </w:tcMar>
            <w:vAlign w:val="center"/>
          </w:tcPr>
          <w:p w14:paraId="602EC338" w14:textId="176F4963" w:rsidR="00F626C0" w:rsidRPr="001B1170" w:rsidRDefault="00F626C0" w:rsidP="00F626C0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05</w:t>
            </w:r>
          </w:p>
        </w:tc>
        <w:tc>
          <w:tcPr>
            <w:tcW w:w="1561" w:type="dxa"/>
            <w:noWrap/>
            <w:tcMar>
              <w:left w:w="0" w:type="dxa"/>
              <w:right w:w="198" w:type="dxa"/>
            </w:tcMar>
            <w:vAlign w:val="center"/>
          </w:tcPr>
          <w:p w14:paraId="7D042F2E" w14:textId="6E0B278D" w:rsidR="00F626C0" w:rsidRPr="001B1170" w:rsidRDefault="00F626C0" w:rsidP="00F626C0">
            <w:pPr>
              <w:ind w:right="225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100,05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2492F0DF" w14:textId="77777777" w:rsidR="00F626C0" w:rsidRPr="001B1170" w:rsidRDefault="00F626C0" w:rsidP="00F626C0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noWrap/>
            <w:tcMar>
              <w:left w:w="0" w:type="dxa"/>
              <w:right w:w="397" w:type="dxa"/>
            </w:tcMar>
            <w:vAlign w:val="center"/>
          </w:tcPr>
          <w:p w14:paraId="342F69EA" w14:textId="1200BA65" w:rsidR="00F626C0" w:rsidRPr="001B1170" w:rsidRDefault="00F626C0" w:rsidP="00F626C0">
            <w:pPr>
              <w:ind w:right="25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0,03</w:t>
            </w:r>
          </w:p>
        </w:tc>
        <w:tc>
          <w:tcPr>
            <w:tcW w:w="1275" w:type="dxa"/>
            <w:noWrap/>
            <w:tcMar>
              <w:left w:w="0" w:type="dxa"/>
              <w:right w:w="397" w:type="dxa"/>
            </w:tcMar>
            <w:vAlign w:val="center"/>
          </w:tcPr>
          <w:p w14:paraId="19FEF3C0" w14:textId="523BF8A8" w:rsidR="00F626C0" w:rsidRPr="00F626C0" w:rsidRDefault="00F626C0" w:rsidP="00F626C0">
            <w:pPr>
              <w:ind w:right="24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00</w:t>
            </w:r>
          </w:p>
        </w:tc>
        <w:tc>
          <w:tcPr>
            <w:tcW w:w="1703" w:type="dxa"/>
            <w:vAlign w:val="center"/>
          </w:tcPr>
          <w:p w14:paraId="01BCC9A9" w14:textId="4ACBBD35" w:rsidR="00F626C0" w:rsidRPr="00F626C0" w:rsidRDefault="00F626C0" w:rsidP="00F626C0">
            <w:pPr>
              <w:ind w:right="46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0,1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</w:p>
        </w:tc>
      </w:tr>
      <w:tr w:rsidR="00F626C0" w:rsidRPr="001B1170" w14:paraId="63DB8116" w14:textId="42911875" w:rsidTr="00EA0DD5">
        <w:trPr>
          <w:gridAfter w:val="1"/>
          <w:wAfter w:w="12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bottom w:val="single" w:sz="4" w:space="0" w:color="366092"/>
            </w:tcBorders>
            <w:vAlign w:val="center"/>
          </w:tcPr>
          <w:p w14:paraId="5679E4E2" w14:textId="69E50AC3" w:rsidR="00F626C0" w:rsidRPr="001B1170" w:rsidRDefault="00F626C0" w:rsidP="00F626C0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Προσωπική Φροντίδα, Κοινωνική Προστασία και Διάφορα Αγαθά και Υπηρεσίες</w:t>
            </w:r>
          </w:p>
        </w:tc>
        <w:tc>
          <w:tcPr>
            <w:tcW w:w="1559" w:type="dxa"/>
            <w:tcBorders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1D4EA246" w14:textId="109A3826" w:rsidR="00F626C0" w:rsidRPr="001B1170" w:rsidRDefault="00F626C0" w:rsidP="00F626C0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</w:t>
            </w:r>
            <w: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6929D3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41</w:t>
            </w:r>
          </w:p>
        </w:tc>
        <w:tc>
          <w:tcPr>
            <w:tcW w:w="1561" w:type="dxa"/>
            <w:tcBorders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6CB407AE" w14:textId="4251EACB" w:rsidR="00F626C0" w:rsidRPr="001B1170" w:rsidRDefault="00F626C0" w:rsidP="00F626C0">
            <w:pPr>
              <w:ind w:right="225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100,64</w:t>
            </w:r>
          </w:p>
        </w:tc>
        <w:tc>
          <w:tcPr>
            <w:tcW w:w="240" w:type="dxa"/>
            <w:tcBorders>
              <w:bottom w:val="single" w:sz="4" w:space="0" w:color="366092"/>
            </w:tcBorders>
            <w:noWrap/>
            <w:tcMar>
              <w:left w:w="0" w:type="dxa"/>
              <w:right w:w="28" w:type="dxa"/>
            </w:tcMar>
            <w:vAlign w:val="center"/>
          </w:tcPr>
          <w:p w14:paraId="51979D83" w14:textId="77777777" w:rsidR="00F626C0" w:rsidRPr="001B1170" w:rsidRDefault="00F626C0" w:rsidP="00F626C0">
            <w:pPr>
              <w:ind w:right="22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tcBorders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40829BCF" w14:textId="61A91EC5" w:rsidR="00F626C0" w:rsidRPr="006929D3" w:rsidRDefault="00F626C0" w:rsidP="00F626C0">
            <w:pPr>
              <w:ind w:right="25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0,74</w:t>
            </w:r>
          </w:p>
        </w:tc>
        <w:tc>
          <w:tcPr>
            <w:tcW w:w="1275" w:type="dxa"/>
            <w:tcBorders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6DA01948" w14:textId="31F63103" w:rsidR="00F626C0" w:rsidRPr="001B1170" w:rsidRDefault="00F626C0" w:rsidP="00F626C0">
            <w:pPr>
              <w:ind w:right="24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0,23</w:t>
            </w:r>
          </w:p>
        </w:tc>
        <w:tc>
          <w:tcPr>
            <w:tcW w:w="1703" w:type="dxa"/>
            <w:tcBorders>
              <w:bottom w:val="single" w:sz="4" w:space="0" w:color="366092"/>
            </w:tcBorders>
            <w:vAlign w:val="center"/>
          </w:tcPr>
          <w:p w14:paraId="536425F5" w14:textId="6F516479" w:rsidR="00F626C0" w:rsidRPr="001B1170" w:rsidRDefault="00F626C0" w:rsidP="00F626C0">
            <w:pPr>
              <w:ind w:right="46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1,16</w:t>
            </w:r>
          </w:p>
        </w:tc>
      </w:tr>
      <w:tr w:rsidR="00F626C0" w:rsidRPr="001B1170" w14:paraId="57C62558" w14:textId="44111699" w:rsidTr="00EA0DD5">
        <w:trPr>
          <w:gridAfter w:val="1"/>
          <w:wAfter w:w="12" w:type="dxa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366092"/>
              <w:bottom w:val="single" w:sz="4" w:space="0" w:color="366092"/>
            </w:tcBorders>
            <w:tcMar>
              <w:right w:w="0" w:type="dxa"/>
            </w:tcMar>
            <w:vAlign w:val="center"/>
          </w:tcPr>
          <w:p w14:paraId="76F4097F" w14:textId="1BBDC653" w:rsidR="00F626C0" w:rsidRPr="001B1170" w:rsidRDefault="00F626C0" w:rsidP="00F626C0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B1170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Γενικός </w:t>
            </w:r>
            <w:proofErr w:type="spellStart"/>
            <w:r w:rsidRPr="001B1170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ΕνΔΤΚ</w:t>
            </w:r>
            <w:proofErr w:type="spellEnd"/>
            <w:r w:rsidRPr="001B1170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0B1D4B8B" w14:textId="592C5993" w:rsidR="00F626C0" w:rsidRPr="001B1170" w:rsidRDefault="00F626C0" w:rsidP="00F626C0">
            <w:pPr>
              <w:ind w:right="228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929D3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100,45</w:t>
            </w:r>
          </w:p>
        </w:tc>
        <w:tc>
          <w:tcPr>
            <w:tcW w:w="1561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7DE7D774" w14:textId="5FF99A5B" w:rsidR="00F626C0" w:rsidRPr="00CF77B5" w:rsidRDefault="00F626C0" w:rsidP="00F626C0">
            <w:pPr>
              <w:ind w:right="225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102,68</w:t>
            </w:r>
          </w:p>
        </w:tc>
        <w:tc>
          <w:tcPr>
            <w:tcW w:w="240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28" w:type="dxa"/>
            </w:tcMar>
            <w:vAlign w:val="center"/>
          </w:tcPr>
          <w:p w14:paraId="424173AD" w14:textId="77777777" w:rsidR="00F626C0" w:rsidRPr="001B1170" w:rsidRDefault="00F626C0" w:rsidP="00F626C0">
            <w:pPr>
              <w:ind w:right="228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18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63FF9B79" w14:textId="7236243B" w:rsidR="00F626C0" w:rsidRPr="001B1170" w:rsidRDefault="00F626C0" w:rsidP="00F626C0">
            <w:pPr>
              <w:ind w:right="25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3,01</w:t>
            </w:r>
          </w:p>
        </w:tc>
        <w:tc>
          <w:tcPr>
            <w:tcW w:w="1275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5FFC52D0" w14:textId="4DDC2442" w:rsidR="00F626C0" w:rsidRPr="001B1170" w:rsidRDefault="00F626C0" w:rsidP="00F626C0">
            <w:pPr>
              <w:ind w:right="24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2,22</w:t>
            </w:r>
          </w:p>
        </w:tc>
        <w:tc>
          <w:tcPr>
            <w:tcW w:w="1703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E9CC951" w14:textId="400AF0B5" w:rsidR="00F626C0" w:rsidRPr="001B1170" w:rsidRDefault="00F626C0" w:rsidP="00F626C0">
            <w:pPr>
              <w:ind w:right="461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626C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1,67</w:t>
            </w:r>
          </w:p>
        </w:tc>
      </w:tr>
    </w:tbl>
    <w:p w14:paraId="5A3ED84F" w14:textId="77777777" w:rsidR="007F5FBB" w:rsidRDefault="007F5FBB" w:rsidP="00C0713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E7D144C" w14:textId="77777777" w:rsidR="00A55D89" w:rsidRPr="00C07136" w:rsidRDefault="00A55D89" w:rsidP="00C0713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10609" w:type="dxa"/>
        <w:jc w:val="center"/>
        <w:tblLayout w:type="fixed"/>
        <w:tblLook w:val="04A0" w:firstRow="1" w:lastRow="0" w:firstColumn="1" w:lastColumn="0" w:noHBand="0" w:noVBand="1"/>
      </w:tblPr>
      <w:tblGrid>
        <w:gridCol w:w="3479"/>
        <w:gridCol w:w="2222"/>
        <w:gridCol w:w="2493"/>
        <w:gridCol w:w="2415"/>
      </w:tblGrid>
      <w:tr w:rsidR="00AF5CC6" w:rsidRPr="00EA0DD5" w14:paraId="09088547" w14:textId="77777777" w:rsidTr="001B1170">
        <w:trPr>
          <w:trHeight w:val="227"/>
          <w:jc w:val="center"/>
        </w:trPr>
        <w:tc>
          <w:tcPr>
            <w:tcW w:w="5000" w:type="pct"/>
            <w:gridSpan w:val="4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37FD3C8B" w14:textId="77777777" w:rsidR="00AF5CC6" w:rsidRPr="00EA0DD5" w:rsidRDefault="00AF5CC6" w:rsidP="00A55D89">
            <w:pPr>
              <w:tabs>
                <w:tab w:val="left" w:pos="495"/>
              </w:tabs>
              <w:ind w:left="37" w:right="41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A0DD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</w:tr>
      <w:tr w:rsidR="00AF5CC6" w:rsidRPr="00EA0DD5" w14:paraId="36F39CC8" w14:textId="77777777" w:rsidTr="001B1170">
        <w:trPr>
          <w:trHeight w:val="330"/>
          <w:jc w:val="center"/>
        </w:trPr>
        <w:tc>
          <w:tcPr>
            <w:tcW w:w="1640" w:type="pct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6EDB409" w14:textId="77777777" w:rsidR="00AF5CC6" w:rsidRPr="00EA0DD5" w:rsidRDefault="00AF5CC6" w:rsidP="00B56410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A0DD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Οικονομικές Κατηγορίες</w:t>
            </w:r>
          </w:p>
        </w:tc>
        <w:tc>
          <w:tcPr>
            <w:tcW w:w="1047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F662B9E" w14:textId="77777777" w:rsidR="00813A56" w:rsidRPr="00EA0DD5" w:rsidRDefault="00AF5CC6" w:rsidP="00813A56">
            <w:pPr>
              <w:ind w:leftChars="-4" w:left="-2" w:hangingChars="4" w:hanging="7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EA0DD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</w:t>
            </w:r>
          </w:p>
          <w:p w14:paraId="08207C70" w14:textId="75D1097E" w:rsidR="00AF5CC6" w:rsidRPr="00EA0DD5" w:rsidRDefault="00AF5CC6" w:rsidP="00813A56">
            <w:pPr>
              <w:ind w:leftChars="-4" w:left="-2" w:hangingChars="4" w:hanging="7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A0DD5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Στάθμισης</w:t>
            </w:r>
          </w:p>
        </w:tc>
        <w:tc>
          <w:tcPr>
            <w:tcW w:w="2313" w:type="pct"/>
            <w:gridSpan w:val="2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61528CE2" w14:textId="77777777" w:rsidR="00AF5CC6" w:rsidRPr="00EA0DD5" w:rsidRDefault="00AF5CC6" w:rsidP="00FA5F4A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EA0DD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Μ</w:t>
            </w:r>
            <w:r w:rsidRPr="00EA0DD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εταβολές</w:t>
            </w:r>
            <w:r w:rsidRPr="00EA0DD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(%)</w:t>
            </w:r>
          </w:p>
        </w:tc>
      </w:tr>
      <w:tr w:rsidR="007B536B" w:rsidRPr="00EA0DD5" w14:paraId="1F92CDFF" w14:textId="77777777" w:rsidTr="00233F37">
        <w:trPr>
          <w:trHeight w:val="454"/>
          <w:jc w:val="center"/>
        </w:trPr>
        <w:tc>
          <w:tcPr>
            <w:tcW w:w="1640" w:type="pct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3AD286F6" w14:textId="77777777" w:rsidR="007B536B" w:rsidRPr="00EA0DD5" w:rsidRDefault="007B536B" w:rsidP="007B536B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47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39907132" w14:textId="77777777" w:rsidR="007B536B" w:rsidRPr="00EA0DD5" w:rsidRDefault="007B536B" w:rsidP="007B536B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175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59BAF57" w14:textId="56C9F03B" w:rsidR="007B536B" w:rsidRPr="00EA0DD5" w:rsidRDefault="00963346" w:rsidP="00813A5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A0DD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="007B536B" w:rsidRPr="00EA0DD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3B7C52" w:rsidRPr="00EA0DD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6</w:t>
            </w:r>
            <w:r w:rsidR="007B536B" w:rsidRPr="00EA0DD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</w:t>
            </w:r>
          </w:p>
          <w:p w14:paraId="1A7952FF" w14:textId="2DE17C83" w:rsidR="007B536B" w:rsidRPr="00EA0DD5" w:rsidRDefault="00963346" w:rsidP="00813A5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EA0DD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="007B536B" w:rsidRPr="00EA0DD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3B7C52" w:rsidRPr="00EA0DD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138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5C81766C" w14:textId="2907BEEC" w:rsidR="007B536B" w:rsidRPr="00EA0DD5" w:rsidRDefault="00963346" w:rsidP="00813A5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A0DD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="007B536B" w:rsidRPr="00EA0DD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3B7C52" w:rsidRPr="00EA0DD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6</w:t>
            </w:r>
            <w:r w:rsidR="007B536B" w:rsidRPr="00EA0DD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</w:t>
            </w:r>
          </w:p>
          <w:p w14:paraId="1598BCE1" w14:textId="37D8BF1E" w:rsidR="007B536B" w:rsidRPr="00EA0DD5" w:rsidRDefault="00963346" w:rsidP="00813A5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A0DD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7B536B" w:rsidRPr="00EA0DD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131F3A" w:rsidRPr="00EA0DD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F626C0" w:rsidRPr="00EA0DD5" w14:paraId="4E8D6A7B" w14:textId="77777777" w:rsidTr="00233F37">
        <w:trPr>
          <w:trHeight w:val="414"/>
          <w:jc w:val="center"/>
        </w:trPr>
        <w:tc>
          <w:tcPr>
            <w:tcW w:w="1640" w:type="pct"/>
            <w:tcBorders>
              <w:top w:val="single" w:sz="4" w:space="0" w:color="366092"/>
              <w:left w:val="nil"/>
            </w:tcBorders>
            <w:shd w:val="clear" w:color="FFFFFF" w:fill="FFFFFF"/>
            <w:noWrap/>
            <w:vAlign w:val="center"/>
            <w:hideMark/>
          </w:tcPr>
          <w:p w14:paraId="5DF56356" w14:textId="5A6E2987" w:rsidR="00F626C0" w:rsidRPr="00EA0DD5" w:rsidRDefault="00F626C0" w:rsidP="00F626C0">
            <w:pPr>
              <w:ind w:right="57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EA0DD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</w:t>
            </w:r>
            <w:proofErr w:type="spellEnd"/>
            <w:r w:rsidRPr="00EA0DD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EA0DD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Εν</w:t>
            </w:r>
            <w:r w:rsidRPr="00EA0DD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Δ</w:t>
            </w:r>
            <w:r w:rsidRPr="00EA0DD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ΤΚ</w:t>
            </w:r>
            <w:r w:rsidRPr="00EA0DD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</w:p>
        </w:tc>
        <w:tc>
          <w:tcPr>
            <w:tcW w:w="1047" w:type="pct"/>
            <w:tcBorders>
              <w:top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29F0C0D2" w14:textId="3E70D8F1" w:rsidR="00F626C0" w:rsidRPr="00EA0DD5" w:rsidRDefault="00F626C0" w:rsidP="00F626C0">
            <w:pPr>
              <w:ind w:right="680" w:firstLineChars="200" w:firstLine="361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A0DD5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1000</w:t>
            </w:r>
          </w:p>
        </w:tc>
        <w:tc>
          <w:tcPr>
            <w:tcW w:w="1175" w:type="pct"/>
            <w:tcBorders>
              <w:top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14220551" w14:textId="308FE40D" w:rsidR="00F626C0" w:rsidRPr="00EA0DD5" w:rsidRDefault="00F626C0" w:rsidP="00F626C0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A0DD5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3</w:t>
            </w:r>
            <w:r w:rsidR="00A75A50" w:rsidRPr="00EA0DD5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,</w:t>
            </w:r>
            <w:r w:rsidRPr="00EA0DD5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</w:t>
            </w:r>
          </w:p>
        </w:tc>
        <w:tc>
          <w:tcPr>
            <w:tcW w:w="1138" w:type="pct"/>
            <w:tcBorders>
              <w:top w:val="single" w:sz="4" w:space="0" w:color="366092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  <w:hideMark/>
          </w:tcPr>
          <w:p w14:paraId="7832C3C6" w14:textId="15C3A81B" w:rsidR="00F626C0" w:rsidRPr="00EA0DD5" w:rsidRDefault="00F626C0" w:rsidP="00F626C0">
            <w:pPr>
              <w:tabs>
                <w:tab w:val="left" w:pos="2001"/>
              </w:tabs>
              <w:ind w:right="968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A0DD5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2,2</w:t>
            </w:r>
          </w:p>
        </w:tc>
      </w:tr>
      <w:tr w:rsidR="00F626C0" w:rsidRPr="00EA0DD5" w14:paraId="479D0600" w14:textId="77777777" w:rsidTr="00233F37">
        <w:trPr>
          <w:trHeight w:val="340"/>
          <w:jc w:val="center"/>
        </w:trPr>
        <w:tc>
          <w:tcPr>
            <w:tcW w:w="164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23ACBB9" w14:textId="77777777" w:rsidR="00F626C0" w:rsidRPr="00EA0DD5" w:rsidRDefault="00F626C0" w:rsidP="00F626C0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A0DD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Ενέργεια</w:t>
            </w:r>
          </w:p>
        </w:tc>
        <w:tc>
          <w:tcPr>
            <w:tcW w:w="104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4A64648" w14:textId="08625253" w:rsidR="00F626C0" w:rsidRPr="00EA0DD5" w:rsidRDefault="00F626C0" w:rsidP="00F626C0">
            <w:pPr>
              <w:tabs>
                <w:tab w:val="left" w:pos="2001"/>
              </w:tabs>
              <w:jc w:val="center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A0DD5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88,45</w:t>
            </w:r>
          </w:p>
        </w:tc>
        <w:tc>
          <w:tcPr>
            <w:tcW w:w="117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39E31C56" w14:textId="638E6CD8" w:rsidR="00F626C0" w:rsidRPr="00EA0DD5" w:rsidRDefault="00F626C0" w:rsidP="00F626C0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A0DD5">
              <w:rPr>
                <w:rFonts w:ascii="Verdana" w:hAnsi="Verdana" w:cs="Calibri"/>
                <w:color w:val="366092"/>
                <w:sz w:val="18"/>
                <w:szCs w:val="18"/>
              </w:rPr>
              <w:t>8,5</w:t>
            </w:r>
          </w:p>
        </w:tc>
        <w:tc>
          <w:tcPr>
            <w:tcW w:w="1138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58C2E376" w14:textId="50BA8FD5" w:rsidR="00F626C0" w:rsidRPr="00EA0DD5" w:rsidRDefault="00F626C0" w:rsidP="00F626C0">
            <w:pPr>
              <w:tabs>
                <w:tab w:val="left" w:pos="2001"/>
              </w:tabs>
              <w:ind w:right="968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A0DD5">
              <w:rPr>
                <w:rFonts w:ascii="Verdana" w:hAnsi="Verdana" w:cs="Calibri"/>
                <w:color w:val="366092"/>
                <w:sz w:val="18"/>
                <w:szCs w:val="18"/>
              </w:rPr>
              <w:t>7,5</w:t>
            </w:r>
          </w:p>
        </w:tc>
      </w:tr>
      <w:tr w:rsidR="00F626C0" w:rsidRPr="00EA0DD5" w14:paraId="675AD979" w14:textId="77777777" w:rsidTr="00233F37">
        <w:trPr>
          <w:trHeight w:val="340"/>
          <w:jc w:val="center"/>
        </w:trPr>
        <w:tc>
          <w:tcPr>
            <w:tcW w:w="164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DFC098F" w14:textId="77777777" w:rsidR="00F626C0" w:rsidRPr="00EA0DD5" w:rsidRDefault="00F626C0" w:rsidP="00F626C0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EA0DD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Τρόφιμ</w:t>
            </w:r>
            <w:proofErr w:type="spellEnd"/>
            <w:r w:rsidRPr="00EA0DD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α-Αλκοολούχα </w:t>
            </w:r>
            <w:proofErr w:type="spellStart"/>
            <w:r w:rsidRPr="00EA0DD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Ποτά</w:t>
            </w:r>
            <w:proofErr w:type="spellEnd"/>
            <w:r w:rsidRPr="00EA0DD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-Καπ</w:t>
            </w:r>
            <w:proofErr w:type="spellStart"/>
            <w:r w:rsidRPr="00EA0DD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νός</w:t>
            </w:r>
            <w:proofErr w:type="spellEnd"/>
          </w:p>
        </w:tc>
        <w:tc>
          <w:tcPr>
            <w:tcW w:w="104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907B1CD" w14:textId="09AABA5A" w:rsidR="00F626C0" w:rsidRPr="00EA0DD5" w:rsidRDefault="00F626C0" w:rsidP="00F626C0">
            <w:pPr>
              <w:tabs>
                <w:tab w:val="left" w:pos="2001"/>
              </w:tabs>
              <w:jc w:val="center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A0DD5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205,02</w:t>
            </w:r>
          </w:p>
        </w:tc>
        <w:tc>
          <w:tcPr>
            <w:tcW w:w="117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373CF33E" w14:textId="479F5F0C" w:rsidR="00F626C0" w:rsidRPr="00EA0DD5" w:rsidRDefault="00F626C0" w:rsidP="00F626C0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A0DD5">
              <w:rPr>
                <w:rFonts w:ascii="Verdana" w:hAnsi="Verdana" w:cs="Calibri"/>
                <w:color w:val="366092"/>
                <w:sz w:val="18"/>
                <w:szCs w:val="18"/>
              </w:rPr>
              <w:t>4,3</w:t>
            </w:r>
          </w:p>
        </w:tc>
        <w:tc>
          <w:tcPr>
            <w:tcW w:w="1138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384C6F69" w14:textId="721C460D" w:rsidR="00F626C0" w:rsidRPr="00EA0DD5" w:rsidRDefault="00F626C0" w:rsidP="00F626C0">
            <w:pPr>
              <w:tabs>
                <w:tab w:val="left" w:pos="2001"/>
              </w:tabs>
              <w:ind w:right="968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A0DD5">
              <w:rPr>
                <w:rFonts w:ascii="Verdana" w:hAnsi="Verdana" w:cs="Calibri"/>
                <w:color w:val="366092"/>
                <w:sz w:val="18"/>
                <w:szCs w:val="18"/>
              </w:rPr>
              <w:t>-0,5</w:t>
            </w:r>
          </w:p>
        </w:tc>
      </w:tr>
      <w:tr w:rsidR="00F626C0" w:rsidRPr="00EA0DD5" w14:paraId="1C369CAC" w14:textId="77777777" w:rsidTr="00233F37">
        <w:trPr>
          <w:trHeight w:val="510"/>
          <w:jc w:val="center"/>
        </w:trPr>
        <w:tc>
          <w:tcPr>
            <w:tcW w:w="164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355D7FE" w14:textId="4B45EE8C" w:rsidR="00F626C0" w:rsidRPr="00EA0DD5" w:rsidRDefault="00F626C0" w:rsidP="00F626C0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bookmarkStart w:id="1" w:name="_Hlk159486445"/>
            <w:proofErr w:type="spellStart"/>
            <w:r w:rsidRPr="00EA0DD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Μη</w:t>
            </w:r>
            <w:proofErr w:type="spellEnd"/>
            <w:r w:rsidRPr="00EA0DD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</w:t>
            </w:r>
            <w:r w:rsidRPr="00EA0DD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</w:t>
            </w:r>
            <w:proofErr w:type="spellStart"/>
            <w:r w:rsidRPr="00EA0DD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νεργει</w:t>
            </w:r>
            <w:proofErr w:type="spellEnd"/>
            <w:r w:rsidRPr="00EA0DD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ακά </w:t>
            </w:r>
            <w:r w:rsidRPr="00EA0DD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Β</w:t>
            </w:r>
            <w:proofErr w:type="spellStart"/>
            <w:r w:rsidRPr="00EA0DD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ιομηχ</w:t>
            </w:r>
            <w:proofErr w:type="spellEnd"/>
            <w:r w:rsidRPr="00EA0DD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ανικά </w:t>
            </w:r>
            <w:r w:rsidRPr="00EA0DD5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</w:t>
            </w:r>
            <w:proofErr w:type="spellStart"/>
            <w:r w:rsidRPr="00EA0DD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ροϊόντ</w:t>
            </w:r>
            <w:proofErr w:type="spellEnd"/>
            <w:r w:rsidRPr="00EA0DD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</w:t>
            </w:r>
            <w:bookmarkEnd w:id="1"/>
          </w:p>
        </w:tc>
        <w:tc>
          <w:tcPr>
            <w:tcW w:w="104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F4BE75E" w14:textId="3F37621B" w:rsidR="00F626C0" w:rsidRPr="00EA0DD5" w:rsidRDefault="00F626C0" w:rsidP="00F626C0">
            <w:pPr>
              <w:tabs>
                <w:tab w:val="left" w:pos="2001"/>
              </w:tabs>
              <w:jc w:val="center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A0DD5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223,72</w:t>
            </w:r>
          </w:p>
        </w:tc>
        <w:tc>
          <w:tcPr>
            <w:tcW w:w="117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0DF7CE8E" w14:textId="2686E3A7" w:rsidR="00F626C0" w:rsidRPr="00EA0DD5" w:rsidRDefault="00F626C0" w:rsidP="00F626C0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A0DD5">
              <w:rPr>
                <w:rFonts w:ascii="Verdana" w:hAnsi="Verdana" w:cs="Calibri"/>
                <w:color w:val="366092"/>
                <w:sz w:val="18"/>
                <w:szCs w:val="18"/>
              </w:rPr>
              <w:t>-2,5</w:t>
            </w:r>
          </w:p>
        </w:tc>
        <w:tc>
          <w:tcPr>
            <w:tcW w:w="1138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76BBC30C" w14:textId="583D637F" w:rsidR="00F626C0" w:rsidRPr="00EA0DD5" w:rsidRDefault="00F626C0" w:rsidP="00F626C0">
            <w:pPr>
              <w:tabs>
                <w:tab w:val="left" w:pos="2001"/>
              </w:tabs>
              <w:ind w:right="968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A0DD5">
              <w:rPr>
                <w:rFonts w:ascii="Verdana" w:hAnsi="Verdana" w:cs="Calibri"/>
                <w:color w:val="366092"/>
                <w:sz w:val="18"/>
                <w:szCs w:val="18"/>
              </w:rPr>
              <w:t>1,5</w:t>
            </w:r>
          </w:p>
        </w:tc>
      </w:tr>
      <w:tr w:rsidR="00F626C0" w:rsidRPr="00EA0DD5" w14:paraId="365CC113" w14:textId="77777777" w:rsidTr="00233F37">
        <w:trPr>
          <w:trHeight w:val="394"/>
          <w:jc w:val="center"/>
        </w:trPr>
        <w:tc>
          <w:tcPr>
            <w:tcW w:w="1640" w:type="pct"/>
            <w:tcBorders>
              <w:top w:val="nil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762528F4" w14:textId="77777777" w:rsidR="00F626C0" w:rsidRPr="00EA0DD5" w:rsidRDefault="00F626C0" w:rsidP="00F626C0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bookmarkStart w:id="2" w:name="_Hlk169517282"/>
            <w:r w:rsidRPr="00EA0DD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Υπ</w:t>
            </w:r>
            <w:proofErr w:type="spellStart"/>
            <w:r w:rsidRPr="00EA0DD5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ηρεσίες</w:t>
            </w:r>
            <w:proofErr w:type="spellEnd"/>
          </w:p>
        </w:tc>
        <w:tc>
          <w:tcPr>
            <w:tcW w:w="1047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0AA11ADF" w14:textId="1467E8A3" w:rsidR="00F626C0" w:rsidRPr="00EA0DD5" w:rsidRDefault="00F626C0" w:rsidP="00F626C0">
            <w:pPr>
              <w:tabs>
                <w:tab w:val="left" w:pos="2001"/>
              </w:tabs>
              <w:jc w:val="center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A0DD5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482,81</w:t>
            </w:r>
          </w:p>
        </w:tc>
        <w:tc>
          <w:tcPr>
            <w:tcW w:w="1175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619084CC" w14:textId="18DF4663" w:rsidR="00F626C0" w:rsidRPr="00EA0DD5" w:rsidRDefault="00F626C0" w:rsidP="00F626C0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A0DD5">
              <w:rPr>
                <w:rFonts w:ascii="Verdana" w:hAnsi="Verdana" w:cs="Calibri"/>
                <w:color w:val="366092"/>
                <w:sz w:val="18"/>
                <w:szCs w:val="18"/>
              </w:rPr>
              <w:t>4,1</w:t>
            </w:r>
          </w:p>
        </w:tc>
        <w:tc>
          <w:tcPr>
            <w:tcW w:w="1138" w:type="pct"/>
            <w:tcBorders>
              <w:top w:val="nil"/>
              <w:bottom w:val="single" w:sz="4" w:space="0" w:color="366092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00437143" w14:textId="128B103C" w:rsidR="00F626C0" w:rsidRPr="00EA0DD5" w:rsidRDefault="00F626C0" w:rsidP="00F626C0">
            <w:pPr>
              <w:tabs>
                <w:tab w:val="left" w:pos="2001"/>
              </w:tabs>
              <w:ind w:right="968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EA0DD5">
              <w:rPr>
                <w:rFonts w:ascii="Verdana" w:hAnsi="Verdana" w:cs="Calibri"/>
                <w:color w:val="366092"/>
                <w:sz w:val="18"/>
                <w:szCs w:val="18"/>
              </w:rPr>
              <w:t>2,8</w:t>
            </w:r>
          </w:p>
        </w:tc>
      </w:tr>
    </w:tbl>
    <w:bookmarkEnd w:id="2"/>
    <w:p w14:paraId="1F67D66A" w14:textId="14E166B9" w:rsidR="007F5FBB" w:rsidRPr="00EA0DD5" w:rsidRDefault="00AF5CC6" w:rsidP="001B1170">
      <w:pPr>
        <w:tabs>
          <w:tab w:val="left" w:pos="1080"/>
          <w:tab w:val="left" w:pos="6840"/>
        </w:tabs>
        <w:ind w:left="-426" w:right="-335"/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</w:pPr>
      <w:r w:rsidRPr="00EA0DD5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>Σημείωση: Οι επιμέρους συντελεστές στάθμισης υπολογίζονται με άπειρα δεκαδικά και δημοσιεύονται με στρογγυλοποίηση</w:t>
      </w:r>
      <w:r w:rsidR="001B1170" w:rsidRPr="00EA0DD5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 xml:space="preserve"> </w:t>
      </w:r>
      <w:r w:rsidRPr="00EA0DD5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>δυο δεκαδικών. Η διαφορά στο άθροισμα είναι λόγω σφάλματος στρογγυλοποίησης.</w:t>
      </w:r>
    </w:p>
    <w:p w14:paraId="3C67892F" w14:textId="786D453C" w:rsidR="001B1170" w:rsidRPr="009E53EB" w:rsidRDefault="001B1170" w:rsidP="001B1170">
      <w:pPr>
        <w:tabs>
          <w:tab w:val="left" w:pos="1080"/>
          <w:tab w:val="left" w:pos="6840"/>
        </w:tabs>
        <w:ind w:left="-426"/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9E53EB">
        <w:rPr>
          <w:rFonts w:ascii="Verdana" w:eastAsia="Malgun Gothic" w:hAnsi="Verdana" w:cs="Arial"/>
          <w:b/>
          <w:u w:val="single"/>
          <w:lang w:val="el-GR"/>
        </w:rPr>
        <w:t xml:space="preserve"> </w:t>
      </w:r>
    </w:p>
    <w:p w14:paraId="0E428004" w14:textId="77777777" w:rsidR="00EE4744" w:rsidRDefault="00EE4744" w:rsidP="00AF5CC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301AA67E" w14:textId="4C986AB5" w:rsidR="00AF5CC6" w:rsidRDefault="00AF5CC6" w:rsidP="00AF5CC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9720785" w14:textId="77777777" w:rsidR="00AF5CC6" w:rsidRPr="009E53EB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20"/>
          <w:szCs w:val="20"/>
          <w:u w:val="single"/>
          <w:lang w:val="el-GR"/>
        </w:rPr>
      </w:pPr>
    </w:p>
    <w:p w14:paraId="133C2C60" w14:textId="77777777" w:rsidR="001B1170" w:rsidRPr="009E53EB" w:rsidRDefault="001B1170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20"/>
          <w:szCs w:val="20"/>
          <w:u w:val="single"/>
          <w:lang w:val="el-GR"/>
        </w:rPr>
      </w:pPr>
    </w:p>
    <w:p w14:paraId="76972153" w14:textId="77777777" w:rsidR="00AF5CC6" w:rsidRPr="00D353D1" w:rsidRDefault="00AF5CC6" w:rsidP="001B117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D353D1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Ορισμοί</w:t>
      </w:r>
    </w:p>
    <w:p w14:paraId="1EE66D35" w14:textId="77777777" w:rsidR="00AF5CC6" w:rsidRPr="00C32462" w:rsidRDefault="00AF5CC6" w:rsidP="001B117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08F84E11" w14:textId="77777777" w:rsidR="00AF5CC6" w:rsidRPr="003D3348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FB02BD">
        <w:rPr>
          <w:rFonts w:ascii="Verdana" w:eastAsia="Malgun Gothic" w:hAnsi="Verdana" w:cs="Arial"/>
          <w:b/>
          <w:sz w:val="18"/>
          <w:szCs w:val="18"/>
          <w:lang w:val="el-GR"/>
        </w:rPr>
        <w:t xml:space="preserve">Εναρμονισμένος 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Δείκτης Τιμών Καταναλωτή (</w:t>
      </w:r>
      <w:proofErr w:type="spellStart"/>
      <w:r>
        <w:rPr>
          <w:rFonts w:ascii="Verdana" w:eastAsia="Malgun Gothic" w:hAnsi="Verdana" w:cs="Arial"/>
          <w:b/>
          <w:sz w:val="18"/>
          <w:szCs w:val="18"/>
          <w:lang w:val="el-GR"/>
        </w:rPr>
        <w:t>Εν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ΔΤΚ</w:t>
      </w:r>
      <w:proofErr w:type="spellEnd"/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)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είναι οικονομικός δείκτης που καταρτίζεται για τη μέτρηση των διαχρονικών μεταβολών στις τιμές των καταναλωτικών αγαθών και υπηρεσιών που αποκτώνται, χρησιμοποιούνται ή πληρώνονται από τα νοικοκυριά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και τους τουρίστες εντός της οικονομικής επικράτειας της χώρας.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 </w:t>
      </w:r>
      <w:proofErr w:type="spellStart"/>
      <w:r w:rsidRPr="003D3348">
        <w:rPr>
          <w:rFonts w:ascii="Verdana" w:eastAsia="Malgun Gothic" w:hAnsi="Verdana" w:cs="Arial"/>
          <w:sz w:val="18"/>
          <w:szCs w:val="18"/>
          <w:lang w:val="el-GR"/>
        </w:rPr>
        <w:t>ΕνΔΤΚ</w:t>
      </w:r>
      <w:proofErr w:type="spellEnd"/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υπολογίζεται σύμφωνα με μια εναρμονισμένη προσέγγιση και μεθοδολογία όπως καθορίστηκαν από την Ε.Ε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με μια σειρά σχετικών Κ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ανονισμών. </w:t>
      </w:r>
    </w:p>
    <w:p w14:paraId="38D7A46A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2"/>
          <w:szCs w:val="12"/>
          <w:lang w:val="el-GR"/>
        </w:rPr>
      </w:pPr>
    </w:p>
    <w:p w14:paraId="43CB3FDD" w14:textId="77777777" w:rsidR="00AF5CC6" w:rsidRPr="00E44FF8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>Ετήσια μεταβολή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δείχνει τη μεταβολή του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 αντίστοιχο μήνα του προηγούμενου έτους.</w:t>
      </w:r>
    </w:p>
    <w:p w14:paraId="675DD474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15AC57CF" w14:textId="77777777" w:rsidR="00AF5CC6" w:rsidRPr="002D7490" w:rsidRDefault="00AF5CC6" w:rsidP="001B1170">
      <w:pPr>
        <w:pStyle w:val="Normal13pt"/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</w:rPr>
      </w:pPr>
      <w:r w:rsidRPr="004D4B7C">
        <w:rPr>
          <w:rFonts w:ascii="Verdana" w:eastAsia="Malgun Gothic" w:hAnsi="Verdana" w:cs="Arial"/>
          <w:sz w:val="18"/>
          <w:szCs w:val="18"/>
        </w:rPr>
        <w:t xml:space="preserve">Προϊόντα/Υπηρεσίες </w:t>
      </w:r>
    </w:p>
    <w:p w14:paraId="0FB168BC" w14:textId="598B1EC6" w:rsidR="00AF5CC6" w:rsidRPr="001922DC" w:rsidRDefault="00AF5CC6" w:rsidP="001B117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92261A">
        <w:rPr>
          <w:rFonts w:ascii="Verdana" w:eastAsia="Malgun Gothic" w:hAnsi="Verdana" w:cs="Arial"/>
          <w:sz w:val="10"/>
          <w:szCs w:val="10"/>
          <w:lang w:val="el-GR"/>
        </w:rPr>
        <w:br/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>Με ισχύ απ</w:t>
      </w:r>
      <w:r>
        <w:rPr>
          <w:rFonts w:ascii="Verdana" w:eastAsia="Malgun Gothic" w:hAnsi="Verdana" w:cs="Arial"/>
          <w:sz w:val="18"/>
          <w:szCs w:val="18"/>
          <w:lang w:val="el-GR"/>
        </w:rPr>
        <w:t>ό τον Ιανουάριο του 20</w:t>
      </w:r>
      <w:r w:rsidR="003B7C52" w:rsidRPr="003B7C52">
        <w:rPr>
          <w:rFonts w:ascii="Verdana" w:eastAsia="Malgun Gothic" w:hAnsi="Verdana" w:cs="Arial"/>
          <w:sz w:val="18"/>
          <w:szCs w:val="18"/>
          <w:lang w:val="el-GR"/>
        </w:rPr>
        <w:t>26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 xml:space="preserve">τα προϊόντα που περιέχονται στον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2D7490">
        <w:rPr>
          <w:rFonts w:ascii="Verdana" w:eastAsia="Malgun Gothic" w:hAnsi="Verdana" w:cs="Arial"/>
          <w:sz w:val="18"/>
          <w:szCs w:val="18"/>
          <w:lang w:val="el-GR"/>
        </w:rPr>
        <w:t xml:space="preserve"> αναθεωρήθηκαν. Η αναθεώρηση βασίστηκε στα αποτελέσματα της Έρευνας Οικογενειακών Προϋπολογισμών 2</w:t>
      </w:r>
      <w:r w:rsidR="00CF608C" w:rsidRPr="00F06D07">
        <w:rPr>
          <w:rFonts w:ascii="Verdana" w:eastAsia="Malgun Gothic" w:hAnsi="Verdana" w:cs="Arial"/>
          <w:sz w:val="18"/>
          <w:szCs w:val="18"/>
          <w:lang w:val="el-GR"/>
        </w:rPr>
        <w:t>023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. Περισσότερες πληροφορίες είναι διαθέσιμες στον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ιστότοπο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της Στατιστικής Υπηρεσίας στο μέρος Μεθοδολογία</w:t>
      </w:r>
      <w:r w:rsidRPr="001B25A4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>
        <w:rPr>
          <w:rFonts w:ascii="Verdana" w:eastAsia="Malgun Gothic" w:hAnsi="Verdana" w:cs="Arial"/>
          <w:sz w:val="18"/>
          <w:szCs w:val="18"/>
          <w:lang w:val="el-GR"/>
        </w:rPr>
        <w:t>στο στατιστικό υπόθεμα Οικονομία/ Δείκτες Τιμών/ Εναρμονισμένος Δείκτης Τιμών Καταναλωτή.</w:t>
      </w:r>
    </w:p>
    <w:p w14:paraId="240BA12E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6D3333FB" w14:textId="77777777" w:rsidR="00AF5CC6" w:rsidRPr="003D3348" w:rsidRDefault="00AF5CC6" w:rsidP="001B117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proofErr w:type="spellStart"/>
      <w:r w:rsidRPr="003D334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Τιμοληψία</w:t>
      </w:r>
      <w:proofErr w:type="spellEnd"/>
    </w:p>
    <w:p w14:paraId="605E0EF4" w14:textId="77777777" w:rsidR="00AF5CC6" w:rsidRPr="0092261A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0"/>
          <w:szCs w:val="10"/>
          <w:lang w:val="el-GR"/>
        </w:rPr>
      </w:pPr>
    </w:p>
    <w:p w14:paraId="1370A0B4" w14:textId="4199493B" w:rsidR="00AF5CC6" w:rsidRPr="003D3348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proofErr w:type="spellStart"/>
      <w:r w:rsidRPr="003D3348">
        <w:rPr>
          <w:rFonts w:ascii="Verdana" w:eastAsia="Malgun Gothic" w:hAnsi="Verdana" w:cs="Arial"/>
          <w:sz w:val="18"/>
          <w:szCs w:val="18"/>
          <w:lang w:val="el-GR"/>
        </w:rPr>
        <w:t>τιμοληψία</w:t>
      </w:r>
      <w:proofErr w:type="spellEnd"/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διενεργείται μόνο στις αστικές περιοχές των επαρχιών Λευκωσίας, Λάρνακας, Λεμεσού και Πάφου. Για κάθε πόλη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οι αυξομειώσεις των τιμών κατά προϊόν κάθε μήνα σταθμίζονται ανάλογα με τον πληθυσμό. Συγκεκριμένα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οι συντελεστές στάθμισης για τις τέσσερις επαρχίες είναι οι ακόλουθες: Λευκωσία 4</w:t>
      </w:r>
      <w:r w:rsidR="003B7C52" w:rsidRPr="003B7C52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%, Λεμεσός 30%, Λάρνακα 18% και Πάφος 1</w:t>
      </w:r>
      <w:r w:rsidR="003B7C52" w:rsidRPr="003B7C52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%. </w:t>
      </w:r>
    </w:p>
    <w:p w14:paraId="62D1C8BE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2"/>
          <w:szCs w:val="12"/>
          <w:lang w:val="el-GR"/>
        </w:rPr>
      </w:pPr>
    </w:p>
    <w:p w14:paraId="250F196F" w14:textId="2C5C94E3" w:rsidR="00AF5CC6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Οι τιμές των </w:t>
      </w:r>
      <w:r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3B7C52" w:rsidRPr="003B7C52">
        <w:rPr>
          <w:rFonts w:ascii="Verdana" w:eastAsia="Malgun Gothic" w:hAnsi="Verdana" w:cs="Arial"/>
          <w:sz w:val="18"/>
          <w:szCs w:val="18"/>
          <w:lang w:val="el-GR"/>
        </w:rPr>
        <w:t>50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ειδών (αγαθών και υπηρεσιών) 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καταγράφονται μια φορά κάθε μήνα, εκτός από κάποια εποχικά προϊόντα (π.χ. λαχανικά και φρούτα), τα κρέατα και τα καύσιμα, των οποίων οι τιμές συλλέγονται κάθε βδομάδα (κάθε Πέμπτη).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 xml:space="preserve">Οι </w:t>
      </w:r>
      <w:r>
        <w:rPr>
          <w:rFonts w:ascii="Verdana" w:eastAsia="Malgun Gothic" w:hAnsi="Verdana" w:cs="Arial"/>
          <w:sz w:val="18"/>
          <w:szCs w:val="18"/>
          <w:lang w:val="el-GR"/>
        </w:rPr>
        <w:t>συλλεγόμενες τιμές είναι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οι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πραγματικά καταβαλλόμενες τιμές από τους καταναλωτές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για την αγορά συγκεκριμένων προϊόντων και υπηρεσιών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, συμπεριλαμβανομένων και των διάφορων φόρων (ΦΠΑ, 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>φόρο</w:t>
      </w:r>
      <w:r>
        <w:rPr>
          <w:rFonts w:ascii="Verdana" w:eastAsia="Malgun Gothic" w:hAnsi="Verdana" w:cs="Arial"/>
          <w:sz w:val="18"/>
          <w:szCs w:val="18"/>
          <w:lang w:val="el-GR"/>
        </w:rPr>
        <w:t>ι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 xml:space="preserve"> κατανάλωσης</w:t>
      </w:r>
      <w:r>
        <w:rPr>
          <w:rFonts w:ascii="Verdana" w:eastAsia="Malgun Gothic" w:hAnsi="Verdana" w:cs="Arial"/>
          <w:sz w:val="18"/>
          <w:szCs w:val="18"/>
          <w:lang w:val="el-GR"/>
        </w:rPr>
        <w:t>)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>. Λαμβάνονται υπόψη στον υπολογισμό του Δείκτη και οι τιμές των ξεπουλημάτων καθώς και οι τιμές άλλων προσφορών εφόσον ισχύουν γενικά και δεν υπόκεινται κάτω από όρους.</w:t>
      </w:r>
    </w:p>
    <w:p w14:paraId="4F4F8D31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39E870C9" w14:textId="77777777" w:rsidR="00AF5CC6" w:rsidRPr="00B75AE5" w:rsidRDefault="00AF5CC6" w:rsidP="001B1170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Συντελεστές </w:t>
      </w:r>
      <w:r w:rsidR="007F5FB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τάθμισης των </w:t>
      </w:r>
      <w:r w:rsidR="007F5FB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</w:t>
      </w: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ιδών </w:t>
      </w:r>
    </w:p>
    <w:p w14:paraId="253B9CA6" w14:textId="77777777" w:rsidR="00AF5CC6" w:rsidRPr="0092261A" w:rsidRDefault="00AF5CC6" w:rsidP="001B1170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i/>
          <w:sz w:val="10"/>
          <w:szCs w:val="10"/>
          <w:lang w:val="el-GR"/>
        </w:rPr>
      </w:pPr>
    </w:p>
    <w:p w14:paraId="7AF546AC" w14:textId="2DBF7EFB" w:rsidR="00AF5CC6" w:rsidRDefault="00AF5CC6" w:rsidP="001B1170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i/>
          <w:sz w:val="20"/>
          <w:szCs w:val="20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Οι συντελεστές στάθμισης των ειδών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(προϊόντων και υπηρεσιών)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του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ΕνΔΤΚ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υπολογίζονται βάσει των καταναλωτικών δαπανών (των νοικοκυριών και τουριστών), που πραγματοποιούνται στην οικονομική επικράτεια της χώρας.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Μέχρι το 2011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η κύρια πηγή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για τις καταναλωτικές δαπάνες 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ήταν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η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Έρευνα Οικογενειακού Προϋπολογισμού, ενώ από το 2012 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και μετέπειτα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βάση κανονισμ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ού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της </w:t>
      </w:r>
      <w:r w:rsidR="007D7083" w:rsidRPr="007D7083">
        <w:rPr>
          <w:rFonts w:ascii="Verdana" w:eastAsia="Malgun Gothic" w:hAnsi="Verdana" w:cs="Arial"/>
          <w:sz w:val="18"/>
          <w:szCs w:val="18"/>
          <w:lang w:val="el-GR"/>
        </w:rPr>
        <w:t>Ευρωπαϊκής Ένωσης,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αξιοποιούνται κυρίως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στοιχεία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από τους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Εθνικ</w:t>
      </w:r>
      <w:r>
        <w:rPr>
          <w:rFonts w:ascii="Verdana" w:eastAsia="Malgun Gothic" w:hAnsi="Verdana" w:cs="Arial"/>
          <w:sz w:val="18"/>
          <w:szCs w:val="18"/>
          <w:lang w:val="el-GR"/>
        </w:rPr>
        <w:t>ούς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Λογαριασμ</w:t>
      </w:r>
      <w:r>
        <w:rPr>
          <w:rFonts w:ascii="Verdana" w:eastAsia="Malgun Gothic" w:hAnsi="Verdana" w:cs="Arial"/>
          <w:sz w:val="18"/>
          <w:szCs w:val="18"/>
          <w:lang w:val="el-GR"/>
        </w:rPr>
        <w:t>ούς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</w:p>
    <w:p w14:paraId="2EA5216E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7C9EEB28" w14:textId="77777777" w:rsidR="00FA5FDC" w:rsidRPr="00E21D72" w:rsidRDefault="00FA5FDC" w:rsidP="001B1170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Έτος 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Β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άσης</w:t>
      </w:r>
    </w:p>
    <w:p w14:paraId="77B06A78" w14:textId="77777777" w:rsidR="00FA5FDC" w:rsidRPr="00FA5FDC" w:rsidRDefault="00FA5FDC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0"/>
          <w:szCs w:val="10"/>
          <w:lang w:val="el-GR"/>
        </w:rPr>
      </w:pPr>
    </w:p>
    <w:p w14:paraId="45F1710F" w14:textId="77777777" w:rsidR="00FA5FDC" w:rsidRDefault="00FA5FDC" w:rsidP="001B1170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E22C2">
        <w:rPr>
          <w:rFonts w:ascii="Verdana" w:eastAsia="Malgun Gothic" w:hAnsi="Verdana" w:cs="Arial"/>
          <w:sz w:val="18"/>
          <w:szCs w:val="18"/>
          <w:lang w:val="el-GR"/>
        </w:rPr>
        <w:t>Από τον Ιανουάριο του 2026 και μετέπειτα υιοθετείται ως έτος αναφοράς το 2025=100.Το έτος βάσης από τον Ιανουάριο του 2016 μέχρι το Δεκέμβριο του 2025 ήταν το 2015=100.</w:t>
      </w:r>
    </w:p>
    <w:p w14:paraId="5A8B22D7" w14:textId="77777777" w:rsidR="00FA5FDC" w:rsidRPr="00E21D72" w:rsidRDefault="00FA5FDC" w:rsidP="001B1170">
      <w:pPr>
        <w:jc w:val="both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26C47C81" w14:textId="77777777" w:rsidR="00FA5FDC" w:rsidRPr="00E21D72" w:rsidRDefault="00FA5FDC" w:rsidP="001B1170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Ταξινόμηση                                                                                                                  </w:t>
      </w:r>
    </w:p>
    <w:p w14:paraId="5AE93801" w14:textId="77777777" w:rsidR="00FA5FDC" w:rsidRPr="00FA5FDC" w:rsidRDefault="00FA5FDC" w:rsidP="001B1170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0"/>
          <w:szCs w:val="10"/>
          <w:lang w:val="el-GR"/>
        </w:rPr>
      </w:pPr>
    </w:p>
    <w:p w14:paraId="401661B8" w14:textId="009B52CE" w:rsidR="00FA5FDC" w:rsidRDefault="00FA5FDC" w:rsidP="001B1170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Μέχρι τον Δεκέμβριο του 2025, ο </w:t>
      </w:r>
      <w:proofErr w:type="spellStart"/>
      <w:r w:rsidR="003D7DAE"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υπολογιζόταν και δημοσιευόταν βάσει </w:t>
      </w:r>
      <w:r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ταξινόμησης ECOICOP. Από τον Ιανουάριο του 2026 και μετέπειτα, ο </w:t>
      </w:r>
      <w:proofErr w:type="spellStart"/>
      <w:r w:rsidR="003D7DAE"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υπολογίζεται και δημοσιεύεται βάσει </w:t>
      </w:r>
      <w:r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ταξινόμησης ECOICOP ver.2.</w:t>
      </w:r>
      <w:r w:rsidR="003D7DA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Το χαμηλότερο επίπεδο λεπτομέρειας για την ταξινόμηση ECOICOP ver.2 που χρησιμοποιείται στον </w:t>
      </w:r>
      <w:proofErr w:type="spellStart"/>
      <w:r w:rsidR="003D7DAE"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είναι τα πέντε ψηφία ανάλυσης.</w:t>
      </w:r>
    </w:p>
    <w:p w14:paraId="54D9FFF4" w14:textId="77777777" w:rsidR="008A2E77" w:rsidRPr="00C23701" w:rsidRDefault="008A2E77" w:rsidP="00AF5CC6">
      <w:pPr>
        <w:pStyle w:val="Normal13pt"/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</w:rPr>
      </w:pPr>
    </w:p>
    <w:p w14:paraId="748D8D18" w14:textId="77777777" w:rsidR="008A2E77" w:rsidRPr="00BE4A4D" w:rsidRDefault="008A2E77" w:rsidP="00AF5CC6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20"/>
          <w:szCs w:val="20"/>
          <w:lang w:val="el-GR"/>
        </w:rPr>
      </w:pPr>
    </w:p>
    <w:p w14:paraId="4E60FD43" w14:textId="77777777" w:rsidR="00AF5CC6" w:rsidRPr="004E3745" w:rsidRDefault="00AF5CC6" w:rsidP="00AF5CC6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i/>
          <w:sz w:val="18"/>
          <w:szCs w:val="18"/>
          <w:lang w:val="el-GR"/>
        </w:rPr>
      </w:pPr>
      <w:r w:rsidRPr="00780A62">
        <w:rPr>
          <w:rFonts w:ascii="Verdana" w:eastAsia="Malgun Gothic" w:hAnsi="Verdana" w:cs="Arial"/>
          <w:b/>
          <w:i/>
          <w:sz w:val="18"/>
          <w:szCs w:val="18"/>
          <w:lang w:val="el-GR"/>
        </w:rPr>
        <w:t>Για περισσότερες πληροφορίες</w:t>
      </w:r>
      <w:r w:rsidRPr="002D7D4A">
        <w:rPr>
          <w:rFonts w:ascii="Verdana" w:eastAsia="Malgun Gothic" w:hAnsi="Verdana" w:cs="Arial"/>
          <w:b/>
          <w:i/>
          <w:sz w:val="18"/>
          <w:szCs w:val="18"/>
          <w:lang w:val="el-GR"/>
        </w:rPr>
        <w:t>:</w:t>
      </w:r>
    </w:p>
    <w:p w14:paraId="79E0C169" w14:textId="77777777" w:rsidR="00AF5CC6" w:rsidRPr="0050785A" w:rsidRDefault="00AF5CC6" w:rsidP="00AF5CC6">
      <w:pPr>
        <w:rPr>
          <w:rFonts w:ascii="Verdana" w:hAnsi="Verdana"/>
          <w:sz w:val="18"/>
          <w:szCs w:val="18"/>
          <w:lang w:val="el-GR"/>
        </w:rPr>
      </w:pPr>
      <w:r w:rsidRPr="0050785A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50785A">
          <w:rPr>
            <w:rStyle w:val="Hyperlink"/>
            <w:rFonts w:ascii="Verdana" w:hAnsi="Verdana"/>
            <w:sz w:val="18"/>
            <w:szCs w:val="18"/>
            <w:lang w:val="el-GR"/>
          </w:rPr>
          <w:t>Δείκτες Τιμών</w:t>
        </w:r>
      </w:hyperlink>
    </w:p>
    <w:p w14:paraId="58F3AB3B" w14:textId="037CB4D6" w:rsidR="00AF5CC6" w:rsidRPr="008A2E77" w:rsidRDefault="00AF5CC6" w:rsidP="008A2E77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966C90">
          <w:rPr>
            <w:rStyle w:val="Hyperlink"/>
            <w:rFonts w:ascii="Verdana" w:hAnsi="Verdana"/>
            <w:sz w:val="18"/>
            <w:szCs w:val="18"/>
          </w:rPr>
          <w:t>CYSTAT</w:t>
        </w:r>
        <w:r w:rsidRPr="0050785A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966C90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50785A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0900F87C" w14:textId="7EC70A6B" w:rsidR="008774AA" w:rsidRPr="003204B7" w:rsidRDefault="008774AA" w:rsidP="009E53EB">
      <w:pPr>
        <w:jc w:val="both"/>
        <w:rPr>
          <w:rFonts w:ascii="Verdana" w:hAnsi="Verdana"/>
          <w:sz w:val="18"/>
          <w:szCs w:val="18"/>
          <w:lang w:val="el-GR"/>
        </w:rPr>
      </w:pPr>
      <w:hyperlink r:id="rId11" w:tooltip="Μεθοδολογικές Πληροφορίες" w:history="1"/>
    </w:p>
    <w:p w14:paraId="0F314409" w14:textId="77777777" w:rsidR="00AF5CC6" w:rsidRDefault="00AF5CC6" w:rsidP="00AF5CC6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61425284" w14:textId="6F6B833E" w:rsidR="00AF2BC9" w:rsidRPr="004C6ABF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bookmarkStart w:id="3" w:name="_Hlk176173046"/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Σωφρόνης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Βίκης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 xml:space="preserve">     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4C6ABF">
        <w:rPr>
          <w:rFonts w:ascii="Verdana" w:eastAsia="Malgun Gothic" w:hAnsi="Verdana" w:cs="Arial"/>
          <w:sz w:val="18"/>
          <w:szCs w:val="18"/>
          <w:lang w:val="el-GR"/>
        </w:rPr>
        <w:t>2602206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Ηλ. Ταχ.: </w:t>
      </w:r>
      <w:hyperlink r:id="rId12" w:history="1">
        <w:r w:rsidRPr="00442F24">
          <w:rPr>
            <w:rStyle w:val="Hyperlink"/>
            <w:rFonts w:ascii="Verdana" w:eastAsia="Malgun Gothic" w:hAnsi="Verdana" w:cs="Arial"/>
            <w:sz w:val="18"/>
            <w:szCs w:val="18"/>
          </w:rPr>
          <w:t>svikis</w:t>
        </w:r>
        <w:r w:rsidRPr="00442F24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486488A4" w14:textId="2CD5D3A4" w:rsidR="00AF2BC9" w:rsidRPr="00E21D72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Κυριάκος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Βουτουρής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>: Τηλ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2260</w:t>
      </w:r>
      <w:r>
        <w:rPr>
          <w:rFonts w:ascii="Verdana" w:eastAsia="Malgun Gothic" w:hAnsi="Verdana" w:cs="Arial"/>
          <w:sz w:val="18"/>
          <w:szCs w:val="18"/>
          <w:lang w:val="el-GR"/>
        </w:rPr>
        <w:t>5132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Ηλ. Ταχ.: </w:t>
      </w:r>
      <w:hyperlink r:id="rId13" w:history="1">
        <w:r w:rsidRPr="00442F24">
          <w:rPr>
            <w:rStyle w:val="Hyperlink"/>
            <w:rFonts w:ascii="Verdana" w:eastAsia="Malgun Gothic" w:hAnsi="Verdana" w:cs="Arial"/>
            <w:sz w:val="18"/>
            <w:szCs w:val="18"/>
          </w:rPr>
          <w:t>kvoutouris</w:t>
        </w:r>
        <w:r w:rsidRPr="00442F24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0529C785" w14:textId="0A96DA3D" w:rsidR="001712CF" w:rsidRPr="00AF2BC9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Φίλιππος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Κακούτσης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2260</w:t>
      </w:r>
      <w:r>
        <w:rPr>
          <w:rFonts w:ascii="Verdana" w:eastAsia="Malgun Gothic" w:hAnsi="Verdana" w:cs="Arial"/>
          <w:sz w:val="18"/>
          <w:szCs w:val="18"/>
          <w:lang w:val="el-GR"/>
        </w:rPr>
        <w:t>5149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Ηλ. Ταχ.: </w:t>
      </w:r>
      <w:hyperlink r:id="rId14" w:history="1">
        <w:r w:rsidRPr="00442F24">
          <w:rPr>
            <w:rStyle w:val="Hyperlink"/>
            <w:rFonts w:ascii="Verdana" w:eastAsia="Malgun Gothic" w:hAnsi="Verdana" w:cs="Arial"/>
            <w:sz w:val="18"/>
            <w:szCs w:val="18"/>
          </w:rPr>
          <w:t>fkakoutsis</w:t>
        </w:r>
        <w:r w:rsidRPr="00442F24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  <w:bookmarkEnd w:id="3"/>
    </w:p>
    <w:sectPr w:rsidR="001712CF" w:rsidRPr="00AF2BC9" w:rsidSect="00104370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BC84D" w14:textId="77777777" w:rsidR="002D1C5B" w:rsidRDefault="002D1C5B" w:rsidP="00FB398F">
      <w:r>
        <w:separator/>
      </w:r>
    </w:p>
  </w:endnote>
  <w:endnote w:type="continuationSeparator" w:id="0">
    <w:p w14:paraId="08A16B0E" w14:textId="77777777" w:rsidR="002D1C5B" w:rsidRDefault="002D1C5B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7853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CF96" w14:textId="77777777" w:rsidR="004E4F42" w:rsidRPr="00555A0A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555A0A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555A0A">
      <w:rPr>
        <w:rFonts w:ascii="Verdana" w:hAnsi="Verdana" w:cs="Arial"/>
        <w:sz w:val="16"/>
        <w:szCs w:val="16"/>
        <w:lang w:val="el-GR"/>
      </w:rPr>
      <w:t>ήλ</w:t>
    </w:r>
    <w:r w:rsidRPr="00555A0A">
      <w:rPr>
        <w:rFonts w:ascii="Verdana" w:hAnsi="Verdana" w:cs="Arial"/>
        <w:sz w:val="16"/>
        <w:szCs w:val="16"/>
        <w:lang w:val="el-GR"/>
      </w:rPr>
      <w:t xml:space="preserve"> Καραολή, 1444 Λευκωσία, Κύπρος</w:t>
    </w:r>
  </w:p>
  <w:p w14:paraId="16E06551" w14:textId="098DCACE" w:rsidR="004E4F42" w:rsidRPr="00555A0A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555A0A">
      <w:rPr>
        <w:rFonts w:ascii="Verdana" w:hAnsi="Verdana" w:cs="Arial"/>
        <w:sz w:val="16"/>
        <w:szCs w:val="16"/>
        <w:lang w:val="el-GR"/>
      </w:rPr>
      <w:t>Τηλ</w:t>
    </w:r>
    <w:r w:rsidRPr="00FD2AF7">
      <w:rPr>
        <w:rFonts w:ascii="Verdana" w:hAnsi="Verdana" w:cs="Arial"/>
        <w:sz w:val="16"/>
        <w:szCs w:val="16"/>
        <w:lang w:val="el-GR"/>
      </w:rPr>
      <w:t>.: 22 602129,</w:t>
    </w:r>
    <w:r w:rsidRPr="00555A0A">
      <w:rPr>
        <w:rFonts w:ascii="Verdana" w:hAnsi="Verdana" w:cs="Arial"/>
        <w:sz w:val="16"/>
        <w:szCs w:val="16"/>
        <w:lang w:val="de-DE"/>
      </w:rPr>
      <w:t xml:space="preserve"> </w:t>
    </w:r>
    <w:r w:rsidR="00555A0A" w:rsidRPr="00555A0A">
      <w:rPr>
        <w:rFonts w:ascii="Verdana" w:hAnsi="Verdana" w:cs="Arial"/>
        <w:sz w:val="16"/>
        <w:szCs w:val="16"/>
        <w:lang w:val="de-DE"/>
      </w:rPr>
      <w:t>Ηλ. Ταχ.</w:t>
    </w:r>
    <w:r w:rsidRPr="00555A0A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555A0A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555A0A">
      <w:rPr>
        <w:rFonts w:ascii="Verdana" w:hAnsi="Verdana" w:cs="Arial"/>
        <w:sz w:val="16"/>
        <w:szCs w:val="16"/>
        <w:lang w:val="de-DE"/>
      </w:rPr>
      <w:t xml:space="preserve">  </w:t>
    </w:r>
  </w:p>
  <w:p w14:paraId="399B9444" w14:textId="2FBA9DB0" w:rsidR="004E4F42" w:rsidRPr="00555A0A" w:rsidRDefault="00555A0A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555A0A">
      <w:rPr>
        <w:rFonts w:ascii="Verdana" w:hAnsi="Verdana" w:cs="Arial"/>
        <w:sz w:val="16"/>
        <w:szCs w:val="16"/>
        <w:lang w:val="el-GR"/>
      </w:rPr>
      <w:t>Διαδικτυακή</w:t>
    </w:r>
    <w:r w:rsidRPr="00555A0A">
      <w:rPr>
        <w:rFonts w:ascii="Verdana" w:hAnsi="Verdana" w:cs="Arial"/>
        <w:sz w:val="16"/>
        <w:szCs w:val="16"/>
        <w:lang w:val="de-DE"/>
      </w:rPr>
      <w:t xml:space="preserve"> </w:t>
    </w:r>
    <w:r w:rsidRPr="00555A0A">
      <w:rPr>
        <w:rFonts w:ascii="Verdana" w:hAnsi="Verdana" w:cs="Arial"/>
        <w:sz w:val="16"/>
        <w:szCs w:val="16"/>
        <w:lang w:val="el-GR"/>
      </w:rPr>
      <w:t>Πύλη</w:t>
    </w:r>
    <w:r w:rsidR="004E4F42" w:rsidRPr="00555A0A">
      <w:rPr>
        <w:rFonts w:ascii="Verdana" w:hAnsi="Verdana" w:cs="Arial"/>
        <w:sz w:val="16"/>
        <w:szCs w:val="16"/>
        <w:lang w:val="de-DE"/>
      </w:rPr>
      <w:t xml:space="preserve">: </w:t>
    </w:r>
    <w:hyperlink r:id="rId2" w:history="1">
      <w:r w:rsidR="004E4F42" w:rsidRPr="00555A0A">
        <w:rPr>
          <w:rStyle w:val="Hyperlink"/>
          <w:rFonts w:ascii="Verdana" w:hAnsi="Verdana" w:cs="Arial"/>
          <w:sz w:val="16"/>
          <w:szCs w:val="16"/>
          <w:lang w:val="de-DE"/>
        </w:rPr>
        <w:t>http://www.cystat.gov.cy</w:t>
      </w:r>
    </w:hyperlink>
    <w:r w:rsidR="004E4F42" w:rsidRPr="00555A0A">
      <w:rPr>
        <w:rFonts w:ascii="Verdana" w:hAnsi="Verdana" w:cs="Arial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53FFD" w14:textId="77777777" w:rsidR="002D1C5B" w:rsidRDefault="002D1C5B" w:rsidP="00FB398F">
      <w:r>
        <w:separator/>
      </w:r>
    </w:p>
  </w:footnote>
  <w:footnote w:type="continuationSeparator" w:id="0">
    <w:p w14:paraId="54862FEA" w14:textId="77777777" w:rsidR="002D1C5B" w:rsidRDefault="002D1C5B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F4F3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C038" w14:textId="77777777" w:rsidR="004E4F42" w:rsidRDefault="003D05B3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FF80C91" wp14:editId="1A07032D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4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11896D" wp14:editId="2DD1D74A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836920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9D63D" w14:textId="77777777" w:rsidR="004E4F42" w:rsidRDefault="003D05B3" w:rsidP="000932CF">
                          <w:r w:rsidRPr="00FA55C3">
                            <w:rPr>
                              <w:noProof/>
                            </w:rPr>
                            <w:drawing>
                              <wp:inline distT="0" distB="0" distL="0" distR="0" wp14:anchorId="57302CEC" wp14:editId="6E3830E0">
                                <wp:extent cx="1095375" cy="790575"/>
                                <wp:effectExtent l="0" t="0" r="0" b="0"/>
                                <wp:docPr id="2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189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08F9D63D" w14:textId="77777777" w:rsidR="004E4F42" w:rsidRDefault="003D05B3" w:rsidP="000932CF">
                    <w:r w:rsidRPr="00FA55C3">
                      <w:rPr>
                        <w:noProof/>
                      </w:rPr>
                      <w:drawing>
                        <wp:inline distT="0" distB="0" distL="0" distR="0" wp14:anchorId="57302CEC" wp14:editId="6E3830E0">
                          <wp:extent cx="1095375" cy="790575"/>
                          <wp:effectExtent l="0" t="0" r="0" b="0"/>
                          <wp:docPr id="2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3D10AA" wp14:editId="4FB54158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11342452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2DB49" w14:textId="77777777" w:rsidR="004E4F42" w:rsidRDefault="003D05B3" w:rsidP="000932CF">
                          <w:r w:rsidRPr="00FA55C3">
                            <w:rPr>
                              <w:noProof/>
                            </w:rPr>
                            <w:drawing>
                              <wp:inline distT="0" distB="0" distL="0" distR="0" wp14:anchorId="7CB7E4BA" wp14:editId="35CEAE61">
                                <wp:extent cx="1276350" cy="1009650"/>
                                <wp:effectExtent l="0" t="0" r="0" b="0"/>
                                <wp:docPr id="3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D10AA" id="Text Box 2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5C52DB49" w14:textId="77777777" w:rsidR="004E4F42" w:rsidRDefault="003D05B3" w:rsidP="000932CF">
                    <w:r w:rsidRPr="00FA55C3">
                      <w:rPr>
                        <w:noProof/>
                      </w:rPr>
                      <w:drawing>
                        <wp:inline distT="0" distB="0" distL="0" distR="0" wp14:anchorId="7CB7E4BA" wp14:editId="35CEAE61">
                          <wp:extent cx="1276350" cy="1009650"/>
                          <wp:effectExtent l="0" t="0" r="0" b="0"/>
                          <wp:docPr id="3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99F2047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8A6080E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548FC6C5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AC94A8F" w14:textId="77777777" w:rsidR="004E4F42" w:rsidRDefault="003D05B3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98A2E9" wp14:editId="567B5651">
              <wp:simplePos x="0" y="0"/>
              <wp:positionH relativeFrom="column">
                <wp:posOffset>3985260</wp:posOffset>
              </wp:positionH>
              <wp:positionV relativeFrom="paragraph">
                <wp:posOffset>102870</wp:posOffset>
              </wp:positionV>
              <wp:extent cx="2000250" cy="419100"/>
              <wp:effectExtent l="0" t="0" r="0" b="0"/>
              <wp:wrapNone/>
              <wp:docPr id="20545448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DC090A" w14:textId="77777777" w:rsidR="004E4F42" w:rsidRPr="00555A0A" w:rsidRDefault="004E4F42" w:rsidP="00555A0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555A0A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555A0A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13538D17" w14:textId="77777777" w:rsidR="004E4F42" w:rsidRPr="00555A0A" w:rsidRDefault="004E4F42" w:rsidP="00555A0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555A0A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98A2E9" id="Text Box 1" o:spid="_x0000_s1028" type="#_x0000_t202" style="position:absolute;margin-left:313.8pt;margin-top:8.1pt;width:157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" stroked="f">
              <v:textbox>
                <w:txbxContent>
                  <w:p w14:paraId="0BDC090A" w14:textId="77777777" w:rsidR="004E4F42" w:rsidRPr="00555A0A" w:rsidRDefault="004E4F42" w:rsidP="00555A0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555A0A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555A0A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13538D17" w14:textId="77777777" w:rsidR="004E4F42" w:rsidRPr="00555A0A" w:rsidRDefault="004E4F42" w:rsidP="00555A0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555A0A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073E255F" w14:textId="33194769" w:rsidR="004E4F42" w:rsidRPr="00555A0A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Pr="00555A0A">
      <w:rPr>
        <w:rFonts w:ascii="Verdana" w:hAnsi="Verdana" w:cs="Arial"/>
        <w:bCs/>
        <w:sz w:val="20"/>
        <w:szCs w:val="20"/>
      </w:rPr>
      <w:t>ΚΥΠΡΙΑΚΗ ΔΗΜΟΚΡΑΤΙΑ</w:t>
    </w:r>
    <w:r w:rsidRPr="00555A0A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555A0A">
      <w:rPr>
        <w:rFonts w:ascii="Verdana" w:hAnsi="Verdana"/>
        <w:b/>
        <w:bCs/>
        <w:sz w:val="20"/>
        <w:szCs w:val="20"/>
        <w:lang w:val="en-US"/>
      </w:rPr>
      <w:tab/>
    </w:r>
  </w:p>
  <w:p w14:paraId="762C63AF" w14:textId="77777777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1FF916EE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8391563">
    <w:abstractNumId w:val="4"/>
  </w:num>
  <w:num w:numId="2" w16cid:durableId="1074477141">
    <w:abstractNumId w:val="1"/>
  </w:num>
  <w:num w:numId="3" w16cid:durableId="1361249385">
    <w:abstractNumId w:val="2"/>
  </w:num>
  <w:num w:numId="4" w16cid:durableId="1440567803">
    <w:abstractNumId w:val="3"/>
  </w:num>
  <w:num w:numId="5" w16cid:durableId="1455489493">
    <w:abstractNumId w:val="0"/>
  </w:num>
  <w:num w:numId="6" w16cid:durableId="1710445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2CC5"/>
    <w:rsid w:val="000039A3"/>
    <w:rsid w:val="0000542E"/>
    <w:rsid w:val="00007254"/>
    <w:rsid w:val="00013E40"/>
    <w:rsid w:val="000156B4"/>
    <w:rsid w:val="000161B1"/>
    <w:rsid w:val="0002032F"/>
    <w:rsid w:val="000241BB"/>
    <w:rsid w:val="00025A39"/>
    <w:rsid w:val="00027853"/>
    <w:rsid w:val="00027D7D"/>
    <w:rsid w:val="000304A1"/>
    <w:rsid w:val="00030B4D"/>
    <w:rsid w:val="00030E18"/>
    <w:rsid w:val="00031D32"/>
    <w:rsid w:val="00033DEE"/>
    <w:rsid w:val="0003603D"/>
    <w:rsid w:val="00043B1E"/>
    <w:rsid w:val="00045088"/>
    <w:rsid w:val="00045A06"/>
    <w:rsid w:val="00047520"/>
    <w:rsid w:val="00047BA7"/>
    <w:rsid w:val="00050391"/>
    <w:rsid w:val="00051C7D"/>
    <w:rsid w:val="00054D3C"/>
    <w:rsid w:val="00055291"/>
    <w:rsid w:val="00055734"/>
    <w:rsid w:val="0005631A"/>
    <w:rsid w:val="000563D3"/>
    <w:rsid w:val="00057B87"/>
    <w:rsid w:val="00057E44"/>
    <w:rsid w:val="00061299"/>
    <w:rsid w:val="00065F22"/>
    <w:rsid w:val="00070576"/>
    <w:rsid w:val="000723AD"/>
    <w:rsid w:val="00074798"/>
    <w:rsid w:val="000752BB"/>
    <w:rsid w:val="00081ADF"/>
    <w:rsid w:val="00084A02"/>
    <w:rsid w:val="00084BF7"/>
    <w:rsid w:val="0008561E"/>
    <w:rsid w:val="000870E9"/>
    <w:rsid w:val="00090717"/>
    <w:rsid w:val="000916C7"/>
    <w:rsid w:val="000932CF"/>
    <w:rsid w:val="00096ED8"/>
    <w:rsid w:val="000A1781"/>
    <w:rsid w:val="000A1A88"/>
    <w:rsid w:val="000A2B5C"/>
    <w:rsid w:val="000A3601"/>
    <w:rsid w:val="000A47D3"/>
    <w:rsid w:val="000A615B"/>
    <w:rsid w:val="000A6FA8"/>
    <w:rsid w:val="000B37AC"/>
    <w:rsid w:val="000C1070"/>
    <w:rsid w:val="000C4E72"/>
    <w:rsid w:val="000C6DCC"/>
    <w:rsid w:val="000C73E0"/>
    <w:rsid w:val="000D1E7A"/>
    <w:rsid w:val="000D314F"/>
    <w:rsid w:val="000D33FB"/>
    <w:rsid w:val="000D3914"/>
    <w:rsid w:val="000E1C04"/>
    <w:rsid w:val="000E24B1"/>
    <w:rsid w:val="000E2735"/>
    <w:rsid w:val="000E32D6"/>
    <w:rsid w:val="000E3759"/>
    <w:rsid w:val="000E4CB0"/>
    <w:rsid w:val="000E57F2"/>
    <w:rsid w:val="000E7206"/>
    <w:rsid w:val="000E72A7"/>
    <w:rsid w:val="000E7FF2"/>
    <w:rsid w:val="000F1162"/>
    <w:rsid w:val="000F1F6D"/>
    <w:rsid w:val="000F2415"/>
    <w:rsid w:val="000F3467"/>
    <w:rsid w:val="000F38DE"/>
    <w:rsid w:val="000F532A"/>
    <w:rsid w:val="000F5D6C"/>
    <w:rsid w:val="000F601C"/>
    <w:rsid w:val="000F756B"/>
    <w:rsid w:val="00103851"/>
    <w:rsid w:val="00104370"/>
    <w:rsid w:val="00106852"/>
    <w:rsid w:val="00106F35"/>
    <w:rsid w:val="00110F9D"/>
    <w:rsid w:val="0011161B"/>
    <w:rsid w:val="001116EA"/>
    <w:rsid w:val="00114A67"/>
    <w:rsid w:val="00114DB4"/>
    <w:rsid w:val="00117523"/>
    <w:rsid w:val="00121E69"/>
    <w:rsid w:val="001253B6"/>
    <w:rsid w:val="00125E06"/>
    <w:rsid w:val="001262AC"/>
    <w:rsid w:val="001262C3"/>
    <w:rsid w:val="00127320"/>
    <w:rsid w:val="00127456"/>
    <w:rsid w:val="001312D8"/>
    <w:rsid w:val="0013137B"/>
    <w:rsid w:val="00131F3A"/>
    <w:rsid w:val="00137F0E"/>
    <w:rsid w:val="0015118B"/>
    <w:rsid w:val="001519CE"/>
    <w:rsid w:val="0015445A"/>
    <w:rsid w:val="0015494E"/>
    <w:rsid w:val="00160AE7"/>
    <w:rsid w:val="00160B48"/>
    <w:rsid w:val="00160D74"/>
    <w:rsid w:val="00161CF3"/>
    <w:rsid w:val="00162C00"/>
    <w:rsid w:val="001639EF"/>
    <w:rsid w:val="00163D60"/>
    <w:rsid w:val="00164C83"/>
    <w:rsid w:val="0016589F"/>
    <w:rsid w:val="00167D75"/>
    <w:rsid w:val="001712CF"/>
    <w:rsid w:val="00171AFE"/>
    <w:rsid w:val="00172185"/>
    <w:rsid w:val="0017769A"/>
    <w:rsid w:val="00183C7C"/>
    <w:rsid w:val="00183DFC"/>
    <w:rsid w:val="00184384"/>
    <w:rsid w:val="00186717"/>
    <w:rsid w:val="00187FFC"/>
    <w:rsid w:val="001916AD"/>
    <w:rsid w:val="00192F2F"/>
    <w:rsid w:val="0019391C"/>
    <w:rsid w:val="00194C5D"/>
    <w:rsid w:val="001A2018"/>
    <w:rsid w:val="001A2238"/>
    <w:rsid w:val="001A34BF"/>
    <w:rsid w:val="001A3EE4"/>
    <w:rsid w:val="001B1170"/>
    <w:rsid w:val="001B25A4"/>
    <w:rsid w:val="001B2C39"/>
    <w:rsid w:val="001B3675"/>
    <w:rsid w:val="001B5E10"/>
    <w:rsid w:val="001B6AB3"/>
    <w:rsid w:val="001B73D5"/>
    <w:rsid w:val="001C0681"/>
    <w:rsid w:val="001C27C0"/>
    <w:rsid w:val="001C62B3"/>
    <w:rsid w:val="001C7C8C"/>
    <w:rsid w:val="001D0D6A"/>
    <w:rsid w:val="001D20A4"/>
    <w:rsid w:val="001E00D1"/>
    <w:rsid w:val="001E0E26"/>
    <w:rsid w:val="001E0E58"/>
    <w:rsid w:val="001E14F3"/>
    <w:rsid w:val="001E15ED"/>
    <w:rsid w:val="001E35EF"/>
    <w:rsid w:val="001E61AA"/>
    <w:rsid w:val="001E7F26"/>
    <w:rsid w:val="001F3FAD"/>
    <w:rsid w:val="001F72BF"/>
    <w:rsid w:val="00200657"/>
    <w:rsid w:val="002024AD"/>
    <w:rsid w:val="0020309E"/>
    <w:rsid w:val="002063AE"/>
    <w:rsid w:val="0020684A"/>
    <w:rsid w:val="00210B58"/>
    <w:rsid w:val="00216F9E"/>
    <w:rsid w:val="00222423"/>
    <w:rsid w:val="00225B28"/>
    <w:rsid w:val="00226891"/>
    <w:rsid w:val="00230D9B"/>
    <w:rsid w:val="002313AC"/>
    <w:rsid w:val="00233F37"/>
    <w:rsid w:val="00235FB2"/>
    <w:rsid w:val="00237B98"/>
    <w:rsid w:val="00237BC1"/>
    <w:rsid w:val="0024027B"/>
    <w:rsid w:val="002430B4"/>
    <w:rsid w:val="002443EB"/>
    <w:rsid w:val="002447D0"/>
    <w:rsid w:val="002454C5"/>
    <w:rsid w:val="00245E19"/>
    <w:rsid w:val="0024658B"/>
    <w:rsid w:val="00246AEB"/>
    <w:rsid w:val="00250005"/>
    <w:rsid w:val="0025254F"/>
    <w:rsid w:val="0025566D"/>
    <w:rsid w:val="0025595C"/>
    <w:rsid w:val="00257149"/>
    <w:rsid w:val="002573AA"/>
    <w:rsid w:val="002576E7"/>
    <w:rsid w:val="00260357"/>
    <w:rsid w:val="00264F04"/>
    <w:rsid w:val="002658FA"/>
    <w:rsid w:val="00267554"/>
    <w:rsid w:val="002819EF"/>
    <w:rsid w:val="0028275A"/>
    <w:rsid w:val="0028338F"/>
    <w:rsid w:val="002915C4"/>
    <w:rsid w:val="00297E6B"/>
    <w:rsid w:val="002A1D1C"/>
    <w:rsid w:val="002A4D64"/>
    <w:rsid w:val="002B3BC7"/>
    <w:rsid w:val="002B4969"/>
    <w:rsid w:val="002B6500"/>
    <w:rsid w:val="002B6554"/>
    <w:rsid w:val="002B7A07"/>
    <w:rsid w:val="002C21CB"/>
    <w:rsid w:val="002D05F0"/>
    <w:rsid w:val="002D1C5B"/>
    <w:rsid w:val="002D2829"/>
    <w:rsid w:val="002D3EE7"/>
    <w:rsid w:val="002D49AE"/>
    <w:rsid w:val="002D59F0"/>
    <w:rsid w:val="002D71B3"/>
    <w:rsid w:val="002D7D4A"/>
    <w:rsid w:val="002E3846"/>
    <w:rsid w:val="002E3F78"/>
    <w:rsid w:val="002F3208"/>
    <w:rsid w:val="002F400C"/>
    <w:rsid w:val="002F4D76"/>
    <w:rsid w:val="002F6D26"/>
    <w:rsid w:val="002F72E9"/>
    <w:rsid w:val="0030231E"/>
    <w:rsid w:val="003042C4"/>
    <w:rsid w:val="00304CB4"/>
    <w:rsid w:val="00307F8E"/>
    <w:rsid w:val="003104F0"/>
    <w:rsid w:val="00311522"/>
    <w:rsid w:val="00311704"/>
    <w:rsid w:val="00313F37"/>
    <w:rsid w:val="003141D0"/>
    <w:rsid w:val="003168C1"/>
    <w:rsid w:val="00317625"/>
    <w:rsid w:val="003204B7"/>
    <w:rsid w:val="00322FBE"/>
    <w:rsid w:val="00325632"/>
    <w:rsid w:val="00327549"/>
    <w:rsid w:val="003342A5"/>
    <w:rsid w:val="00334616"/>
    <w:rsid w:val="00336C36"/>
    <w:rsid w:val="00343815"/>
    <w:rsid w:val="003439A8"/>
    <w:rsid w:val="00351BEC"/>
    <w:rsid w:val="003522BB"/>
    <w:rsid w:val="00352F6C"/>
    <w:rsid w:val="00354B70"/>
    <w:rsid w:val="003556EA"/>
    <w:rsid w:val="00360B86"/>
    <w:rsid w:val="00361290"/>
    <w:rsid w:val="003613BF"/>
    <w:rsid w:val="00367DE9"/>
    <w:rsid w:val="00370333"/>
    <w:rsid w:val="00386FC7"/>
    <w:rsid w:val="00390A32"/>
    <w:rsid w:val="003A1359"/>
    <w:rsid w:val="003A1E91"/>
    <w:rsid w:val="003A40F2"/>
    <w:rsid w:val="003A50D1"/>
    <w:rsid w:val="003B196D"/>
    <w:rsid w:val="003B2710"/>
    <w:rsid w:val="003B4608"/>
    <w:rsid w:val="003B5D25"/>
    <w:rsid w:val="003B6FD8"/>
    <w:rsid w:val="003B7C52"/>
    <w:rsid w:val="003C0411"/>
    <w:rsid w:val="003C2392"/>
    <w:rsid w:val="003C31EF"/>
    <w:rsid w:val="003C5174"/>
    <w:rsid w:val="003C5240"/>
    <w:rsid w:val="003C64E8"/>
    <w:rsid w:val="003C76E6"/>
    <w:rsid w:val="003D05B3"/>
    <w:rsid w:val="003D14E0"/>
    <w:rsid w:val="003D17AA"/>
    <w:rsid w:val="003D1EA5"/>
    <w:rsid w:val="003D2DCC"/>
    <w:rsid w:val="003D3348"/>
    <w:rsid w:val="003D4E63"/>
    <w:rsid w:val="003D6822"/>
    <w:rsid w:val="003D724C"/>
    <w:rsid w:val="003D7DAE"/>
    <w:rsid w:val="003E0CE2"/>
    <w:rsid w:val="003E0CEB"/>
    <w:rsid w:val="003E5657"/>
    <w:rsid w:val="003E6210"/>
    <w:rsid w:val="003F49E4"/>
    <w:rsid w:val="003F4D2F"/>
    <w:rsid w:val="003F5E32"/>
    <w:rsid w:val="003F66A1"/>
    <w:rsid w:val="003F6F93"/>
    <w:rsid w:val="003F75F6"/>
    <w:rsid w:val="00404670"/>
    <w:rsid w:val="00414CA0"/>
    <w:rsid w:val="004164CC"/>
    <w:rsid w:val="00422F54"/>
    <w:rsid w:val="00431516"/>
    <w:rsid w:val="00433515"/>
    <w:rsid w:val="004361B3"/>
    <w:rsid w:val="0044249D"/>
    <w:rsid w:val="0044379F"/>
    <w:rsid w:val="00444FCC"/>
    <w:rsid w:val="00446FB1"/>
    <w:rsid w:val="004472D6"/>
    <w:rsid w:val="00452753"/>
    <w:rsid w:val="0046078F"/>
    <w:rsid w:val="00463214"/>
    <w:rsid w:val="00463269"/>
    <w:rsid w:val="00463461"/>
    <w:rsid w:val="00463551"/>
    <w:rsid w:val="0046434D"/>
    <w:rsid w:val="004656FA"/>
    <w:rsid w:val="00465D5F"/>
    <w:rsid w:val="004702E4"/>
    <w:rsid w:val="00470FF1"/>
    <w:rsid w:val="00471D77"/>
    <w:rsid w:val="00475587"/>
    <w:rsid w:val="00476CB0"/>
    <w:rsid w:val="00480BC2"/>
    <w:rsid w:val="00482EDC"/>
    <w:rsid w:val="004845C3"/>
    <w:rsid w:val="004870FD"/>
    <w:rsid w:val="004929C2"/>
    <w:rsid w:val="00493FDD"/>
    <w:rsid w:val="0049586B"/>
    <w:rsid w:val="004962BF"/>
    <w:rsid w:val="004966BA"/>
    <w:rsid w:val="004A3E44"/>
    <w:rsid w:val="004B064C"/>
    <w:rsid w:val="004B2018"/>
    <w:rsid w:val="004B2896"/>
    <w:rsid w:val="004B326A"/>
    <w:rsid w:val="004B38E9"/>
    <w:rsid w:val="004B3E5A"/>
    <w:rsid w:val="004B3FBA"/>
    <w:rsid w:val="004B6599"/>
    <w:rsid w:val="004C2B79"/>
    <w:rsid w:val="004C5A97"/>
    <w:rsid w:val="004C6CA7"/>
    <w:rsid w:val="004D133A"/>
    <w:rsid w:val="004D30FD"/>
    <w:rsid w:val="004D4357"/>
    <w:rsid w:val="004D4950"/>
    <w:rsid w:val="004D6F6C"/>
    <w:rsid w:val="004D7614"/>
    <w:rsid w:val="004E0E32"/>
    <w:rsid w:val="004E2393"/>
    <w:rsid w:val="004E258E"/>
    <w:rsid w:val="004E3630"/>
    <w:rsid w:val="004E3745"/>
    <w:rsid w:val="004E3A6B"/>
    <w:rsid w:val="004E3BAD"/>
    <w:rsid w:val="004E42BE"/>
    <w:rsid w:val="004E4F42"/>
    <w:rsid w:val="004E63D5"/>
    <w:rsid w:val="004F03FD"/>
    <w:rsid w:val="004F172C"/>
    <w:rsid w:val="004F52F0"/>
    <w:rsid w:val="004F5E3B"/>
    <w:rsid w:val="004F6250"/>
    <w:rsid w:val="004F677C"/>
    <w:rsid w:val="004F6D8F"/>
    <w:rsid w:val="00505503"/>
    <w:rsid w:val="0051107B"/>
    <w:rsid w:val="00512F9C"/>
    <w:rsid w:val="00513EA9"/>
    <w:rsid w:val="00526BFC"/>
    <w:rsid w:val="00527CDB"/>
    <w:rsid w:val="0053358E"/>
    <w:rsid w:val="005341C9"/>
    <w:rsid w:val="00534CD1"/>
    <w:rsid w:val="00535D01"/>
    <w:rsid w:val="005369CA"/>
    <w:rsid w:val="00536DE9"/>
    <w:rsid w:val="00541E08"/>
    <w:rsid w:val="005425F7"/>
    <w:rsid w:val="00545FD8"/>
    <w:rsid w:val="00550824"/>
    <w:rsid w:val="00551328"/>
    <w:rsid w:val="005544D8"/>
    <w:rsid w:val="00554FE0"/>
    <w:rsid w:val="00555A0A"/>
    <w:rsid w:val="00556564"/>
    <w:rsid w:val="0055789A"/>
    <w:rsid w:val="00560952"/>
    <w:rsid w:val="00565109"/>
    <w:rsid w:val="005652D1"/>
    <w:rsid w:val="005653F5"/>
    <w:rsid w:val="005660A0"/>
    <w:rsid w:val="00566A4F"/>
    <w:rsid w:val="00566ACF"/>
    <w:rsid w:val="00567D64"/>
    <w:rsid w:val="00573DC8"/>
    <w:rsid w:val="00590727"/>
    <w:rsid w:val="005923C4"/>
    <w:rsid w:val="00594514"/>
    <w:rsid w:val="005947E1"/>
    <w:rsid w:val="00594A83"/>
    <w:rsid w:val="0059552E"/>
    <w:rsid w:val="005978D4"/>
    <w:rsid w:val="005A0A20"/>
    <w:rsid w:val="005A23FA"/>
    <w:rsid w:val="005A27EE"/>
    <w:rsid w:val="005A2E13"/>
    <w:rsid w:val="005A55DC"/>
    <w:rsid w:val="005A587B"/>
    <w:rsid w:val="005A7282"/>
    <w:rsid w:val="005A79C1"/>
    <w:rsid w:val="005B2A67"/>
    <w:rsid w:val="005B3DCD"/>
    <w:rsid w:val="005B4AD4"/>
    <w:rsid w:val="005C2798"/>
    <w:rsid w:val="005C2ECE"/>
    <w:rsid w:val="005C36C3"/>
    <w:rsid w:val="005C380F"/>
    <w:rsid w:val="005C4C32"/>
    <w:rsid w:val="005C56EE"/>
    <w:rsid w:val="005C6EC7"/>
    <w:rsid w:val="005D11D5"/>
    <w:rsid w:val="005D1714"/>
    <w:rsid w:val="005D4AD8"/>
    <w:rsid w:val="005D7638"/>
    <w:rsid w:val="005E7DDA"/>
    <w:rsid w:val="005F0361"/>
    <w:rsid w:val="005F12F5"/>
    <w:rsid w:val="005F3056"/>
    <w:rsid w:val="005F486D"/>
    <w:rsid w:val="005F7C7D"/>
    <w:rsid w:val="00601542"/>
    <w:rsid w:val="00601870"/>
    <w:rsid w:val="006044B7"/>
    <w:rsid w:val="00604A62"/>
    <w:rsid w:val="00606644"/>
    <w:rsid w:val="006071CE"/>
    <w:rsid w:val="006075B5"/>
    <w:rsid w:val="0061018C"/>
    <w:rsid w:val="0061094E"/>
    <w:rsid w:val="006127C1"/>
    <w:rsid w:val="00613440"/>
    <w:rsid w:val="00613BE3"/>
    <w:rsid w:val="00614052"/>
    <w:rsid w:val="00617316"/>
    <w:rsid w:val="0062327B"/>
    <w:rsid w:val="006240C2"/>
    <w:rsid w:val="006320B4"/>
    <w:rsid w:val="00632777"/>
    <w:rsid w:val="00633750"/>
    <w:rsid w:val="00634491"/>
    <w:rsid w:val="00634639"/>
    <w:rsid w:val="0063546B"/>
    <w:rsid w:val="0063679C"/>
    <w:rsid w:val="00637055"/>
    <w:rsid w:val="006418B6"/>
    <w:rsid w:val="00641D59"/>
    <w:rsid w:val="00644507"/>
    <w:rsid w:val="00646880"/>
    <w:rsid w:val="00646CC7"/>
    <w:rsid w:val="00647D2A"/>
    <w:rsid w:val="0065263A"/>
    <w:rsid w:val="006537BB"/>
    <w:rsid w:val="0065643E"/>
    <w:rsid w:val="0066103D"/>
    <w:rsid w:val="006625B2"/>
    <w:rsid w:val="00663CA9"/>
    <w:rsid w:val="00667E07"/>
    <w:rsid w:val="006706E8"/>
    <w:rsid w:val="00671785"/>
    <w:rsid w:val="00671D9E"/>
    <w:rsid w:val="00672BA9"/>
    <w:rsid w:val="00673005"/>
    <w:rsid w:val="00674681"/>
    <w:rsid w:val="006800D1"/>
    <w:rsid w:val="006804BE"/>
    <w:rsid w:val="006813A4"/>
    <w:rsid w:val="00681EED"/>
    <w:rsid w:val="00683456"/>
    <w:rsid w:val="0068434A"/>
    <w:rsid w:val="00686514"/>
    <w:rsid w:val="0069008E"/>
    <w:rsid w:val="0069087E"/>
    <w:rsid w:val="006925C4"/>
    <w:rsid w:val="006929D3"/>
    <w:rsid w:val="006A02B7"/>
    <w:rsid w:val="006A46B9"/>
    <w:rsid w:val="006A7019"/>
    <w:rsid w:val="006A75E1"/>
    <w:rsid w:val="006B2083"/>
    <w:rsid w:val="006B46D5"/>
    <w:rsid w:val="006B46F4"/>
    <w:rsid w:val="006C11F9"/>
    <w:rsid w:val="006C3D86"/>
    <w:rsid w:val="006C5303"/>
    <w:rsid w:val="006C7AF3"/>
    <w:rsid w:val="006D0B9D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6F3E09"/>
    <w:rsid w:val="006F5486"/>
    <w:rsid w:val="006F64F6"/>
    <w:rsid w:val="007012C2"/>
    <w:rsid w:val="00702F26"/>
    <w:rsid w:val="0070313E"/>
    <w:rsid w:val="00703799"/>
    <w:rsid w:val="00704AF7"/>
    <w:rsid w:val="00705C5C"/>
    <w:rsid w:val="007108E9"/>
    <w:rsid w:val="00711475"/>
    <w:rsid w:val="00712F06"/>
    <w:rsid w:val="00714E22"/>
    <w:rsid w:val="00716DC7"/>
    <w:rsid w:val="00721C1B"/>
    <w:rsid w:val="0072446D"/>
    <w:rsid w:val="0072548A"/>
    <w:rsid w:val="00726473"/>
    <w:rsid w:val="007273B3"/>
    <w:rsid w:val="007277A6"/>
    <w:rsid w:val="0074243C"/>
    <w:rsid w:val="007437AB"/>
    <w:rsid w:val="00745425"/>
    <w:rsid w:val="007534F8"/>
    <w:rsid w:val="007545AD"/>
    <w:rsid w:val="00762DA1"/>
    <w:rsid w:val="00763722"/>
    <w:rsid w:val="007645E4"/>
    <w:rsid w:val="00764BC1"/>
    <w:rsid w:val="0076654B"/>
    <w:rsid w:val="00770869"/>
    <w:rsid w:val="007738AA"/>
    <w:rsid w:val="007776A8"/>
    <w:rsid w:val="00780A62"/>
    <w:rsid w:val="00783241"/>
    <w:rsid w:val="007840E5"/>
    <w:rsid w:val="00784BDC"/>
    <w:rsid w:val="007863D6"/>
    <w:rsid w:val="007903FF"/>
    <w:rsid w:val="007909F8"/>
    <w:rsid w:val="00791479"/>
    <w:rsid w:val="00792F28"/>
    <w:rsid w:val="007935CA"/>
    <w:rsid w:val="0079543F"/>
    <w:rsid w:val="00795880"/>
    <w:rsid w:val="00796ABC"/>
    <w:rsid w:val="0079784F"/>
    <w:rsid w:val="007A3035"/>
    <w:rsid w:val="007A4367"/>
    <w:rsid w:val="007A496F"/>
    <w:rsid w:val="007A722C"/>
    <w:rsid w:val="007A78CD"/>
    <w:rsid w:val="007B0867"/>
    <w:rsid w:val="007B1AC1"/>
    <w:rsid w:val="007B20DD"/>
    <w:rsid w:val="007B24C1"/>
    <w:rsid w:val="007B2DD9"/>
    <w:rsid w:val="007B536B"/>
    <w:rsid w:val="007B5424"/>
    <w:rsid w:val="007B5A08"/>
    <w:rsid w:val="007B693D"/>
    <w:rsid w:val="007B7C1B"/>
    <w:rsid w:val="007C4CDC"/>
    <w:rsid w:val="007C70C9"/>
    <w:rsid w:val="007D7083"/>
    <w:rsid w:val="007E041B"/>
    <w:rsid w:val="007E189D"/>
    <w:rsid w:val="007E199A"/>
    <w:rsid w:val="007E1AED"/>
    <w:rsid w:val="007E2415"/>
    <w:rsid w:val="007E39F3"/>
    <w:rsid w:val="007E3B04"/>
    <w:rsid w:val="007E405E"/>
    <w:rsid w:val="007E68F4"/>
    <w:rsid w:val="007E6DE2"/>
    <w:rsid w:val="007F0964"/>
    <w:rsid w:val="007F1828"/>
    <w:rsid w:val="007F31BA"/>
    <w:rsid w:val="007F4078"/>
    <w:rsid w:val="007F5FBB"/>
    <w:rsid w:val="007F68DD"/>
    <w:rsid w:val="0080014B"/>
    <w:rsid w:val="008013F2"/>
    <w:rsid w:val="00801793"/>
    <w:rsid w:val="00803642"/>
    <w:rsid w:val="00803D1C"/>
    <w:rsid w:val="00806EA2"/>
    <w:rsid w:val="00810419"/>
    <w:rsid w:val="00812A2B"/>
    <w:rsid w:val="00813A56"/>
    <w:rsid w:val="00814A4C"/>
    <w:rsid w:val="0082105F"/>
    <w:rsid w:val="00822B64"/>
    <w:rsid w:val="00825D66"/>
    <w:rsid w:val="00831AAB"/>
    <w:rsid w:val="00832B42"/>
    <w:rsid w:val="00833BCD"/>
    <w:rsid w:val="00834B82"/>
    <w:rsid w:val="0083574E"/>
    <w:rsid w:val="0083640C"/>
    <w:rsid w:val="008374B7"/>
    <w:rsid w:val="008374E3"/>
    <w:rsid w:val="008402B0"/>
    <w:rsid w:val="0084090A"/>
    <w:rsid w:val="0084157B"/>
    <w:rsid w:val="00842BFB"/>
    <w:rsid w:val="008432B2"/>
    <w:rsid w:val="00846B85"/>
    <w:rsid w:val="00847DC3"/>
    <w:rsid w:val="00847F49"/>
    <w:rsid w:val="00850F43"/>
    <w:rsid w:val="0085234C"/>
    <w:rsid w:val="008535C5"/>
    <w:rsid w:val="00853765"/>
    <w:rsid w:val="0085516F"/>
    <w:rsid w:val="00856A74"/>
    <w:rsid w:val="0086184D"/>
    <w:rsid w:val="008629A4"/>
    <w:rsid w:val="008634D3"/>
    <w:rsid w:val="00864F80"/>
    <w:rsid w:val="008652AD"/>
    <w:rsid w:val="00867186"/>
    <w:rsid w:val="00870AF6"/>
    <w:rsid w:val="00871E9E"/>
    <w:rsid w:val="00875215"/>
    <w:rsid w:val="0087652F"/>
    <w:rsid w:val="00877452"/>
    <w:rsid w:val="008774AA"/>
    <w:rsid w:val="00881268"/>
    <w:rsid w:val="00881779"/>
    <w:rsid w:val="0088394A"/>
    <w:rsid w:val="00884DBA"/>
    <w:rsid w:val="008860BD"/>
    <w:rsid w:val="00887399"/>
    <w:rsid w:val="0088779E"/>
    <w:rsid w:val="008912AF"/>
    <w:rsid w:val="00892114"/>
    <w:rsid w:val="00892CB9"/>
    <w:rsid w:val="008935CB"/>
    <w:rsid w:val="00895B41"/>
    <w:rsid w:val="008964EE"/>
    <w:rsid w:val="008A0596"/>
    <w:rsid w:val="008A2050"/>
    <w:rsid w:val="008A20B0"/>
    <w:rsid w:val="008A256D"/>
    <w:rsid w:val="008A2DAD"/>
    <w:rsid w:val="008A2E77"/>
    <w:rsid w:val="008B0E7E"/>
    <w:rsid w:val="008B1B73"/>
    <w:rsid w:val="008B65BD"/>
    <w:rsid w:val="008B75DE"/>
    <w:rsid w:val="008B7900"/>
    <w:rsid w:val="008C03B7"/>
    <w:rsid w:val="008C71BF"/>
    <w:rsid w:val="008C7FE0"/>
    <w:rsid w:val="008D1875"/>
    <w:rsid w:val="008D37BC"/>
    <w:rsid w:val="008D4005"/>
    <w:rsid w:val="008D5717"/>
    <w:rsid w:val="008D5DDD"/>
    <w:rsid w:val="008E44A9"/>
    <w:rsid w:val="008E5324"/>
    <w:rsid w:val="008E6B4D"/>
    <w:rsid w:val="008E6BFF"/>
    <w:rsid w:val="008E7084"/>
    <w:rsid w:val="008F10D2"/>
    <w:rsid w:val="008F21AF"/>
    <w:rsid w:val="008F2400"/>
    <w:rsid w:val="008F5C37"/>
    <w:rsid w:val="008F61BA"/>
    <w:rsid w:val="008F6E3C"/>
    <w:rsid w:val="008F7C55"/>
    <w:rsid w:val="0090115E"/>
    <w:rsid w:val="009014B1"/>
    <w:rsid w:val="00914A23"/>
    <w:rsid w:val="00917621"/>
    <w:rsid w:val="009177FE"/>
    <w:rsid w:val="00922253"/>
    <w:rsid w:val="0092261A"/>
    <w:rsid w:val="0092530F"/>
    <w:rsid w:val="00930754"/>
    <w:rsid w:val="0093325D"/>
    <w:rsid w:val="00934F68"/>
    <w:rsid w:val="009355A9"/>
    <w:rsid w:val="009355AC"/>
    <w:rsid w:val="00935F38"/>
    <w:rsid w:val="00937586"/>
    <w:rsid w:val="009375B8"/>
    <w:rsid w:val="0094203D"/>
    <w:rsid w:val="00947889"/>
    <w:rsid w:val="009478BD"/>
    <w:rsid w:val="00954469"/>
    <w:rsid w:val="00957563"/>
    <w:rsid w:val="009604E1"/>
    <w:rsid w:val="00960E98"/>
    <w:rsid w:val="00961BFB"/>
    <w:rsid w:val="00963346"/>
    <w:rsid w:val="00963602"/>
    <w:rsid w:val="00963A82"/>
    <w:rsid w:val="00966AC3"/>
    <w:rsid w:val="00970822"/>
    <w:rsid w:val="00972912"/>
    <w:rsid w:val="00974090"/>
    <w:rsid w:val="00976D1F"/>
    <w:rsid w:val="009773EF"/>
    <w:rsid w:val="00981C81"/>
    <w:rsid w:val="00984322"/>
    <w:rsid w:val="00997147"/>
    <w:rsid w:val="009A2D24"/>
    <w:rsid w:val="009A456C"/>
    <w:rsid w:val="009A459F"/>
    <w:rsid w:val="009B00E0"/>
    <w:rsid w:val="009B292A"/>
    <w:rsid w:val="009B76D5"/>
    <w:rsid w:val="009C165D"/>
    <w:rsid w:val="009C167F"/>
    <w:rsid w:val="009C3CEA"/>
    <w:rsid w:val="009C583D"/>
    <w:rsid w:val="009D2611"/>
    <w:rsid w:val="009D79D2"/>
    <w:rsid w:val="009E247C"/>
    <w:rsid w:val="009E31BA"/>
    <w:rsid w:val="009E502E"/>
    <w:rsid w:val="009E53EB"/>
    <w:rsid w:val="009F0528"/>
    <w:rsid w:val="009F06C6"/>
    <w:rsid w:val="009F0806"/>
    <w:rsid w:val="009F1B07"/>
    <w:rsid w:val="009F233B"/>
    <w:rsid w:val="00A05D16"/>
    <w:rsid w:val="00A0659F"/>
    <w:rsid w:val="00A079BA"/>
    <w:rsid w:val="00A10486"/>
    <w:rsid w:val="00A10B0D"/>
    <w:rsid w:val="00A14BA4"/>
    <w:rsid w:val="00A14E8C"/>
    <w:rsid w:val="00A20C70"/>
    <w:rsid w:val="00A33875"/>
    <w:rsid w:val="00A360A1"/>
    <w:rsid w:val="00A402B3"/>
    <w:rsid w:val="00A40C14"/>
    <w:rsid w:val="00A5268A"/>
    <w:rsid w:val="00A544B7"/>
    <w:rsid w:val="00A5497B"/>
    <w:rsid w:val="00A5508D"/>
    <w:rsid w:val="00A55D89"/>
    <w:rsid w:val="00A618CF"/>
    <w:rsid w:val="00A62770"/>
    <w:rsid w:val="00A62EEB"/>
    <w:rsid w:val="00A660FF"/>
    <w:rsid w:val="00A6685F"/>
    <w:rsid w:val="00A73395"/>
    <w:rsid w:val="00A75A50"/>
    <w:rsid w:val="00A771E3"/>
    <w:rsid w:val="00A77C83"/>
    <w:rsid w:val="00A812C0"/>
    <w:rsid w:val="00A81C4F"/>
    <w:rsid w:val="00A823EA"/>
    <w:rsid w:val="00A82B4C"/>
    <w:rsid w:val="00A863B5"/>
    <w:rsid w:val="00A86D38"/>
    <w:rsid w:val="00A86E2B"/>
    <w:rsid w:val="00A877A7"/>
    <w:rsid w:val="00A92E04"/>
    <w:rsid w:val="00A93A4C"/>
    <w:rsid w:val="00A94D5D"/>
    <w:rsid w:val="00A95C76"/>
    <w:rsid w:val="00AA1D9B"/>
    <w:rsid w:val="00AA2543"/>
    <w:rsid w:val="00AA3804"/>
    <w:rsid w:val="00AA5052"/>
    <w:rsid w:val="00AA53EE"/>
    <w:rsid w:val="00AA55C2"/>
    <w:rsid w:val="00AB0ACA"/>
    <w:rsid w:val="00AB1D41"/>
    <w:rsid w:val="00AB2973"/>
    <w:rsid w:val="00AB58B3"/>
    <w:rsid w:val="00AB60B5"/>
    <w:rsid w:val="00AC27A7"/>
    <w:rsid w:val="00AC5E9A"/>
    <w:rsid w:val="00AC6383"/>
    <w:rsid w:val="00AC704B"/>
    <w:rsid w:val="00AD553E"/>
    <w:rsid w:val="00AD5848"/>
    <w:rsid w:val="00AD5897"/>
    <w:rsid w:val="00AD77F9"/>
    <w:rsid w:val="00AD7EB0"/>
    <w:rsid w:val="00AD7FDB"/>
    <w:rsid w:val="00AE5ADA"/>
    <w:rsid w:val="00AF2BC9"/>
    <w:rsid w:val="00AF53F2"/>
    <w:rsid w:val="00AF5CC6"/>
    <w:rsid w:val="00AF6145"/>
    <w:rsid w:val="00AF7168"/>
    <w:rsid w:val="00AF71CF"/>
    <w:rsid w:val="00B01386"/>
    <w:rsid w:val="00B016F3"/>
    <w:rsid w:val="00B01915"/>
    <w:rsid w:val="00B01BB5"/>
    <w:rsid w:val="00B026CC"/>
    <w:rsid w:val="00B032BE"/>
    <w:rsid w:val="00B04AF4"/>
    <w:rsid w:val="00B05214"/>
    <w:rsid w:val="00B12E20"/>
    <w:rsid w:val="00B14E17"/>
    <w:rsid w:val="00B233A8"/>
    <w:rsid w:val="00B30D97"/>
    <w:rsid w:val="00B31074"/>
    <w:rsid w:val="00B3181A"/>
    <w:rsid w:val="00B33515"/>
    <w:rsid w:val="00B35A7C"/>
    <w:rsid w:val="00B446E0"/>
    <w:rsid w:val="00B44ECD"/>
    <w:rsid w:val="00B450D1"/>
    <w:rsid w:val="00B526A7"/>
    <w:rsid w:val="00B536D6"/>
    <w:rsid w:val="00B53D47"/>
    <w:rsid w:val="00B54A25"/>
    <w:rsid w:val="00B54B8E"/>
    <w:rsid w:val="00B552F8"/>
    <w:rsid w:val="00B56410"/>
    <w:rsid w:val="00B60326"/>
    <w:rsid w:val="00B6077B"/>
    <w:rsid w:val="00B618C3"/>
    <w:rsid w:val="00B622B2"/>
    <w:rsid w:val="00B63652"/>
    <w:rsid w:val="00B65199"/>
    <w:rsid w:val="00B668B0"/>
    <w:rsid w:val="00B70F5C"/>
    <w:rsid w:val="00B71873"/>
    <w:rsid w:val="00B736B8"/>
    <w:rsid w:val="00B75AE5"/>
    <w:rsid w:val="00B800C0"/>
    <w:rsid w:val="00B8132B"/>
    <w:rsid w:val="00B8295C"/>
    <w:rsid w:val="00B84C5A"/>
    <w:rsid w:val="00B858F5"/>
    <w:rsid w:val="00B876BD"/>
    <w:rsid w:val="00B93668"/>
    <w:rsid w:val="00B94428"/>
    <w:rsid w:val="00B94A8F"/>
    <w:rsid w:val="00B9580C"/>
    <w:rsid w:val="00B974FA"/>
    <w:rsid w:val="00B97650"/>
    <w:rsid w:val="00BA68C6"/>
    <w:rsid w:val="00BB12F1"/>
    <w:rsid w:val="00BB15BC"/>
    <w:rsid w:val="00BB276E"/>
    <w:rsid w:val="00BB3FEE"/>
    <w:rsid w:val="00BB5EB0"/>
    <w:rsid w:val="00BC00EC"/>
    <w:rsid w:val="00BC08F1"/>
    <w:rsid w:val="00BC245A"/>
    <w:rsid w:val="00BD16FA"/>
    <w:rsid w:val="00BD41C3"/>
    <w:rsid w:val="00BD488B"/>
    <w:rsid w:val="00BD5F9B"/>
    <w:rsid w:val="00BD654A"/>
    <w:rsid w:val="00BD7CCC"/>
    <w:rsid w:val="00BE002A"/>
    <w:rsid w:val="00BE0283"/>
    <w:rsid w:val="00BE1BC9"/>
    <w:rsid w:val="00BE5CDA"/>
    <w:rsid w:val="00BE608F"/>
    <w:rsid w:val="00BE6E22"/>
    <w:rsid w:val="00BE75B6"/>
    <w:rsid w:val="00BF23BB"/>
    <w:rsid w:val="00BF33DD"/>
    <w:rsid w:val="00BF5755"/>
    <w:rsid w:val="00BF684B"/>
    <w:rsid w:val="00C016F3"/>
    <w:rsid w:val="00C07136"/>
    <w:rsid w:val="00C10683"/>
    <w:rsid w:val="00C15193"/>
    <w:rsid w:val="00C15609"/>
    <w:rsid w:val="00C15F6A"/>
    <w:rsid w:val="00C217A7"/>
    <w:rsid w:val="00C23EA7"/>
    <w:rsid w:val="00C256F3"/>
    <w:rsid w:val="00C270A2"/>
    <w:rsid w:val="00C276D0"/>
    <w:rsid w:val="00C315B5"/>
    <w:rsid w:val="00C316ED"/>
    <w:rsid w:val="00C32462"/>
    <w:rsid w:val="00C35E28"/>
    <w:rsid w:val="00C426AF"/>
    <w:rsid w:val="00C469C1"/>
    <w:rsid w:val="00C47973"/>
    <w:rsid w:val="00C50659"/>
    <w:rsid w:val="00C51B39"/>
    <w:rsid w:val="00C52963"/>
    <w:rsid w:val="00C5332F"/>
    <w:rsid w:val="00C5338A"/>
    <w:rsid w:val="00C54EF9"/>
    <w:rsid w:val="00C55087"/>
    <w:rsid w:val="00C56BBF"/>
    <w:rsid w:val="00C572AA"/>
    <w:rsid w:val="00C575E6"/>
    <w:rsid w:val="00C57A9A"/>
    <w:rsid w:val="00C6016A"/>
    <w:rsid w:val="00C60B3F"/>
    <w:rsid w:val="00C61711"/>
    <w:rsid w:val="00C623EB"/>
    <w:rsid w:val="00C62FCC"/>
    <w:rsid w:val="00C63D0D"/>
    <w:rsid w:val="00C64C6B"/>
    <w:rsid w:val="00C6588D"/>
    <w:rsid w:val="00C66F2E"/>
    <w:rsid w:val="00C6785C"/>
    <w:rsid w:val="00C7028B"/>
    <w:rsid w:val="00C70FD1"/>
    <w:rsid w:val="00C72B76"/>
    <w:rsid w:val="00C733AA"/>
    <w:rsid w:val="00C7637F"/>
    <w:rsid w:val="00C83027"/>
    <w:rsid w:val="00C84B8A"/>
    <w:rsid w:val="00C85E65"/>
    <w:rsid w:val="00C87CA1"/>
    <w:rsid w:val="00C911B4"/>
    <w:rsid w:val="00C91A44"/>
    <w:rsid w:val="00C91B3B"/>
    <w:rsid w:val="00C94262"/>
    <w:rsid w:val="00C9461D"/>
    <w:rsid w:val="00C95A92"/>
    <w:rsid w:val="00C976E1"/>
    <w:rsid w:val="00CA148E"/>
    <w:rsid w:val="00CA15C6"/>
    <w:rsid w:val="00CA3A9A"/>
    <w:rsid w:val="00CA61C5"/>
    <w:rsid w:val="00CA78FA"/>
    <w:rsid w:val="00CB16C2"/>
    <w:rsid w:val="00CB1CFC"/>
    <w:rsid w:val="00CB6855"/>
    <w:rsid w:val="00CB6BC1"/>
    <w:rsid w:val="00CB7021"/>
    <w:rsid w:val="00CD2498"/>
    <w:rsid w:val="00CD305D"/>
    <w:rsid w:val="00CD3294"/>
    <w:rsid w:val="00CD3630"/>
    <w:rsid w:val="00CD4524"/>
    <w:rsid w:val="00CD784D"/>
    <w:rsid w:val="00CE591E"/>
    <w:rsid w:val="00CF3A1C"/>
    <w:rsid w:val="00CF40F8"/>
    <w:rsid w:val="00CF544B"/>
    <w:rsid w:val="00CF608C"/>
    <w:rsid w:val="00CF6799"/>
    <w:rsid w:val="00CF77B5"/>
    <w:rsid w:val="00D008DA"/>
    <w:rsid w:val="00D019EE"/>
    <w:rsid w:val="00D0416F"/>
    <w:rsid w:val="00D05517"/>
    <w:rsid w:val="00D055D6"/>
    <w:rsid w:val="00D05851"/>
    <w:rsid w:val="00D0644C"/>
    <w:rsid w:val="00D10FED"/>
    <w:rsid w:val="00D11736"/>
    <w:rsid w:val="00D12EE8"/>
    <w:rsid w:val="00D14CDF"/>
    <w:rsid w:val="00D15FF1"/>
    <w:rsid w:val="00D167F4"/>
    <w:rsid w:val="00D2092A"/>
    <w:rsid w:val="00D2216D"/>
    <w:rsid w:val="00D23079"/>
    <w:rsid w:val="00D25352"/>
    <w:rsid w:val="00D3063B"/>
    <w:rsid w:val="00D30D96"/>
    <w:rsid w:val="00D31A6F"/>
    <w:rsid w:val="00D35328"/>
    <w:rsid w:val="00D353D1"/>
    <w:rsid w:val="00D367DB"/>
    <w:rsid w:val="00D36E05"/>
    <w:rsid w:val="00D408F4"/>
    <w:rsid w:val="00D413D6"/>
    <w:rsid w:val="00D43977"/>
    <w:rsid w:val="00D44AC9"/>
    <w:rsid w:val="00D44F27"/>
    <w:rsid w:val="00D45304"/>
    <w:rsid w:val="00D46165"/>
    <w:rsid w:val="00D461C7"/>
    <w:rsid w:val="00D46830"/>
    <w:rsid w:val="00D50424"/>
    <w:rsid w:val="00D5081E"/>
    <w:rsid w:val="00D525C9"/>
    <w:rsid w:val="00D53105"/>
    <w:rsid w:val="00D57C9A"/>
    <w:rsid w:val="00D57D3E"/>
    <w:rsid w:val="00D633F7"/>
    <w:rsid w:val="00D67F50"/>
    <w:rsid w:val="00D76249"/>
    <w:rsid w:val="00D849D4"/>
    <w:rsid w:val="00D8737C"/>
    <w:rsid w:val="00D90284"/>
    <w:rsid w:val="00D95D17"/>
    <w:rsid w:val="00D977FD"/>
    <w:rsid w:val="00DA1633"/>
    <w:rsid w:val="00DA1B90"/>
    <w:rsid w:val="00DA38A7"/>
    <w:rsid w:val="00DA7D12"/>
    <w:rsid w:val="00DB1B7A"/>
    <w:rsid w:val="00DB23ED"/>
    <w:rsid w:val="00DB51F3"/>
    <w:rsid w:val="00DB7BEB"/>
    <w:rsid w:val="00DC23CF"/>
    <w:rsid w:val="00DC3E25"/>
    <w:rsid w:val="00DC6562"/>
    <w:rsid w:val="00DD40E1"/>
    <w:rsid w:val="00DD6455"/>
    <w:rsid w:val="00DE1263"/>
    <w:rsid w:val="00DE130D"/>
    <w:rsid w:val="00DE24CF"/>
    <w:rsid w:val="00DE407C"/>
    <w:rsid w:val="00DE7C7D"/>
    <w:rsid w:val="00DF2992"/>
    <w:rsid w:val="00DF2D0C"/>
    <w:rsid w:val="00DF7F99"/>
    <w:rsid w:val="00E00058"/>
    <w:rsid w:val="00E01B9D"/>
    <w:rsid w:val="00E0468F"/>
    <w:rsid w:val="00E04F5E"/>
    <w:rsid w:val="00E050AF"/>
    <w:rsid w:val="00E0522E"/>
    <w:rsid w:val="00E114B9"/>
    <w:rsid w:val="00E120F4"/>
    <w:rsid w:val="00E17172"/>
    <w:rsid w:val="00E23E6F"/>
    <w:rsid w:val="00E24491"/>
    <w:rsid w:val="00E2525D"/>
    <w:rsid w:val="00E30282"/>
    <w:rsid w:val="00E3181C"/>
    <w:rsid w:val="00E32603"/>
    <w:rsid w:val="00E3280A"/>
    <w:rsid w:val="00E372AF"/>
    <w:rsid w:val="00E37D68"/>
    <w:rsid w:val="00E40EAE"/>
    <w:rsid w:val="00E41C80"/>
    <w:rsid w:val="00E436AC"/>
    <w:rsid w:val="00E44F7A"/>
    <w:rsid w:val="00E44FF8"/>
    <w:rsid w:val="00E470FA"/>
    <w:rsid w:val="00E502A1"/>
    <w:rsid w:val="00E5066A"/>
    <w:rsid w:val="00E52CF9"/>
    <w:rsid w:val="00E61A5F"/>
    <w:rsid w:val="00E63F34"/>
    <w:rsid w:val="00E63FEA"/>
    <w:rsid w:val="00E6491B"/>
    <w:rsid w:val="00E6644A"/>
    <w:rsid w:val="00E66F21"/>
    <w:rsid w:val="00E6715A"/>
    <w:rsid w:val="00E749E5"/>
    <w:rsid w:val="00E74ACD"/>
    <w:rsid w:val="00E75DC9"/>
    <w:rsid w:val="00E7685F"/>
    <w:rsid w:val="00E81610"/>
    <w:rsid w:val="00E83B6C"/>
    <w:rsid w:val="00E84910"/>
    <w:rsid w:val="00E85B28"/>
    <w:rsid w:val="00E91976"/>
    <w:rsid w:val="00E93D88"/>
    <w:rsid w:val="00E947A6"/>
    <w:rsid w:val="00E94F43"/>
    <w:rsid w:val="00E95616"/>
    <w:rsid w:val="00E97A4A"/>
    <w:rsid w:val="00E97FC7"/>
    <w:rsid w:val="00EA0690"/>
    <w:rsid w:val="00EA0DD5"/>
    <w:rsid w:val="00EA38A7"/>
    <w:rsid w:val="00EA3956"/>
    <w:rsid w:val="00EA7136"/>
    <w:rsid w:val="00EB0D30"/>
    <w:rsid w:val="00EB2259"/>
    <w:rsid w:val="00EB28BF"/>
    <w:rsid w:val="00EB3000"/>
    <w:rsid w:val="00EB325A"/>
    <w:rsid w:val="00EB5A3F"/>
    <w:rsid w:val="00EC02A5"/>
    <w:rsid w:val="00EC176B"/>
    <w:rsid w:val="00EC2793"/>
    <w:rsid w:val="00EC33CD"/>
    <w:rsid w:val="00EC5BE5"/>
    <w:rsid w:val="00EC6904"/>
    <w:rsid w:val="00ED1261"/>
    <w:rsid w:val="00ED2650"/>
    <w:rsid w:val="00ED396A"/>
    <w:rsid w:val="00ED6DF8"/>
    <w:rsid w:val="00ED721A"/>
    <w:rsid w:val="00EE393D"/>
    <w:rsid w:val="00EE4744"/>
    <w:rsid w:val="00EF01CF"/>
    <w:rsid w:val="00EF5E63"/>
    <w:rsid w:val="00EF65D3"/>
    <w:rsid w:val="00EF6A47"/>
    <w:rsid w:val="00EF7AF9"/>
    <w:rsid w:val="00F00952"/>
    <w:rsid w:val="00F01495"/>
    <w:rsid w:val="00F06D07"/>
    <w:rsid w:val="00F10138"/>
    <w:rsid w:val="00F10E2C"/>
    <w:rsid w:val="00F13F92"/>
    <w:rsid w:val="00F21EA5"/>
    <w:rsid w:val="00F22ECA"/>
    <w:rsid w:val="00F240E8"/>
    <w:rsid w:val="00F244FA"/>
    <w:rsid w:val="00F247BF"/>
    <w:rsid w:val="00F31593"/>
    <w:rsid w:val="00F323B5"/>
    <w:rsid w:val="00F338E7"/>
    <w:rsid w:val="00F366A2"/>
    <w:rsid w:val="00F37418"/>
    <w:rsid w:val="00F44F43"/>
    <w:rsid w:val="00F450E1"/>
    <w:rsid w:val="00F50DF4"/>
    <w:rsid w:val="00F555BC"/>
    <w:rsid w:val="00F57AFE"/>
    <w:rsid w:val="00F60A45"/>
    <w:rsid w:val="00F61B4F"/>
    <w:rsid w:val="00F626C0"/>
    <w:rsid w:val="00F6278E"/>
    <w:rsid w:val="00F63C41"/>
    <w:rsid w:val="00F63CD1"/>
    <w:rsid w:val="00F63E96"/>
    <w:rsid w:val="00F64CC8"/>
    <w:rsid w:val="00F65DEC"/>
    <w:rsid w:val="00F701E3"/>
    <w:rsid w:val="00F71008"/>
    <w:rsid w:val="00F71F8C"/>
    <w:rsid w:val="00F73140"/>
    <w:rsid w:val="00F763E3"/>
    <w:rsid w:val="00F80821"/>
    <w:rsid w:val="00F82FA6"/>
    <w:rsid w:val="00F86AD4"/>
    <w:rsid w:val="00F935CA"/>
    <w:rsid w:val="00F97BA3"/>
    <w:rsid w:val="00FA0113"/>
    <w:rsid w:val="00FA02B6"/>
    <w:rsid w:val="00FA12B2"/>
    <w:rsid w:val="00FA25D8"/>
    <w:rsid w:val="00FA5F4A"/>
    <w:rsid w:val="00FA5FDC"/>
    <w:rsid w:val="00FA7610"/>
    <w:rsid w:val="00FB02BD"/>
    <w:rsid w:val="00FB398F"/>
    <w:rsid w:val="00FB4EF8"/>
    <w:rsid w:val="00FB54AE"/>
    <w:rsid w:val="00FB56EB"/>
    <w:rsid w:val="00FB709A"/>
    <w:rsid w:val="00FB78DD"/>
    <w:rsid w:val="00FC3EF3"/>
    <w:rsid w:val="00FC5D35"/>
    <w:rsid w:val="00FD09CB"/>
    <w:rsid w:val="00FD2049"/>
    <w:rsid w:val="00FD2140"/>
    <w:rsid w:val="00FD2AF7"/>
    <w:rsid w:val="00FD4869"/>
    <w:rsid w:val="00FD5B5F"/>
    <w:rsid w:val="00FD5BDE"/>
    <w:rsid w:val="00FD68EC"/>
    <w:rsid w:val="00FE104A"/>
    <w:rsid w:val="00FE24A5"/>
    <w:rsid w:val="00FE2B32"/>
    <w:rsid w:val="00FE3076"/>
    <w:rsid w:val="00FE31E5"/>
    <w:rsid w:val="00FE412B"/>
    <w:rsid w:val="00FE5DDC"/>
    <w:rsid w:val="00FE6C7B"/>
    <w:rsid w:val="00FF19AD"/>
    <w:rsid w:val="00FF1EB5"/>
    <w:rsid w:val="00FF292D"/>
    <w:rsid w:val="00FF298D"/>
    <w:rsid w:val="00FF34A1"/>
    <w:rsid w:val="00FF4B55"/>
    <w:rsid w:val="00FF6287"/>
    <w:rsid w:val="00FF6A74"/>
    <w:rsid w:val="00FF73A3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7F914"/>
  <w15:chartTrackingRefBased/>
  <w15:docId w15:val="{23F8D366-2F20-47CE-A254-0C17E6DD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B536D6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B536D6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A92E0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3D7DA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voutouris@cystat.mof.gov.c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ikis@cystat.mof.gov.c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09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ystatdb23px.cystat.gov.cy/pxweb/el/8.CYSTAT-DB/8.CYSTAT-DB__Price%20Indices__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7" TargetMode="External"/><Relationship Id="rId14" Type="http://schemas.openxmlformats.org/officeDocument/2006/relationships/hyperlink" Target="mailto:fkakoutsis@cystat.mof.gov.c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6504</CharactersWithSpaces>
  <SharedDoc>false</SharedDoc>
  <HLinks>
    <vt:vector size="42" baseType="variant">
      <vt:variant>
        <vt:i4>2883594</vt:i4>
      </vt:variant>
      <vt:variant>
        <vt:i4>15</vt:i4>
      </vt:variant>
      <vt:variant>
        <vt:i4>0</vt:i4>
      </vt:variant>
      <vt:variant>
        <vt:i4>5</vt:i4>
      </vt:variant>
      <vt:variant>
        <vt:lpwstr>mailto:cpapageorgiou@cystat.mof.gov.cy</vt:lpwstr>
      </vt:variant>
      <vt:variant>
        <vt:lpwstr/>
      </vt:variant>
      <vt:variant>
        <vt:i4>1179738</vt:i4>
      </vt:variant>
      <vt:variant>
        <vt:i4>12</vt:i4>
      </vt:variant>
      <vt:variant>
        <vt:i4>0</vt:i4>
      </vt:variant>
      <vt:variant>
        <vt:i4>5</vt:i4>
      </vt:variant>
      <vt:variant>
        <vt:lpwstr>https://www.cystat.gov.cy/el/MethodologicalDetails?m=2091</vt:lpwstr>
      </vt:variant>
      <vt:variant>
        <vt:lpwstr/>
      </vt:variant>
      <vt:variant>
        <vt:i4>4259922</vt:i4>
      </vt:variant>
      <vt:variant>
        <vt:i4>9</vt:i4>
      </vt:variant>
      <vt:variant>
        <vt:i4>0</vt:i4>
      </vt:variant>
      <vt:variant>
        <vt:i4>5</vt:i4>
      </vt:variant>
      <vt:variant>
        <vt:lpwstr>https://www.cystat.gov.cy/el/KeyFiguresList?s=47</vt:lpwstr>
      </vt:variant>
      <vt:variant>
        <vt:lpwstr/>
      </vt:variant>
      <vt:variant>
        <vt:i4>786514</vt:i4>
      </vt:variant>
      <vt:variant>
        <vt:i4>6</vt:i4>
      </vt:variant>
      <vt:variant>
        <vt:i4>0</vt:i4>
      </vt:variant>
      <vt:variant>
        <vt:i4>5</vt:i4>
      </vt:variant>
      <vt:variant>
        <vt:lpwstr>https://cystatdb.cystat.gov.cy/pxweb/el/8.CYSTAT-DB/8.CYSTAT-DB__Price Indices__</vt:lpwstr>
      </vt:variant>
      <vt:variant>
        <vt:lpwstr/>
      </vt:variant>
      <vt:variant>
        <vt:i4>5046338</vt:i4>
      </vt:variant>
      <vt:variant>
        <vt:i4>3</vt:i4>
      </vt:variant>
      <vt:variant>
        <vt:i4>0</vt:i4>
      </vt:variant>
      <vt:variant>
        <vt:i4>5</vt:i4>
      </vt:variant>
      <vt:variant>
        <vt:lpwstr>https://www.cystat.gov.cy/el/SubthemeStatistics?s=47</vt:lpwstr>
      </vt:variant>
      <vt:variant>
        <vt:lpwstr/>
      </vt:variant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21</cp:revision>
  <cp:lastPrinted>2026-05-19T12:40:00Z</cp:lastPrinted>
  <dcterms:created xsi:type="dcterms:W3CDTF">2026-04-14T09:58:00Z</dcterms:created>
  <dcterms:modified xsi:type="dcterms:W3CDTF">2026-05-19T12:56:00Z</dcterms:modified>
</cp:coreProperties>
</file>