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93C3F" w14:textId="77777777" w:rsidR="00AF5CC6" w:rsidRPr="000723AD" w:rsidRDefault="00AF5CC6" w:rsidP="00AF5CC6">
      <w:pPr>
        <w:jc w:val="right"/>
        <w:rPr>
          <w:rFonts w:ascii="Verdana" w:hAnsi="Verdana" w:cs="Arial"/>
          <w:sz w:val="18"/>
          <w:szCs w:val="18"/>
          <w:lang w:val="el-GR"/>
        </w:rPr>
      </w:pPr>
    </w:p>
    <w:p w14:paraId="68993345" w14:textId="77777777" w:rsidR="00AF5CC6" w:rsidRPr="00A12E81" w:rsidRDefault="00AF5CC6" w:rsidP="008A0596">
      <w:pPr>
        <w:jc w:val="right"/>
        <w:rPr>
          <w:rFonts w:ascii="Verdana" w:hAnsi="Verdana"/>
          <w:sz w:val="18"/>
          <w:szCs w:val="18"/>
          <w:shd w:val="clear" w:color="auto" w:fill="FFFFFF"/>
          <w:lang w:val="el-GR"/>
        </w:rPr>
      </w:pPr>
    </w:p>
    <w:p w14:paraId="5850DDF8" w14:textId="7543A66B" w:rsidR="00AF5CC6" w:rsidRDefault="007108E9" w:rsidP="00AF5CC6">
      <w:pPr>
        <w:jc w:val="right"/>
        <w:rPr>
          <w:rFonts w:ascii="Verdana" w:eastAsia="Malgun Gothic" w:hAnsi="Verdana" w:cs="Arial"/>
          <w:sz w:val="18"/>
          <w:szCs w:val="18"/>
          <w:lang w:val="el-GR"/>
        </w:rPr>
      </w:pPr>
      <w:r w:rsidRPr="003F6F93">
        <w:rPr>
          <w:rFonts w:ascii="Verdana" w:eastAsia="Malgun Gothic" w:hAnsi="Verdana" w:cs="Arial"/>
          <w:sz w:val="18"/>
          <w:szCs w:val="18"/>
          <w:lang w:val="el-GR"/>
        </w:rPr>
        <w:t>1</w:t>
      </w:r>
      <w:r w:rsidR="00171AFE" w:rsidRPr="004E258E">
        <w:rPr>
          <w:rFonts w:ascii="Verdana" w:eastAsia="Malgun Gothic" w:hAnsi="Verdana" w:cs="Arial"/>
          <w:sz w:val="18"/>
          <w:szCs w:val="18"/>
          <w:lang w:val="el-GR"/>
        </w:rPr>
        <w:t xml:space="preserve">7 </w:t>
      </w:r>
      <w:r w:rsidR="00171AFE">
        <w:rPr>
          <w:rFonts w:ascii="Verdana" w:eastAsia="Malgun Gothic" w:hAnsi="Verdana" w:cs="Arial"/>
          <w:sz w:val="18"/>
          <w:szCs w:val="18"/>
          <w:lang w:val="el-GR"/>
        </w:rPr>
        <w:t>Ιανουαρίου</w:t>
      </w:r>
      <w:r w:rsidR="00AF5CC6" w:rsidRPr="00936735">
        <w:rPr>
          <w:rFonts w:ascii="Verdana" w:eastAsia="Malgun Gothic" w:hAnsi="Verdana" w:cs="Arial"/>
          <w:sz w:val="18"/>
          <w:szCs w:val="18"/>
          <w:lang w:val="el-GR"/>
        </w:rPr>
        <w:t>, 202</w:t>
      </w:r>
      <w:r w:rsidR="00171AFE">
        <w:rPr>
          <w:rFonts w:ascii="Verdana" w:eastAsia="Malgun Gothic" w:hAnsi="Verdana" w:cs="Arial"/>
          <w:sz w:val="18"/>
          <w:szCs w:val="18"/>
          <w:lang w:val="el-GR"/>
        </w:rPr>
        <w:t>5</w:t>
      </w:r>
    </w:p>
    <w:p w14:paraId="31604F42" w14:textId="77777777" w:rsidR="00AF5CC6" w:rsidRDefault="00AF5CC6" w:rsidP="00AF5CC6">
      <w:pPr>
        <w:jc w:val="right"/>
        <w:rPr>
          <w:rFonts w:ascii="Verdana" w:eastAsia="Malgun Gothic" w:hAnsi="Verdana" w:cs="Arial"/>
          <w:sz w:val="18"/>
          <w:szCs w:val="18"/>
          <w:lang w:val="el-GR"/>
        </w:rPr>
      </w:pPr>
    </w:p>
    <w:p w14:paraId="1F153A24" w14:textId="77777777" w:rsidR="00AF5CC6" w:rsidRPr="00F06A85" w:rsidRDefault="00AF5CC6" w:rsidP="00AF5CC6">
      <w:pPr>
        <w:jc w:val="center"/>
        <w:rPr>
          <w:rFonts w:ascii="Verdana" w:eastAsia="Malgun Gothic" w:hAnsi="Verdana" w:cs="Arial"/>
          <w:b/>
          <w:lang w:val="el-GR"/>
        </w:rPr>
      </w:pPr>
      <w:r w:rsidRPr="00936735">
        <w:rPr>
          <w:rFonts w:ascii="Verdana" w:eastAsia="Malgun Gothic" w:hAnsi="Verdana" w:cs="Arial"/>
          <w:b/>
          <w:sz w:val="24"/>
          <w:szCs w:val="24"/>
          <w:lang w:val="el-GR"/>
        </w:rPr>
        <w:t>ΔΕΛΤΙΟ</w:t>
      </w:r>
      <w:r w:rsidRPr="00F06A85">
        <w:rPr>
          <w:rFonts w:ascii="Verdana" w:eastAsia="Malgun Gothic" w:hAnsi="Verdana" w:cs="Arial"/>
          <w:b/>
          <w:lang w:val="el-GR"/>
        </w:rPr>
        <w:t xml:space="preserve"> ΤΥΠΟΥ</w:t>
      </w:r>
    </w:p>
    <w:p w14:paraId="0C642A8F" w14:textId="77777777" w:rsidR="00AF5CC6" w:rsidRPr="00FE5DDC" w:rsidRDefault="00AF5CC6" w:rsidP="00AF5CC6">
      <w:pPr>
        <w:pStyle w:val="Heading6"/>
        <w:jc w:val="left"/>
        <w:rPr>
          <w:rFonts w:ascii="Verdana" w:eastAsia="Malgun Gothic" w:hAnsi="Verdana" w:cs="Arial"/>
          <w:b w:val="0"/>
          <w:szCs w:val="22"/>
        </w:rPr>
      </w:pPr>
    </w:p>
    <w:p w14:paraId="79C15B41" w14:textId="0EED2ECC" w:rsidR="00AF5CC6" w:rsidRPr="00FE5DDC" w:rsidRDefault="00AF5CC6" w:rsidP="00A77C83">
      <w:pPr>
        <w:pStyle w:val="Heading6"/>
        <w:jc w:val="left"/>
        <w:rPr>
          <w:rFonts w:ascii="Verdana" w:eastAsia="Malgun Gothic" w:hAnsi="Verdana" w:cs="Arial"/>
          <w:b w:val="0"/>
          <w:szCs w:val="22"/>
        </w:rPr>
      </w:pPr>
      <w:r w:rsidRPr="00FE5DDC">
        <w:rPr>
          <w:rFonts w:ascii="Verdana" w:eastAsia="Malgun Gothic" w:hAnsi="Verdana" w:cs="Arial"/>
          <w:b w:val="0"/>
          <w:szCs w:val="22"/>
        </w:rPr>
        <w:t>ΕΝΑΡΜΟΝΙΣΜΕΝΟΣ ΔΕΙΚΤΗΣ ΤΙΜΩΝ ΚΑΤΑΝΑΛΩΤΗ</w:t>
      </w:r>
      <w:r w:rsidR="00970822" w:rsidRPr="00970822">
        <w:rPr>
          <w:rFonts w:ascii="Verdana" w:eastAsia="Malgun Gothic" w:hAnsi="Verdana" w:cs="Arial"/>
          <w:b w:val="0"/>
          <w:szCs w:val="22"/>
        </w:rPr>
        <w:t xml:space="preserve"> </w:t>
      </w:r>
      <w:r w:rsidRPr="00FE5DDC">
        <w:rPr>
          <w:rFonts w:ascii="Verdana" w:eastAsia="Malgun Gothic" w:hAnsi="Verdana" w:cs="Arial"/>
          <w:b w:val="0"/>
          <w:szCs w:val="22"/>
        </w:rPr>
        <w:t xml:space="preserve">(ΕνΔΤΚ): </w:t>
      </w:r>
      <w:r w:rsidR="00171AFE">
        <w:rPr>
          <w:rFonts w:ascii="Verdana" w:eastAsia="Malgun Gothic" w:hAnsi="Verdana" w:cs="Arial"/>
          <w:caps/>
          <w:szCs w:val="22"/>
        </w:rPr>
        <w:t xml:space="preserve">ΔΕΚΕΜΒΡΙΟΣ </w:t>
      </w:r>
      <w:r w:rsidRPr="00FE5DDC">
        <w:rPr>
          <w:rFonts w:ascii="Verdana" w:eastAsia="Malgun Gothic" w:hAnsi="Verdana" w:cs="Arial"/>
          <w:szCs w:val="22"/>
        </w:rPr>
        <w:t>202</w:t>
      </w:r>
      <w:r w:rsidR="00D05517">
        <w:rPr>
          <w:rFonts w:ascii="Verdana" w:eastAsia="Malgun Gothic" w:hAnsi="Verdana" w:cs="Arial"/>
          <w:szCs w:val="22"/>
        </w:rPr>
        <w:t>4</w:t>
      </w:r>
    </w:p>
    <w:p w14:paraId="09D6CC5F" w14:textId="77777777" w:rsidR="00AF5CC6" w:rsidRPr="00FE5DDC" w:rsidRDefault="00AF5CC6" w:rsidP="00AF5CC6">
      <w:pPr>
        <w:rPr>
          <w:rFonts w:ascii="Verdana" w:eastAsia="Malgun Gothic" w:hAnsi="Verdana" w:cs="Arial"/>
          <w:lang w:val="el-GR"/>
        </w:rPr>
      </w:pPr>
    </w:p>
    <w:p w14:paraId="106B0074" w14:textId="5934B482" w:rsidR="00AF5CC6" w:rsidRPr="00FE5DDC" w:rsidRDefault="00AF5CC6" w:rsidP="00AF5CC6">
      <w:pPr>
        <w:tabs>
          <w:tab w:val="left" w:pos="1080"/>
          <w:tab w:val="left" w:pos="6840"/>
        </w:tabs>
        <w:jc w:val="center"/>
        <w:rPr>
          <w:rFonts w:ascii="Verdana" w:eastAsia="Malgun Gothic" w:hAnsi="Verdana" w:cs="Arial"/>
          <w:b/>
          <w:lang w:val="el-GR"/>
        </w:rPr>
      </w:pPr>
      <w:r w:rsidRPr="00FE5DDC">
        <w:rPr>
          <w:rFonts w:ascii="Verdana" w:eastAsia="Malgun Gothic" w:hAnsi="Verdana" w:cs="Arial"/>
          <w:b/>
          <w:lang w:val="el-GR"/>
        </w:rPr>
        <w:t xml:space="preserve">Ετήσια Μεταβολή </w:t>
      </w:r>
      <w:r w:rsidR="00C7028B" w:rsidRPr="004E258E">
        <w:rPr>
          <w:rFonts w:ascii="Verdana" w:eastAsia="Malgun Gothic" w:hAnsi="Verdana" w:cs="Arial"/>
          <w:b/>
          <w:lang w:val="el-GR"/>
        </w:rPr>
        <w:t>3</w:t>
      </w:r>
      <w:r w:rsidRPr="00FE5DDC">
        <w:rPr>
          <w:rFonts w:ascii="Verdana" w:eastAsia="Malgun Gothic" w:hAnsi="Verdana" w:cs="Arial"/>
          <w:b/>
          <w:lang w:val="el-GR"/>
        </w:rPr>
        <w:t>,</w:t>
      </w:r>
      <w:r w:rsidR="00C7028B" w:rsidRPr="004E258E">
        <w:rPr>
          <w:rFonts w:ascii="Verdana" w:eastAsia="Malgun Gothic" w:hAnsi="Verdana" w:cs="Arial"/>
          <w:b/>
          <w:lang w:val="el-GR"/>
        </w:rPr>
        <w:t>1</w:t>
      </w:r>
      <w:r w:rsidRPr="00FE5DDC">
        <w:rPr>
          <w:rFonts w:ascii="Verdana" w:eastAsia="Malgun Gothic" w:hAnsi="Verdana" w:cs="Arial"/>
          <w:b/>
          <w:lang w:val="el-GR"/>
        </w:rPr>
        <w:t>%</w:t>
      </w:r>
    </w:p>
    <w:p w14:paraId="73FD0E7F" w14:textId="77777777" w:rsidR="00871E9E" w:rsidRPr="00FE5DDC" w:rsidRDefault="00871E9E" w:rsidP="00AF5CC6">
      <w:pPr>
        <w:tabs>
          <w:tab w:val="left" w:pos="1080"/>
          <w:tab w:val="left" w:pos="6840"/>
        </w:tabs>
        <w:jc w:val="both"/>
        <w:rPr>
          <w:rFonts w:ascii="Verdana" w:hAnsi="Verdana" w:cs="Arial"/>
          <w:lang w:val="el-GR"/>
        </w:rPr>
      </w:pPr>
    </w:p>
    <w:p w14:paraId="4E220C5B" w14:textId="537FF79B" w:rsidR="00CF6799" w:rsidRDefault="00AF5CC6" w:rsidP="00EF65D3">
      <w:pPr>
        <w:tabs>
          <w:tab w:val="left" w:pos="1080"/>
          <w:tab w:val="left" w:pos="6840"/>
        </w:tabs>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Ο </w:t>
      </w:r>
      <w:r>
        <w:rPr>
          <w:rFonts w:ascii="Verdana" w:eastAsia="Malgun Gothic" w:hAnsi="Verdana" w:cs="Arial"/>
          <w:sz w:val="18"/>
          <w:szCs w:val="18"/>
          <w:lang w:val="el-GR"/>
        </w:rPr>
        <w:t xml:space="preserve">Εναρμονισμένος </w:t>
      </w:r>
      <w:r w:rsidRPr="004F03FD">
        <w:rPr>
          <w:rFonts w:ascii="Verdana" w:eastAsia="Malgun Gothic" w:hAnsi="Verdana" w:cs="Arial"/>
          <w:sz w:val="18"/>
          <w:szCs w:val="18"/>
          <w:lang w:val="el-GR"/>
        </w:rPr>
        <w:t xml:space="preserve">Δείκτης Τιμών Καταναλωτή </w:t>
      </w:r>
      <w:r>
        <w:rPr>
          <w:rFonts w:ascii="Verdana" w:eastAsia="Malgun Gothic" w:hAnsi="Verdana" w:cs="Arial"/>
          <w:sz w:val="18"/>
          <w:szCs w:val="18"/>
          <w:lang w:val="el-GR"/>
        </w:rPr>
        <w:t>τον</w:t>
      </w:r>
      <w:r w:rsidR="00EF65D3">
        <w:rPr>
          <w:rFonts w:ascii="Verdana" w:eastAsia="Malgun Gothic" w:hAnsi="Verdana" w:cs="Arial"/>
          <w:sz w:val="18"/>
          <w:szCs w:val="18"/>
          <w:lang w:val="el-GR"/>
        </w:rPr>
        <w:t xml:space="preserve"> </w:t>
      </w:r>
      <w:r w:rsidR="00171AFE">
        <w:rPr>
          <w:rFonts w:ascii="Verdana" w:eastAsia="Malgun Gothic" w:hAnsi="Verdana" w:cs="Arial"/>
          <w:sz w:val="18"/>
          <w:szCs w:val="18"/>
          <w:lang w:val="el-GR"/>
        </w:rPr>
        <w:t>Δεκέμβριο</w:t>
      </w:r>
      <w:r w:rsidR="008402B0">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20</w:t>
      </w:r>
      <w:r>
        <w:rPr>
          <w:rFonts w:ascii="Verdana" w:eastAsia="Malgun Gothic" w:hAnsi="Verdana" w:cs="Arial"/>
          <w:sz w:val="18"/>
          <w:szCs w:val="18"/>
          <w:lang w:val="el-GR"/>
        </w:rPr>
        <w:t>2</w:t>
      </w:r>
      <w:r w:rsidR="00D05517">
        <w:rPr>
          <w:rFonts w:ascii="Verdana" w:eastAsia="Malgun Gothic" w:hAnsi="Verdana" w:cs="Arial"/>
          <w:sz w:val="18"/>
          <w:szCs w:val="18"/>
          <w:lang w:val="el-GR"/>
        </w:rPr>
        <w:t>4</w:t>
      </w:r>
      <w:r w:rsidRPr="00FF6287">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αυξήθηκε </w:t>
      </w:r>
      <w:r w:rsidRPr="004F03FD">
        <w:rPr>
          <w:rFonts w:ascii="Verdana" w:eastAsia="Malgun Gothic" w:hAnsi="Verdana" w:cs="Arial"/>
          <w:sz w:val="18"/>
          <w:szCs w:val="18"/>
          <w:lang w:val="el-GR"/>
        </w:rPr>
        <w:t xml:space="preserve">κατά </w:t>
      </w:r>
      <w:r w:rsidR="00171AFE">
        <w:rPr>
          <w:rFonts w:ascii="Verdana" w:eastAsia="Malgun Gothic" w:hAnsi="Verdana" w:cs="Arial"/>
          <w:sz w:val="18"/>
          <w:szCs w:val="18"/>
          <w:lang w:val="el-GR"/>
        </w:rPr>
        <w:t>3</w:t>
      </w:r>
      <w:r>
        <w:rPr>
          <w:rFonts w:ascii="Verdana" w:eastAsia="Malgun Gothic" w:hAnsi="Verdana" w:cs="Arial"/>
          <w:sz w:val="18"/>
          <w:szCs w:val="18"/>
          <w:lang w:val="el-GR"/>
        </w:rPr>
        <w:t>,</w:t>
      </w:r>
      <w:r w:rsidR="00171AFE">
        <w:rPr>
          <w:rFonts w:ascii="Verdana" w:eastAsia="Malgun Gothic" w:hAnsi="Verdana" w:cs="Arial"/>
          <w:sz w:val="18"/>
          <w:szCs w:val="18"/>
          <w:lang w:val="el-GR"/>
        </w:rPr>
        <w:t>1</w:t>
      </w:r>
      <w:r>
        <w:rPr>
          <w:rFonts w:ascii="Verdana" w:eastAsia="Malgun Gothic" w:hAnsi="Verdana" w:cs="Arial"/>
          <w:sz w:val="18"/>
          <w:szCs w:val="18"/>
          <w:lang w:val="el-GR"/>
        </w:rPr>
        <w:t>% σε σχέση με τον</w:t>
      </w:r>
      <w:r w:rsidR="00E94F43">
        <w:rPr>
          <w:rFonts w:ascii="Verdana" w:eastAsia="Malgun Gothic" w:hAnsi="Verdana" w:cs="Arial"/>
          <w:sz w:val="18"/>
          <w:szCs w:val="18"/>
          <w:lang w:val="el-GR"/>
        </w:rPr>
        <w:t xml:space="preserve"> </w:t>
      </w:r>
      <w:r w:rsidR="00171AFE">
        <w:rPr>
          <w:rFonts w:ascii="Verdana" w:eastAsia="Malgun Gothic" w:hAnsi="Verdana" w:cs="Arial"/>
          <w:sz w:val="18"/>
          <w:szCs w:val="18"/>
          <w:lang w:val="el-GR"/>
        </w:rPr>
        <w:t xml:space="preserve">Δεκέμβριο </w:t>
      </w:r>
      <w:r>
        <w:rPr>
          <w:rFonts w:ascii="Verdana" w:eastAsia="Malgun Gothic" w:hAnsi="Verdana" w:cs="Arial"/>
          <w:sz w:val="18"/>
          <w:szCs w:val="18"/>
          <w:lang w:val="el-GR"/>
        </w:rPr>
        <w:t>του 202</w:t>
      </w:r>
      <w:r w:rsidR="00D05517">
        <w:rPr>
          <w:rFonts w:ascii="Verdana" w:eastAsia="Malgun Gothic" w:hAnsi="Verdana" w:cs="Arial"/>
          <w:sz w:val="18"/>
          <w:szCs w:val="18"/>
          <w:lang w:val="el-GR"/>
        </w:rPr>
        <w:t>3</w:t>
      </w:r>
      <w:r>
        <w:rPr>
          <w:rFonts w:ascii="Verdana" w:eastAsia="Malgun Gothic" w:hAnsi="Verdana" w:cs="Arial"/>
          <w:sz w:val="18"/>
          <w:szCs w:val="18"/>
          <w:lang w:val="el-GR"/>
        </w:rPr>
        <w:t xml:space="preserve">, ενώ σε σχέση με τον προηγούμενο μήνα </w:t>
      </w:r>
      <w:r w:rsidR="00103851">
        <w:rPr>
          <w:rFonts w:ascii="Verdana" w:eastAsia="Malgun Gothic" w:hAnsi="Verdana" w:cs="Arial"/>
          <w:sz w:val="18"/>
          <w:szCs w:val="18"/>
          <w:lang w:val="el-GR"/>
        </w:rPr>
        <w:t>μειώθηκε</w:t>
      </w:r>
      <w:r>
        <w:rPr>
          <w:rFonts w:ascii="Verdana" w:eastAsia="Malgun Gothic" w:hAnsi="Verdana" w:cs="Arial"/>
          <w:sz w:val="18"/>
          <w:szCs w:val="18"/>
          <w:lang w:val="el-GR"/>
        </w:rPr>
        <w:t xml:space="preserve"> κατά </w:t>
      </w:r>
      <w:r w:rsidR="00171AFE">
        <w:rPr>
          <w:rFonts w:ascii="Verdana" w:eastAsia="Malgun Gothic" w:hAnsi="Verdana" w:cs="Arial"/>
          <w:sz w:val="18"/>
          <w:szCs w:val="18"/>
          <w:lang w:val="el-GR"/>
        </w:rPr>
        <w:t>0</w:t>
      </w:r>
      <w:r>
        <w:rPr>
          <w:rFonts w:ascii="Verdana" w:eastAsia="Malgun Gothic" w:hAnsi="Verdana" w:cs="Arial"/>
          <w:sz w:val="18"/>
          <w:szCs w:val="18"/>
          <w:lang w:val="el-GR"/>
        </w:rPr>
        <w:t>,</w:t>
      </w:r>
      <w:r w:rsidR="00171AFE">
        <w:rPr>
          <w:rFonts w:ascii="Verdana" w:eastAsia="Malgun Gothic" w:hAnsi="Verdana" w:cs="Arial"/>
          <w:sz w:val="18"/>
          <w:szCs w:val="18"/>
          <w:lang w:val="el-GR"/>
        </w:rPr>
        <w:t>3</w:t>
      </w:r>
      <w:r>
        <w:rPr>
          <w:rFonts w:ascii="Verdana" w:eastAsia="Malgun Gothic" w:hAnsi="Verdana" w:cs="Arial"/>
          <w:sz w:val="18"/>
          <w:szCs w:val="18"/>
          <w:lang w:val="el-GR"/>
        </w:rPr>
        <w:t>%.</w:t>
      </w:r>
      <w:r w:rsidR="005F3056">
        <w:rPr>
          <w:rFonts w:ascii="Verdana" w:eastAsia="Malgun Gothic" w:hAnsi="Verdana" w:cs="Arial"/>
          <w:sz w:val="18"/>
          <w:szCs w:val="18"/>
          <w:lang w:val="el-GR"/>
        </w:rPr>
        <w:t xml:space="preserve"> Για την περίοδο Ιανουαρίου – </w:t>
      </w:r>
      <w:r w:rsidR="00171AFE">
        <w:rPr>
          <w:rFonts w:ascii="Verdana" w:eastAsia="Malgun Gothic" w:hAnsi="Verdana" w:cs="Arial"/>
          <w:sz w:val="18"/>
          <w:szCs w:val="18"/>
          <w:lang w:val="el-GR"/>
        </w:rPr>
        <w:t xml:space="preserve">Δεκεμβρίου </w:t>
      </w:r>
      <w:r w:rsidR="005F3056">
        <w:rPr>
          <w:rFonts w:ascii="Verdana" w:eastAsia="Malgun Gothic" w:hAnsi="Verdana" w:cs="Arial"/>
          <w:sz w:val="18"/>
          <w:szCs w:val="18"/>
          <w:lang w:val="el-GR"/>
        </w:rPr>
        <w:t>2024, σημειώθηκε αύξηση 2,</w:t>
      </w:r>
      <w:r w:rsidR="00C7028B" w:rsidRPr="00C7028B">
        <w:rPr>
          <w:rFonts w:ascii="Verdana" w:eastAsia="Malgun Gothic" w:hAnsi="Verdana" w:cs="Arial"/>
          <w:sz w:val="18"/>
          <w:szCs w:val="18"/>
          <w:lang w:val="el-GR"/>
        </w:rPr>
        <w:t>3</w:t>
      </w:r>
      <w:r w:rsidR="005F3056">
        <w:rPr>
          <w:rFonts w:ascii="Verdana" w:eastAsia="Malgun Gothic" w:hAnsi="Verdana" w:cs="Arial"/>
          <w:sz w:val="18"/>
          <w:szCs w:val="18"/>
          <w:lang w:val="el-GR"/>
        </w:rPr>
        <w:t>% σε σχέση με την αντίστοιχη περσινή περίοδο.</w:t>
      </w:r>
      <w:r w:rsidRPr="00D876E0">
        <w:rPr>
          <w:rFonts w:ascii="Verdana" w:eastAsia="Malgun Gothic" w:hAnsi="Verdana" w:cs="Arial"/>
          <w:sz w:val="18"/>
          <w:szCs w:val="18"/>
          <w:lang w:val="el-GR"/>
        </w:rPr>
        <w:t>(</w:t>
      </w:r>
      <w:r>
        <w:rPr>
          <w:rFonts w:ascii="Verdana" w:eastAsia="Malgun Gothic" w:hAnsi="Verdana" w:cs="Arial"/>
          <w:sz w:val="18"/>
          <w:szCs w:val="18"/>
          <w:lang w:val="el-GR"/>
        </w:rPr>
        <w:t>Πίνακας 1)</w:t>
      </w:r>
    </w:p>
    <w:p w14:paraId="0B40E065" w14:textId="1B1D3B8E" w:rsidR="005A27EE" w:rsidRDefault="005A27EE" w:rsidP="00AF5CC6">
      <w:pPr>
        <w:tabs>
          <w:tab w:val="left" w:pos="1080"/>
          <w:tab w:val="left" w:pos="6840"/>
        </w:tabs>
        <w:jc w:val="both"/>
        <w:rPr>
          <w:rFonts w:ascii="Verdana" w:eastAsia="Malgun Gothic" w:hAnsi="Verdana" w:cs="Arial"/>
          <w:sz w:val="18"/>
          <w:szCs w:val="18"/>
          <w:lang w:val="el-GR"/>
        </w:rPr>
      </w:pPr>
    </w:p>
    <w:p w14:paraId="33867704" w14:textId="2D0B537D" w:rsidR="00F10E2C" w:rsidRPr="00171AFE" w:rsidRDefault="00171AFE" w:rsidP="00C07136">
      <w:pPr>
        <w:tabs>
          <w:tab w:val="left" w:pos="1080"/>
          <w:tab w:val="left" w:pos="6840"/>
        </w:tabs>
        <w:jc w:val="center"/>
        <w:rPr>
          <w:rFonts w:ascii="Verdana" w:eastAsia="Malgun Gothic" w:hAnsi="Verdana" w:cs="Arial"/>
          <w:sz w:val="18"/>
          <w:szCs w:val="18"/>
          <w:lang w:val="el-GR"/>
        </w:rPr>
      </w:pPr>
      <w:r>
        <w:rPr>
          <w:noProof/>
        </w:rPr>
        <w:drawing>
          <wp:inline distT="0" distB="0" distL="0" distR="0" wp14:anchorId="268EBCC7" wp14:editId="4CECD404">
            <wp:extent cx="6041137" cy="4486275"/>
            <wp:effectExtent l="0" t="0" r="17145" b="9525"/>
            <wp:docPr id="688125517"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467C5F" w14:textId="7885A0CF" w:rsidR="00FE5DDC" w:rsidRPr="003F6F93" w:rsidRDefault="00FE5DDC" w:rsidP="00AF5CC6">
      <w:pPr>
        <w:tabs>
          <w:tab w:val="left" w:pos="1080"/>
          <w:tab w:val="left" w:pos="6840"/>
        </w:tabs>
        <w:jc w:val="both"/>
        <w:rPr>
          <w:rFonts w:ascii="Verdana" w:eastAsia="Malgun Gothic" w:hAnsi="Verdana" w:cs="Arial"/>
          <w:sz w:val="10"/>
          <w:szCs w:val="10"/>
          <w:lang w:val="el-GR"/>
        </w:rPr>
      </w:pPr>
    </w:p>
    <w:p w14:paraId="1E1E0D60" w14:textId="77777777" w:rsidR="00AF5CC6" w:rsidRPr="00637055" w:rsidRDefault="00AF5CC6" w:rsidP="00AF5CC6">
      <w:pPr>
        <w:tabs>
          <w:tab w:val="left" w:pos="1080"/>
          <w:tab w:val="left" w:pos="6840"/>
        </w:tabs>
        <w:jc w:val="both"/>
        <w:rPr>
          <w:rFonts w:ascii="Verdana" w:eastAsia="Malgun Gothic" w:hAnsi="Verdana" w:cs="Arial"/>
          <w:color w:val="365F91"/>
          <w:sz w:val="16"/>
          <w:szCs w:val="16"/>
          <w:lang w:val="el-GR"/>
        </w:rPr>
      </w:pPr>
      <w:r w:rsidRPr="00634639">
        <w:rPr>
          <w:rFonts w:ascii="Verdana" w:eastAsia="Malgun Gothic" w:hAnsi="Verdana" w:cs="Arial"/>
          <w:color w:val="365F91"/>
          <w:sz w:val="16"/>
          <w:szCs w:val="16"/>
          <w:lang w:val="el-GR"/>
        </w:rPr>
        <w:t>Σημείωση</w:t>
      </w:r>
      <w:r w:rsidRPr="003C2392">
        <w:rPr>
          <w:rFonts w:ascii="Verdana" w:eastAsia="Malgun Gothic" w:hAnsi="Verdana" w:cs="Arial"/>
          <w:color w:val="365F91"/>
          <w:sz w:val="16"/>
          <w:szCs w:val="16"/>
          <w:lang w:val="el-GR"/>
        </w:rPr>
        <w:t xml:space="preserve">: </w:t>
      </w:r>
      <w:r w:rsidRPr="00637055">
        <w:rPr>
          <w:rFonts w:ascii="Verdana" w:eastAsia="Malgun Gothic" w:hAnsi="Verdana" w:cs="Arial"/>
          <w:color w:val="365F91"/>
          <w:sz w:val="16"/>
          <w:szCs w:val="16"/>
          <w:lang w:val="el-GR"/>
        </w:rPr>
        <w:t xml:space="preserve">Ο ΕνΔΤΚ </w:t>
      </w:r>
      <w:r>
        <w:rPr>
          <w:rFonts w:ascii="Verdana" w:eastAsia="Malgun Gothic" w:hAnsi="Verdana" w:cs="Arial"/>
          <w:color w:val="365F91"/>
          <w:sz w:val="16"/>
          <w:szCs w:val="16"/>
          <w:lang w:val="el-GR"/>
        </w:rPr>
        <w:t>Ευρωζώνης</w:t>
      </w:r>
      <w:r w:rsidRPr="00637055">
        <w:rPr>
          <w:rFonts w:ascii="Verdana" w:eastAsia="Malgun Gothic" w:hAnsi="Verdana" w:cs="Arial"/>
          <w:color w:val="365F91"/>
          <w:sz w:val="16"/>
          <w:szCs w:val="16"/>
          <w:lang w:val="el-GR"/>
        </w:rPr>
        <w:t xml:space="preserve"> για τον τελευταίο μήνα </w:t>
      </w:r>
      <w:r>
        <w:rPr>
          <w:rFonts w:ascii="Verdana" w:eastAsia="Malgun Gothic" w:hAnsi="Verdana" w:cs="Arial"/>
          <w:color w:val="365F91"/>
          <w:sz w:val="16"/>
          <w:szCs w:val="16"/>
          <w:lang w:val="el-GR"/>
        </w:rPr>
        <w:t xml:space="preserve">βασίζεται σε εκτίμηση της </w:t>
      </w:r>
      <w:r>
        <w:rPr>
          <w:rFonts w:ascii="Verdana" w:eastAsia="Malgun Gothic" w:hAnsi="Verdana" w:cs="Arial"/>
          <w:color w:val="365F91"/>
          <w:sz w:val="16"/>
          <w:szCs w:val="16"/>
          <w:lang w:val="en-GB"/>
        </w:rPr>
        <w:t>EUROSTAT</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flash</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estimate</w:t>
      </w:r>
      <w:r w:rsidRPr="00B54A25">
        <w:rPr>
          <w:rFonts w:ascii="Verdana" w:eastAsia="Malgun Gothic" w:hAnsi="Verdana" w:cs="Arial"/>
          <w:color w:val="365F91"/>
          <w:sz w:val="16"/>
          <w:szCs w:val="16"/>
          <w:lang w:val="el-GR"/>
        </w:rPr>
        <w:t>)</w:t>
      </w:r>
      <w:r w:rsidRPr="00637055">
        <w:rPr>
          <w:rFonts w:ascii="Verdana" w:eastAsia="Malgun Gothic" w:hAnsi="Verdana" w:cs="Arial"/>
          <w:color w:val="365F91"/>
          <w:sz w:val="16"/>
          <w:szCs w:val="16"/>
          <w:lang w:val="el-GR"/>
        </w:rPr>
        <w:t xml:space="preserve">. </w:t>
      </w:r>
    </w:p>
    <w:p w14:paraId="01F3CC95"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00FC2628"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64507E95" w14:textId="77777777" w:rsidR="008C03B7" w:rsidRDefault="008C03B7" w:rsidP="00AF5CC6">
      <w:pPr>
        <w:tabs>
          <w:tab w:val="left" w:pos="1080"/>
          <w:tab w:val="left" w:pos="6840"/>
        </w:tabs>
        <w:jc w:val="both"/>
        <w:rPr>
          <w:rFonts w:ascii="Verdana" w:eastAsia="Malgun Gothic" w:hAnsi="Verdana" w:cs="Arial"/>
          <w:sz w:val="18"/>
          <w:szCs w:val="18"/>
          <w:lang w:val="el-GR"/>
        </w:rPr>
      </w:pPr>
    </w:p>
    <w:p w14:paraId="7F1517D9" w14:textId="77777777" w:rsidR="008774AA" w:rsidRDefault="008774AA" w:rsidP="00AF5CC6">
      <w:pPr>
        <w:tabs>
          <w:tab w:val="left" w:pos="1080"/>
          <w:tab w:val="left" w:pos="6840"/>
        </w:tabs>
        <w:jc w:val="both"/>
        <w:rPr>
          <w:rFonts w:ascii="Verdana" w:eastAsia="Malgun Gothic" w:hAnsi="Verdana" w:cs="Arial"/>
          <w:sz w:val="18"/>
          <w:szCs w:val="18"/>
          <w:lang w:val="el-GR"/>
        </w:rPr>
      </w:pPr>
    </w:p>
    <w:p w14:paraId="6740EB59" w14:textId="397722DB" w:rsidR="008A0596" w:rsidRDefault="008A0596" w:rsidP="00AF5CC6">
      <w:pPr>
        <w:tabs>
          <w:tab w:val="left" w:pos="1080"/>
          <w:tab w:val="left" w:pos="6840"/>
        </w:tabs>
        <w:jc w:val="both"/>
        <w:rPr>
          <w:rFonts w:ascii="Verdana" w:eastAsia="Malgun Gothic" w:hAnsi="Verdana" w:cs="Arial"/>
          <w:sz w:val="18"/>
          <w:szCs w:val="18"/>
          <w:lang w:val="el-GR"/>
        </w:rPr>
      </w:pPr>
    </w:p>
    <w:p w14:paraId="40919790"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2C704E2C" w14:textId="4CE64051" w:rsidR="00AF5CC6" w:rsidRPr="00C23701" w:rsidRDefault="00AF5CC6" w:rsidP="00114DB4">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lastRenderedPageBreak/>
        <w:t>Συγκριτικά με τον</w:t>
      </w:r>
      <w:r w:rsidR="00114DB4">
        <w:rPr>
          <w:rFonts w:ascii="Verdana" w:eastAsia="Malgun Gothic" w:hAnsi="Verdana" w:cs="Arial"/>
          <w:sz w:val="18"/>
          <w:szCs w:val="18"/>
          <w:lang w:val="el-GR"/>
        </w:rPr>
        <w:t xml:space="preserve"> </w:t>
      </w:r>
      <w:r w:rsidR="00317625">
        <w:rPr>
          <w:rFonts w:ascii="Verdana" w:eastAsia="Malgun Gothic" w:hAnsi="Verdana" w:cs="Arial"/>
          <w:sz w:val="18"/>
          <w:szCs w:val="18"/>
          <w:lang w:val="el-GR"/>
        </w:rPr>
        <w:t>Δεκέμβριο</w:t>
      </w:r>
      <w:r w:rsidR="002658FA">
        <w:rPr>
          <w:rFonts w:ascii="Verdana" w:eastAsia="Malgun Gothic" w:hAnsi="Verdana" w:cs="Arial"/>
          <w:sz w:val="18"/>
          <w:szCs w:val="18"/>
          <w:lang w:val="el-GR"/>
        </w:rPr>
        <w:t xml:space="preserve"> </w:t>
      </w:r>
      <w:r>
        <w:rPr>
          <w:rFonts w:ascii="Verdana" w:eastAsia="Malgun Gothic" w:hAnsi="Verdana" w:cs="Arial"/>
          <w:sz w:val="18"/>
          <w:szCs w:val="18"/>
          <w:lang w:val="el-GR"/>
        </w:rPr>
        <w:t>του 202</w:t>
      </w:r>
      <w:r w:rsidR="004D7614">
        <w:rPr>
          <w:rFonts w:ascii="Verdana" w:eastAsia="Malgun Gothic" w:hAnsi="Verdana" w:cs="Arial"/>
          <w:sz w:val="18"/>
          <w:szCs w:val="18"/>
          <w:lang w:val="el-GR"/>
        </w:rPr>
        <w:t>3</w:t>
      </w:r>
      <w:r w:rsidRPr="002B4E6C">
        <w:rPr>
          <w:rFonts w:ascii="Verdana" w:eastAsia="Malgun Gothic" w:hAnsi="Verdana" w:cs="Arial"/>
          <w:sz w:val="18"/>
          <w:szCs w:val="18"/>
          <w:lang w:val="el-GR"/>
        </w:rPr>
        <w:t xml:space="preserve">, </w:t>
      </w:r>
      <w:r w:rsidR="009E502E">
        <w:rPr>
          <w:rFonts w:ascii="Verdana" w:eastAsia="Malgun Gothic" w:hAnsi="Verdana" w:cs="Arial"/>
          <w:sz w:val="18"/>
          <w:szCs w:val="18"/>
          <w:lang w:val="el-GR"/>
        </w:rPr>
        <w:t>οι</w:t>
      </w:r>
      <w:r w:rsidR="00007254">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κατηγορί</w:t>
      </w:r>
      <w:r w:rsidR="009E502E">
        <w:rPr>
          <w:rFonts w:ascii="Verdana" w:eastAsia="Malgun Gothic" w:hAnsi="Verdana" w:cs="Arial"/>
          <w:sz w:val="18"/>
          <w:szCs w:val="18"/>
          <w:lang w:val="el-GR"/>
        </w:rPr>
        <w:t>ες</w:t>
      </w:r>
      <w:r>
        <w:rPr>
          <w:rFonts w:ascii="Verdana" w:eastAsia="Malgun Gothic" w:hAnsi="Verdana" w:cs="Arial"/>
          <w:sz w:val="18"/>
          <w:szCs w:val="18"/>
          <w:lang w:val="el-GR"/>
        </w:rPr>
        <w:t xml:space="preserve"> </w:t>
      </w:r>
      <w:bookmarkStart w:id="0" w:name="_Hlk169516628"/>
      <w:r w:rsidR="00DA1B90" w:rsidRPr="00DA1B90">
        <w:rPr>
          <w:rFonts w:ascii="Verdana" w:eastAsia="Malgun Gothic" w:hAnsi="Verdana" w:cs="Arial"/>
          <w:i/>
          <w:iCs/>
          <w:sz w:val="18"/>
          <w:szCs w:val="18"/>
          <w:lang w:val="el-GR"/>
        </w:rPr>
        <w:t>Αναψυχή και Πολιτισμός</w:t>
      </w:r>
      <w:r w:rsidR="00DA1B90" w:rsidRPr="00DA1B90">
        <w:rPr>
          <w:rFonts w:ascii="Verdana" w:eastAsia="Malgun Gothic" w:hAnsi="Verdana" w:cs="Arial"/>
          <w:sz w:val="18"/>
          <w:szCs w:val="18"/>
          <w:lang w:val="el-GR"/>
        </w:rPr>
        <w:t xml:space="preserve"> </w:t>
      </w:r>
      <w:r w:rsidR="00114DB4">
        <w:rPr>
          <w:rFonts w:ascii="Verdana" w:eastAsia="Malgun Gothic" w:hAnsi="Verdana" w:cs="Arial"/>
          <w:iCs/>
          <w:sz w:val="18"/>
          <w:szCs w:val="18"/>
          <w:lang w:val="el-GR"/>
        </w:rPr>
        <w:t>(</w:t>
      </w:r>
      <w:r w:rsidR="00DA1B90">
        <w:rPr>
          <w:rFonts w:ascii="Verdana" w:eastAsia="Malgun Gothic" w:hAnsi="Verdana" w:cs="Arial"/>
          <w:iCs/>
          <w:sz w:val="18"/>
          <w:szCs w:val="18"/>
          <w:lang w:val="el-GR"/>
        </w:rPr>
        <w:t>7</w:t>
      </w:r>
      <w:r w:rsidR="00114DB4">
        <w:rPr>
          <w:rFonts w:ascii="Verdana" w:eastAsia="Malgun Gothic" w:hAnsi="Verdana" w:cs="Arial"/>
          <w:iCs/>
          <w:sz w:val="18"/>
          <w:szCs w:val="18"/>
          <w:lang w:val="el-GR"/>
        </w:rPr>
        <w:t>,</w:t>
      </w:r>
      <w:r w:rsidR="00317625">
        <w:rPr>
          <w:rFonts w:ascii="Verdana" w:eastAsia="Malgun Gothic" w:hAnsi="Verdana" w:cs="Arial"/>
          <w:iCs/>
          <w:sz w:val="18"/>
          <w:szCs w:val="18"/>
          <w:lang w:val="el-GR"/>
        </w:rPr>
        <w:t>5</w:t>
      </w:r>
      <w:r w:rsidR="00114DB4">
        <w:rPr>
          <w:rFonts w:ascii="Verdana" w:eastAsia="Malgun Gothic" w:hAnsi="Verdana" w:cs="Arial"/>
          <w:iCs/>
          <w:sz w:val="18"/>
          <w:szCs w:val="18"/>
          <w:lang w:val="el-GR"/>
        </w:rPr>
        <w:t>%)</w:t>
      </w:r>
      <w:r w:rsidR="00E114B9">
        <w:rPr>
          <w:rFonts w:ascii="Verdana" w:eastAsia="Malgun Gothic" w:hAnsi="Verdana" w:cs="Arial"/>
          <w:iCs/>
          <w:sz w:val="18"/>
          <w:szCs w:val="18"/>
          <w:lang w:val="el-GR"/>
        </w:rPr>
        <w:t xml:space="preserve">, </w:t>
      </w:r>
      <w:r w:rsidR="00317625" w:rsidRPr="00E114B9">
        <w:rPr>
          <w:rFonts w:ascii="Verdana" w:eastAsia="Malgun Gothic" w:hAnsi="Verdana" w:cs="Arial"/>
          <w:i/>
          <w:sz w:val="18"/>
          <w:szCs w:val="18"/>
          <w:lang w:val="el-GR"/>
        </w:rPr>
        <w:t>Τρόφιμα και μη Αλκοολούχα Ποτά</w:t>
      </w:r>
      <w:r w:rsidR="00317625">
        <w:rPr>
          <w:rFonts w:ascii="Verdana" w:eastAsia="Malgun Gothic" w:hAnsi="Verdana" w:cs="Arial"/>
          <w:iCs/>
          <w:sz w:val="18"/>
          <w:szCs w:val="18"/>
          <w:lang w:val="el-GR"/>
        </w:rPr>
        <w:t xml:space="preserve"> (7,3%) και </w:t>
      </w:r>
      <w:r w:rsidR="00C52963" w:rsidRPr="00463461">
        <w:rPr>
          <w:rFonts w:ascii="Verdana" w:eastAsia="Malgun Gothic" w:hAnsi="Verdana" w:cs="Arial"/>
          <w:i/>
          <w:sz w:val="18"/>
          <w:szCs w:val="18"/>
          <w:lang w:val="el-GR"/>
        </w:rPr>
        <w:t xml:space="preserve">Εστιατόρια και Ξενοδοχεία </w:t>
      </w:r>
      <w:bookmarkEnd w:id="0"/>
      <w:r w:rsidR="00C52963">
        <w:rPr>
          <w:rFonts w:ascii="Verdana" w:eastAsia="Malgun Gothic" w:hAnsi="Verdana" w:cs="Arial"/>
          <w:iCs/>
          <w:sz w:val="18"/>
          <w:szCs w:val="18"/>
          <w:lang w:val="el-GR"/>
        </w:rPr>
        <w:t>(</w:t>
      </w:r>
      <w:r w:rsidR="00317625">
        <w:rPr>
          <w:rFonts w:ascii="Verdana" w:eastAsia="Malgun Gothic" w:hAnsi="Verdana" w:cs="Arial"/>
          <w:iCs/>
          <w:sz w:val="18"/>
          <w:szCs w:val="18"/>
          <w:lang w:val="el-GR"/>
        </w:rPr>
        <w:t>5</w:t>
      </w:r>
      <w:r w:rsidR="00C52963">
        <w:rPr>
          <w:rFonts w:ascii="Verdana" w:eastAsia="Malgun Gothic" w:hAnsi="Verdana" w:cs="Arial"/>
          <w:iCs/>
          <w:sz w:val="18"/>
          <w:szCs w:val="18"/>
          <w:lang w:val="el-GR"/>
        </w:rPr>
        <w:t>,</w:t>
      </w:r>
      <w:r w:rsidR="00317625">
        <w:rPr>
          <w:rFonts w:ascii="Verdana" w:eastAsia="Malgun Gothic" w:hAnsi="Verdana" w:cs="Arial"/>
          <w:iCs/>
          <w:sz w:val="18"/>
          <w:szCs w:val="18"/>
          <w:lang w:val="el-GR"/>
        </w:rPr>
        <w:t>4</w:t>
      </w:r>
      <w:r w:rsidR="00C52963">
        <w:rPr>
          <w:rFonts w:ascii="Verdana" w:eastAsia="Malgun Gothic" w:hAnsi="Verdana" w:cs="Arial"/>
          <w:iCs/>
          <w:sz w:val="18"/>
          <w:szCs w:val="18"/>
          <w:lang w:val="el-GR"/>
        </w:rPr>
        <w:t>%)</w:t>
      </w:r>
      <w:r w:rsidR="00E114B9">
        <w:rPr>
          <w:rFonts w:ascii="Verdana" w:eastAsia="Malgun Gothic" w:hAnsi="Verdana" w:cs="Arial"/>
          <w:iCs/>
          <w:sz w:val="18"/>
          <w:szCs w:val="18"/>
          <w:lang w:val="el-GR"/>
        </w:rPr>
        <w:t xml:space="preserve"> </w:t>
      </w:r>
      <w:r>
        <w:rPr>
          <w:rFonts w:ascii="Verdana" w:eastAsia="Malgun Gothic" w:hAnsi="Verdana" w:cs="Arial"/>
          <w:sz w:val="18"/>
          <w:szCs w:val="18"/>
          <w:lang w:val="el-GR"/>
        </w:rPr>
        <w:t>παρουσίασ</w:t>
      </w:r>
      <w:r w:rsidR="009E502E">
        <w:rPr>
          <w:rFonts w:ascii="Verdana" w:eastAsia="Malgun Gothic" w:hAnsi="Verdana" w:cs="Arial"/>
          <w:sz w:val="18"/>
          <w:szCs w:val="18"/>
          <w:lang w:val="el-GR"/>
        </w:rPr>
        <w:t>αν</w:t>
      </w:r>
      <w:r>
        <w:rPr>
          <w:rFonts w:ascii="Verdana" w:eastAsia="Malgun Gothic" w:hAnsi="Verdana" w:cs="Arial"/>
          <w:sz w:val="18"/>
          <w:szCs w:val="18"/>
          <w:lang w:val="el-GR"/>
        </w:rPr>
        <w:t xml:space="preserve"> τ</w:t>
      </w:r>
      <w:r w:rsidR="00007254">
        <w:rPr>
          <w:rFonts w:ascii="Verdana" w:eastAsia="Malgun Gothic" w:hAnsi="Verdana" w:cs="Arial"/>
          <w:sz w:val="18"/>
          <w:szCs w:val="18"/>
          <w:lang w:val="el-GR"/>
        </w:rPr>
        <w:t>ην</w:t>
      </w:r>
      <w:r>
        <w:rPr>
          <w:rFonts w:ascii="Verdana" w:eastAsia="Malgun Gothic" w:hAnsi="Verdana" w:cs="Arial"/>
          <w:sz w:val="18"/>
          <w:szCs w:val="18"/>
          <w:lang w:val="el-GR"/>
        </w:rPr>
        <w:t xml:space="preserve"> μεγαλύτερ</w:t>
      </w:r>
      <w:r w:rsidR="00007254">
        <w:rPr>
          <w:rFonts w:ascii="Verdana" w:eastAsia="Malgun Gothic" w:hAnsi="Verdana" w:cs="Arial"/>
          <w:sz w:val="18"/>
          <w:szCs w:val="18"/>
          <w:lang w:val="el-GR"/>
        </w:rPr>
        <w:t>η</w:t>
      </w:r>
      <w:r>
        <w:rPr>
          <w:rFonts w:ascii="Verdana" w:eastAsia="Malgun Gothic" w:hAnsi="Verdana" w:cs="Arial"/>
          <w:sz w:val="18"/>
          <w:szCs w:val="18"/>
          <w:lang w:val="el-GR"/>
        </w:rPr>
        <w:t xml:space="preserve"> </w:t>
      </w:r>
      <w:r w:rsidR="000F2415">
        <w:rPr>
          <w:rFonts w:ascii="Verdana" w:eastAsia="Malgun Gothic" w:hAnsi="Verdana" w:cs="Arial"/>
          <w:sz w:val="18"/>
          <w:szCs w:val="18"/>
          <w:lang w:val="el-GR"/>
        </w:rPr>
        <w:t xml:space="preserve">θετική </w:t>
      </w:r>
      <w:r>
        <w:rPr>
          <w:rFonts w:ascii="Verdana" w:eastAsia="Malgun Gothic" w:hAnsi="Verdana" w:cs="Arial"/>
          <w:sz w:val="18"/>
          <w:szCs w:val="18"/>
          <w:lang w:val="el-GR"/>
        </w:rPr>
        <w:t>μεταβολ</w:t>
      </w:r>
      <w:r w:rsidR="00007254">
        <w:rPr>
          <w:rFonts w:ascii="Verdana" w:eastAsia="Malgun Gothic" w:hAnsi="Verdana" w:cs="Arial"/>
          <w:sz w:val="18"/>
          <w:szCs w:val="18"/>
          <w:lang w:val="el-GR"/>
        </w:rPr>
        <w:t>ή</w:t>
      </w:r>
      <w:r w:rsidR="00E74ACD">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 xml:space="preserve">(Πίνακας </w:t>
      </w:r>
      <w:r>
        <w:rPr>
          <w:rFonts w:ascii="Verdana" w:eastAsia="Malgun Gothic" w:hAnsi="Verdana" w:cs="Arial"/>
          <w:sz w:val="18"/>
          <w:szCs w:val="18"/>
          <w:lang w:val="el-GR"/>
        </w:rPr>
        <w:t>1</w:t>
      </w:r>
      <w:r w:rsidRPr="004F03FD">
        <w:rPr>
          <w:rFonts w:ascii="Verdana" w:eastAsia="Malgun Gothic" w:hAnsi="Verdana" w:cs="Arial"/>
          <w:sz w:val="18"/>
          <w:szCs w:val="18"/>
          <w:lang w:val="el-GR"/>
        </w:rPr>
        <w:t>)</w:t>
      </w:r>
    </w:p>
    <w:p w14:paraId="6B73C62C" w14:textId="77777777" w:rsidR="00AF5CC6" w:rsidRPr="00C23701" w:rsidRDefault="00AF5CC6" w:rsidP="00AF5CC6">
      <w:pPr>
        <w:tabs>
          <w:tab w:val="left" w:pos="1080"/>
          <w:tab w:val="left" w:pos="6840"/>
        </w:tabs>
        <w:jc w:val="both"/>
        <w:rPr>
          <w:rFonts w:ascii="Verdana" w:eastAsia="Malgun Gothic" w:hAnsi="Verdana" w:cs="Arial"/>
          <w:sz w:val="18"/>
          <w:szCs w:val="18"/>
          <w:lang w:val="el-GR"/>
        </w:rPr>
      </w:pPr>
    </w:p>
    <w:p w14:paraId="53867E2B" w14:textId="0CD77EA4" w:rsidR="00AF5CC6" w:rsidRDefault="00AF5CC6" w:rsidP="0024027B">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Σε σχέση με </w:t>
      </w:r>
      <w:r>
        <w:rPr>
          <w:rFonts w:ascii="Verdana" w:eastAsia="Malgun Gothic" w:hAnsi="Verdana" w:cs="Arial"/>
          <w:sz w:val="18"/>
          <w:szCs w:val="18"/>
          <w:lang w:val="el-GR"/>
        </w:rPr>
        <w:t xml:space="preserve">τον </w:t>
      </w:r>
      <w:r w:rsidR="00317625">
        <w:rPr>
          <w:rFonts w:ascii="Verdana" w:eastAsia="Malgun Gothic" w:hAnsi="Verdana" w:cs="Arial"/>
          <w:sz w:val="18"/>
          <w:szCs w:val="18"/>
          <w:lang w:val="el-GR"/>
        </w:rPr>
        <w:t xml:space="preserve">Νοέμβριο </w:t>
      </w:r>
      <w:r>
        <w:rPr>
          <w:rFonts w:ascii="Verdana" w:eastAsia="Malgun Gothic" w:hAnsi="Verdana" w:cs="Arial"/>
          <w:sz w:val="18"/>
          <w:szCs w:val="18"/>
          <w:lang w:val="el-GR"/>
        </w:rPr>
        <w:t>20</w:t>
      </w:r>
      <w:r w:rsidR="00E74ACD">
        <w:rPr>
          <w:rFonts w:ascii="Verdana" w:eastAsia="Malgun Gothic" w:hAnsi="Verdana" w:cs="Arial"/>
          <w:sz w:val="18"/>
          <w:szCs w:val="18"/>
          <w:lang w:val="el-GR"/>
        </w:rPr>
        <w:t>24</w:t>
      </w:r>
      <w:r w:rsidRPr="004F03FD">
        <w:rPr>
          <w:rFonts w:ascii="Verdana" w:eastAsia="Malgun Gothic" w:hAnsi="Verdana" w:cs="Arial"/>
          <w:sz w:val="18"/>
          <w:szCs w:val="18"/>
          <w:lang w:val="el-GR"/>
        </w:rPr>
        <w:t xml:space="preserve">, </w:t>
      </w:r>
      <w:r w:rsidR="005C380F">
        <w:rPr>
          <w:rFonts w:ascii="Verdana" w:eastAsia="Malgun Gothic" w:hAnsi="Verdana" w:cs="Arial"/>
          <w:sz w:val="18"/>
          <w:szCs w:val="18"/>
          <w:lang w:val="el-GR"/>
        </w:rPr>
        <w:t>οι</w:t>
      </w:r>
      <w:r>
        <w:rPr>
          <w:rFonts w:ascii="Verdana" w:eastAsia="Malgun Gothic" w:hAnsi="Verdana" w:cs="Arial"/>
          <w:sz w:val="18"/>
          <w:szCs w:val="18"/>
          <w:lang w:val="el-GR"/>
        </w:rPr>
        <w:t xml:space="preserve"> μεγαλύτερ</w:t>
      </w:r>
      <w:r w:rsidR="005C380F">
        <w:rPr>
          <w:rFonts w:ascii="Verdana" w:eastAsia="Malgun Gothic" w:hAnsi="Verdana" w:cs="Arial"/>
          <w:sz w:val="18"/>
          <w:szCs w:val="18"/>
          <w:lang w:val="el-GR"/>
        </w:rPr>
        <w:t>ες</w:t>
      </w:r>
      <w:r w:rsidR="003439A8" w:rsidRPr="003439A8">
        <w:rPr>
          <w:rFonts w:ascii="Verdana" w:eastAsia="Malgun Gothic" w:hAnsi="Verdana" w:cs="Arial"/>
          <w:sz w:val="18"/>
          <w:szCs w:val="18"/>
          <w:lang w:val="el-GR"/>
        </w:rPr>
        <w:t xml:space="preserve"> </w:t>
      </w:r>
      <w:r>
        <w:rPr>
          <w:rFonts w:ascii="Verdana" w:eastAsia="Malgun Gothic" w:hAnsi="Verdana" w:cs="Arial"/>
          <w:sz w:val="18"/>
          <w:szCs w:val="18"/>
          <w:lang w:val="el-GR"/>
        </w:rPr>
        <w:t>μεταβολ</w:t>
      </w:r>
      <w:r w:rsidR="005C380F">
        <w:rPr>
          <w:rFonts w:ascii="Verdana" w:eastAsia="Malgun Gothic" w:hAnsi="Verdana" w:cs="Arial"/>
          <w:sz w:val="18"/>
          <w:szCs w:val="18"/>
          <w:lang w:val="el-GR"/>
        </w:rPr>
        <w:t>ές</w:t>
      </w:r>
      <w:r>
        <w:rPr>
          <w:rFonts w:ascii="Verdana" w:eastAsia="Malgun Gothic" w:hAnsi="Verdana" w:cs="Arial"/>
          <w:sz w:val="18"/>
          <w:szCs w:val="18"/>
          <w:lang w:val="el-GR"/>
        </w:rPr>
        <w:t xml:space="preserve"> καταγράφη</w:t>
      </w:r>
      <w:r w:rsidR="005C380F">
        <w:rPr>
          <w:rFonts w:ascii="Verdana" w:eastAsia="Malgun Gothic" w:hAnsi="Verdana" w:cs="Arial"/>
          <w:sz w:val="18"/>
          <w:szCs w:val="18"/>
          <w:lang w:val="el-GR"/>
        </w:rPr>
        <w:t>καν</w:t>
      </w:r>
      <w:r>
        <w:rPr>
          <w:rFonts w:ascii="Verdana" w:eastAsia="Malgun Gothic" w:hAnsi="Verdana" w:cs="Arial"/>
          <w:sz w:val="18"/>
          <w:szCs w:val="18"/>
          <w:lang w:val="el-GR"/>
        </w:rPr>
        <w:t xml:space="preserve"> </w:t>
      </w:r>
      <w:r w:rsidR="00FE2B32">
        <w:rPr>
          <w:rFonts w:ascii="Verdana" w:eastAsia="Malgun Gothic" w:hAnsi="Verdana" w:cs="Arial"/>
          <w:sz w:val="18"/>
          <w:szCs w:val="18"/>
          <w:lang w:val="el-GR"/>
        </w:rPr>
        <w:t>στ</w:t>
      </w:r>
      <w:r w:rsidR="005C380F">
        <w:rPr>
          <w:rFonts w:ascii="Verdana" w:eastAsia="Malgun Gothic" w:hAnsi="Verdana" w:cs="Arial"/>
          <w:sz w:val="18"/>
          <w:szCs w:val="18"/>
          <w:lang w:val="el-GR"/>
        </w:rPr>
        <w:t>ις</w:t>
      </w:r>
      <w:r w:rsidR="00FE2B32">
        <w:rPr>
          <w:rFonts w:ascii="Verdana" w:eastAsia="Malgun Gothic" w:hAnsi="Verdana" w:cs="Arial"/>
          <w:sz w:val="18"/>
          <w:szCs w:val="18"/>
          <w:lang w:val="el-GR"/>
        </w:rPr>
        <w:t xml:space="preserve"> κατηγορί</w:t>
      </w:r>
      <w:r w:rsidR="005C380F">
        <w:rPr>
          <w:rFonts w:ascii="Verdana" w:eastAsia="Malgun Gothic" w:hAnsi="Verdana" w:cs="Arial"/>
          <w:sz w:val="18"/>
          <w:szCs w:val="18"/>
          <w:lang w:val="el-GR"/>
        </w:rPr>
        <w:t>ες</w:t>
      </w:r>
      <w:r w:rsidR="00200657" w:rsidRPr="00200657">
        <w:rPr>
          <w:rFonts w:ascii="Verdana" w:eastAsia="Malgun Gothic" w:hAnsi="Verdana" w:cs="Arial"/>
          <w:sz w:val="18"/>
          <w:szCs w:val="18"/>
          <w:lang w:val="el-GR"/>
        </w:rPr>
        <w:t xml:space="preserve"> </w:t>
      </w:r>
      <w:r w:rsidR="00895B41" w:rsidRPr="00895B41">
        <w:rPr>
          <w:rFonts w:ascii="Verdana" w:eastAsia="Malgun Gothic" w:hAnsi="Verdana" w:cs="Arial"/>
          <w:i/>
          <w:iCs/>
          <w:sz w:val="18"/>
          <w:szCs w:val="18"/>
          <w:lang w:val="el-GR"/>
        </w:rPr>
        <w:t>Τρόφιμα και μη Αλκοολούχα Ποτά</w:t>
      </w:r>
      <w:r w:rsidR="00D413D6" w:rsidRPr="00D413D6">
        <w:rPr>
          <w:rFonts w:ascii="Verdana" w:eastAsia="Malgun Gothic" w:hAnsi="Verdana" w:cs="Arial"/>
          <w:i/>
          <w:sz w:val="18"/>
          <w:szCs w:val="18"/>
          <w:lang w:val="el-GR"/>
        </w:rPr>
        <w:t xml:space="preserve"> </w:t>
      </w:r>
      <w:r w:rsidR="00FE2B32">
        <w:rPr>
          <w:rFonts w:ascii="Verdana" w:eastAsia="Malgun Gothic" w:hAnsi="Verdana" w:cs="Arial"/>
          <w:iCs/>
          <w:sz w:val="18"/>
          <w:szCs w:val="18"/>
          <w:lang w:val="el-GR"/>
        </w:rPr>
        <w:t>(</w:t>
      </w:r>
      <w:r w:rsidR="005F0361">
        <w:rPr>
          <w:rFonts w:ascii="Verdana" w:eastAsia="Malgun Gothic" w:hAnsi="Verdana" w:cs="Arial"/>
          <w:iCs/>
          <w:sz w:val="18"/>
          <w:szCs w:val="18"/>
          <w:lang w:val="el-GR"/>
        </w:rPr>
        <w:t>1</w:t>
      </w:r>
      <w:r w:rsidR="00FE2B32">
        <w:rPr>
          <w:rFonts w:ascii="Verdana" w:eastAsia="Malgun Gothic" w:hAnsi="Verdana" w:cs="Arial"/>
          <w:iCs/>
          <w:sz w:val="18"/>
          <w:szCs w:val="18"/>
          <w:lang w:val="el-GR"/>
        </w:rPr>
        <w:t>,</w:t>
      </w:r>
      <w:r w:rsidR="005F0361">
        <w:rPr>
          <w:rFonts w:ascii="Verdana" w:eastAsia="Malgun Gothic" w:hAnsi="Verdana" w:cs="Arial"/>
          <w:iCs/>
          <w:sz w:val="18"/>
          <w:szCs w:val="18"/>
          <w:lang w:val="el-GR"/>
        </w:rPr>
        <w:t>0</w:t>
      </w:r>
      <w:r w:rsidR="00FE2B32">
        <w:rPr>
          <w:rFonts w:ascii="Verdana" w:eastAsia="Malgun Gothic" w:hAnsi="Verdana" w:cs="Arial"/>
          <w:iCs/>
          <w:sz w:val="18"/>
          <w:szCs w:val="18"/>
          <w:lang w:val="el-GR"/>
        </w:rPr>
        <w:t>%)</w:t>
      </w:r>
      <w:r w:rsidR="00E114B9">
        <w:rPr>
          <w:rFonts w:ascii="Verdana" w:eastAsia="Malgun Gothic" w:hAnsi="Verdana" w:cs="Arial"/>
          <w:iCs/>
          <w:sz w:val="18"/>
          <w:szCs w:val="18"/>
          <w:lang w:val="el-GR"/>
        </w:rPr>
        <w:t xml:space="preserve"> και</w:t>
      </w:r>
      <w:r w:rsidR="00E114B9" w:rsidRPr="00E114B9">
        <w:rPr>
          <w:rFonts w:ascii="Verdana" w:eastAsia="Malgun Gothic" w:hAnsi="Verdana" w:cs="Arial"/>
          <w:i/>
          <w:sz w:val="18"/>
          <w:szCs w:val="18"/>
          <w:lang w:val="el-GR"/>
        </w:rPr>
        <w:t xml:space="preserve"> </w:t>
      </w:r>
      <w:r w:rsidR="005F0361">
        <w:rPr>
          <w:rFonts w:ascii="Verdana" w:eastAsia="Malgun Gothic" w:hAnsi="Verdana" w:cs="Arial"/>
          <w:i/>
          <w:sz w:val="18"/>
          <w:szCs w:val="18"/>
          <w:lang w:val="el-GR"/>
        </w:rPr>
        <w:t xml:space="preserve">Μεταφορές </w:t>
      </w:r>
      <w:r w:rsidR="005C380F">
        <w:rPr>
          <w:rFonts w:ascii="Verdana" w:eastAsia="Malgun Gothic" w:hAnsi="Verdana" w:cs="Arial"/>
          <w:iCs/>
          <w:sz w:val="18"/>
          <w:szCs w:val="18"/>
          <w:lang w:val="el-GR"/>
        </w:rPr>
        <w:t>(</w:t>
      </w:r>
      <w:r w:rsidR="00FF73A3">
        <w:rPr>
          <w:rFonts w:ascii="Verdana" w:eastAsia="Malgun Gothic" w:hAnsi="Verdana" w:cs="Arial"/>
          <w:iCs/>
          <w:sz w:val="18"/>
          <w:szCs w:val="18"/>
          <w:lang w:val="el-GR"/>
        </w:rPr>
        <w:t>-</w:t>
      </w:r>
      <w:r w:rsidR="005F0361">
        <w:rPr>
          <w:rFonts w:ascii="Verdana" w:eastAsia="Malgun Gothic" w:hAnsi="Verdana" w:cs="Arial"/>
          <w:iCs/>
          <w:sz w:val="18"/>
          <w:szCs w:val="18"/>
          <w:lang w:val="el-GR"/>
        </w:rPr>
        <w:t>1</w:t>
      </w:r>
      <w:r w:rsidR="005C380F">
        <w:rPr>
          <w:rFonts w:ascii="Verdana" w:eastAsia="Malgun Gothic" w:hAnsi="Verdana" w:cs="Arial"/>
          <w:iCs/>
          <w:sz w:val="18"/>
          <w:szCs w:val="18"/>
          <w:lang w:val="el-GR"/>
        </w:rPr>
        <w:t>,</w:t>
      </w:r>
      <w:r w:rsidR="005F0361">
        <w:rPr>
          <w:rFonts w:ascii="Verdana" w:eastAsia="Malgun Gothic" w:hAnsi="Verdana" w:cs="Arial"/>
          <w:iCs/>
          <w:sz w:val="18"/>
          <w:szCs w:val="18"/>
          <w:lang w:val="el-GR"/>
        </w:rPr>
        <w:t>7</w:t>
      </w:r>
      <w:r w:rsidR="005C380F">
        <w:rPr>
          <w:rFonts w:ascii="Verdana" w:eastAsia="Malgun Gothic" w:hAnsi="Verdana" w:cs="Arial"/>
          <w:iCs/>
          <w:sz w:val="18"/>
          <w:szCs w:val="18"/>
          <w:lang w:val="el-GR"/>
        </w:rPr>
        <w:t>%)</w:t>
      </w:r>
      <w:r w:rsidR="00E114B9">
        <w:rPr>
          <w:rFonts w:ascii="Verdana" w:eastAsia="Malgun Gothic" w:hAnsi="Verdana" w:cs="Arial"/>
          <w:iCs/>
          <w:sz w:val="18"/>
          <w:szCs w:val="18"/>
          <w:lang w:val="el-GR"/>
        </w:rPr>
        <w:t>.</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69A31EF2" w14:textId="77777777" w:rsidR="007B2DD9" w:rsidRDefault="007B2DD9" w:rsidP="00AF5CC6">
      <w:pPr>
        <w:jc w:val="both"/>
        <w:rPr>
          <w:rFonts w:ascii="Verdana" w:eastAsia="Malgun Gothic" w:hAnsi="Verdana" w:cs="Arial"/>
          <w:sz w:val="18"/>
          <w:szCs w:val="18"/>
          <w:lang w:val="el-GR"/>
        </w:rPr>
      </w:pPr>
    </w:p>
    <w:p w14:paraId="68E5F33D" w14:textId="1C4DB58D" w:rsidR="00E74ACD" w:rsidRDefault="00E74ACD" w:rsidP="00E74ACD">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Για την περίοδο Ιανου</w:t>
      </w:r>
      <w:r>
        <w:rPr>
          <w:rFonts w:ascii="Verdana" w:eastAsia="Malgun Gothic" w:hAnsi="Verdana" w:cs="Arial"/>
          <w:sz w:val="18"/>
          <w:szCs w:val="18"/>
          <w:lang w:val="el-GR"/>
        </w:rPr>
        <w:t xml:space="preserve">αρίου – </w:t>
      </w:r>
      <w:r w:rsidR="005F0361">
        <w:rPr>
          <w:rFonts w:ascii="Verdana" w:eastAsia="Malgun Gothic" w:hAnsi="Verdana" w:cs="Arial"/>
          <w:sz w:val="18"/>
          <w:szCs w:val="18"/>
          <w:lang w:val="el-GR"/>
        </w:rPr>
        <w:t xml:space="preserve">Δεκεμβρίου </w:t>
      </w:r>
      <w:r>
        <w:rPr>
          <w:rFonts w:ascii="Verdana" w:eastAsia="Malgun Gothic" w:hAnsi="Verdana" w:cs="Arial"/>
          <w:sz w:val="18"/>
          <w:szCs w:val="18"/>
          <w:lang w:val="el-GR"/>
        </w:rPr>
        <w:t xml:space="preserve">2024 </w:t>
      </w:r>
      <w:r w:rsidRPr="004F03FD">
        <w:rPr>
          <w:rFonts w:ascii="Verdana" w:eastAsia="Malgun Gothic" w:hAnsi="Verdana" w:cs="Arial"/>
          <w:sz w:val="18"/>
          <w:szCs w:val="18"/>
          <w:lang w:val="el-GR"/>
        </w:rPr>
        <w:t>σε σύγκριση με την αντίστοιχη περσινή περίοδο</w:t>
      </w:r>
      <w:r>
        <w:rPr>
          <w:rFonts w:ascii="Verdana" w:eastAsia="Malgun Gothic" w:hAnsi="Verdana" w:cs="Arial"/>
          <w:sz w:val="18"/>
          <w:szCs w:val="18"/>
          <w:lang w:val="el-GR"/>
        </w:rPr>
        <w:t xml:space="preserve">, </w:t>
      </w:r>
      <w:r w:rsidR="005C6EC7">
        <w:rPr>
          <w:rFonts w:ascii="Verdana" w:eastAsia="Malgun Gothic" w:hAnsi="Verdana" w:cs="Arial"/>
          <w:sz w:val="18"/>
          <w:szCs w:val="18"/>
          <w:lang w:val="el-GR"/>
        </w:rPr>
        <w:t>η</w:t>
      </w:r>
      <w:r w:rsidRPr="004F03FD">
        <w:rPr>
          <w:rFonts w:ascii="Verdana" w:eastAsia="Malgun Gothic" w:hAnsi="Verdana" w:cs="Arial"/>
          <w:sz w:val="18"/>
          <w:szCs w:val="18"/>
          <w:lang w:val="el-GR"/>
        </w:rPr>
        <w:t xml:space="preserve"> μεγαλύτερ</w:t>
      </w:r>
      <w:r w:rsidR="005C6EC7">
        <w:rPr>
          <w:rFonts w:ascii="Verdana" w:eastAsia="Malgun Gothic" w:hAnsi="Verdana" w:cs="Arial"/>
          <w:sz w:val="18"/>
          <w:szCs w:val="18"/>
          <w:lang w:val="el-GR"/>
        </w:rPr>
        <w:t>η</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μεταβολ</w:t>
      </w:r>
      <w:r w:rsidR="005C6EC7">
        <w:rPr>
          <w:rFonts w:ascii="Verdana" w:eastAsia="Malgun Gothic" w:hAnsi="Verdana" w:cs="Arial"/>
          <w:sz w:val="18"/>
          <w:szCs w:val="18"/>
          <w:lang w:val="el-GR"/>
        </w:rPr>
        <w:t>ή</w:t>
      </w:r>
      <w:r w:rsidRPr="004F03FD">
        <w:rPr>
          <w:rFonts w:ascii="Verdana" w:eastAsia="Malgun Gothic" w:hAnsi="Verdana" w:cs="Arial"/>
          <w:sz w:val="18"/>
          <w:szCs w:val="18"/>
          <w:lang w:val="el-GR"/>
        </w:rPr>
        <w:t xml:space="preserve"> παρατηρήθηκ</w:t>
      </w:r>
      <w:r w:rsidR="005C6EC7">
        <w:rPr>
          <w:rFonts w:ascii="Verdana" w:eastAsia="Malgun Gothic" w:hAnsi="Verdana" w:cs="Arial"/>
          <w:sz w:val="18"/>
          <w:szCs w:val="18"/>
          <w:lang w:val="el-GR"/>
        </w:rPr>
        <w:t>ε</w:t>
      </w:r>
      <w:r w:rsidRPr="004F03FD">
        <w:rPr>
          <w:rFonts w:ascii="Verdana" w:eastAsia="Malgun Gothic" w:hAnsi="Verdana" w:cs="Arial"/>
          <w:sz w:val="18"/>
          <w:szCs w:val="18"/>
          <w:lang w:val="el-GR"/>
        </w:rPr>
        <w:t xml:space="preserve"> </w:t>
      </w:r>
      <w:r>
        <w:rPr>
          <w:rFonts w:ascii="Verdana" w:eastAsia="Malgun Gothic" w:hAnsi="Verdana" w:cs="Arial"/>
          <w:sz w:val="18"/>
          <w:szCs w:val="18"/>
          <w:lang w:val="el-GR"/>
        </w:rPr>
        <w:t>στ</w:t>
      </w:r>
      <w:r w:rsidR="005C6EC7">
        <w:rPr>
          <w:rFonts w:ascii="Verdana" w:eastAsia="Malgun Gothic" w:hAnsi="Verdana" w:cs="Arial"/>
          <w:sz w:val="18"/>
          <w:szCs w:val="18"/>
          <w:lang w:val="el-GR"/>
        </w:rPr>
        <w:t>ην</w:t>
      </w:r>
      <w:r w:rsidRPr="004F03FD">
        <w:rPr>
          <w:rFonts w:ascii="Verdana" w:eastAsia="Malgun Gothic" w:hAnsi="Verdana" w:cs="Arial"/>
          <w:sz w:val="18"/>
          <w:szCs w:val="18"/>
          <w:lang w:val="el-GR"/>
        </w:rPr>
        <w:t xml:space="preserve"> </w:t>
      </w:r>
      <w:r w:rsidRPr="00624393">
        <w:rPr>
          <w:rFonts w:ascii="Verdana" w:eastAsia="Malgun Gothic" w:hAnsi="Verdana" w:cs="Arial"/>
          <w:iCs/>
          <w:sz w:val="18"/>
          <w:szCs w:val="18"/>
          <w:lang w:val="el-GR"/>
        </w:rPr>
        <w:t>κατηγορί</w:t>
      </w:r>
      <w:r w:rsidR="005C6EC7">
        <w:rPr>
          <w:rFonts w:ascii="Verdana" w:eastAsia="Malgun Gothic" w:hAnsi="Verdana" w:cs="Arial"/>
          <w:iCs/>
          <w:sz w:val="18"/>
          <w:szCs w:val="18"/>
          <w:lang w:val="el-GR"/>
        </w:rPr>
        <w:t>α</w:t>
      </w:r>
      <w:r>
        <w:rPr>
          <w:rFonts w:ascii="Verdana" w:eastAsia="Malgun Gothic" w:hAnsi="Verdana" w:cs="Arial"/>
          <w:iCs/>
          <w:sz w:val="18"/>
          <w:szCs w:val="18"/>
          <w:lang w:val="el-GR"/>
        </w:rPr>
        <w:t xml:space="preserve"> </w:t>
      </w:r>
      <w:r w:rsidRPr="00FE3076">
        <w:rPr>
          <w:rFonts w:ascii="Verdana" w:eastAsia="Malgun Gothic" w:hAnsi="Verdana" w:cs="Arial"/>
          <w:i/>
          <w:iCs/>
          <w:sz w:val="18"/>
          <w:szCs w:val="18"/>
          <w:lang w:val="el-GR"/>
        </w:rPr>
        <w:t>Εστιατόρια και Ξενοδοχεία</w:t>
      </w:r>
      <w:r>
        <w:rPr>
          <w:rFonts w:ascii="Verdana" w:eastAsia="Malgun Gothic" w:hAnsi="Verdana" w:cs="Arial"/>
          <w:i/>
          <w:iCs/>
          <w:sz w:val="18"/>
          <w:szCs w:val="18"/>
          <w:lang w:val="el-GR"/>
        </w:rPr>
        <w:t xml:space="preserve"> </w:t>
      </w:r>
      <w:r>
        <w:rPr>
          <w:rFonts w:ascii="Verdana" w:eastAsia="Malgun Gothic" w:hAnsi="Verdana" w:cs="Arial"/>
          <w:iCs/>
          <w:sz w:val="18"/>
          <w:szCs w:val="18"/>
          <w:lang w:val="el-GR"/>
        </w:rPr>
        <w:t>(5,</w:t>
      </w:r>
      <w:r w:rsidR="00895B41">
        <w:rPr>
          <w:rFonts w:ascii="Verdana" w:eastAsia="Malgun Gothic" w:hAnsi="Verdana" w:cs="Arial"/>
          <w:iCs/>
          <w:sz w:val="18"/>
          <w:szCs w:val="18"/>
          <w:lang w:val="el-GR"/>
        </w:rPr>
        <w:t>5</w:t>
      </w:r>
      <w:r>
        <w:rPr>
          <w:rFonts w:ascii="Verdana" w:eastAsia="Malgun Gothic" w:hAnsi="Verdana" w:cs="Arial"/>
          <w:iCs/>
          <w:sz w:val="18"/>
          <w:szCs w:val="18"/>
          <w:lang w:val="el-GR"/>
        </w:rPr>
        <w:t>%).</w:t>
      </w:r>
      <w:r>
        <w:rPr>
          <w:rFonts w:ascii="Verdana" w:eastAsia="Malgun Gothic" w:hAnsi="Verdana" w:cs="Arial"/>
          <w:i/>
          <w:iCs/>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0B30C443" w14:textId="77777777" w:rsidR="00E74ACD" w:rsidRDefault="00E74ACD" w:rsidP="00AF5CC6">
      <w:pPr>
        <w:jc w:val="both"/>
        <w:rPr>
          <w:rFonts w:ascii="Verdana" w:eastAsia="Malgun Gothic" w:hAnsi="Verdana" w:cs="Arial"/>
          <w:sz w:val="18"/>
          <w:szCs w:val="18"/>
          <w:lang w:val="el-GR"/>
        </w:rPr>
      </w:pPr>
    </w:p>
    <w:p w14:paraId="6D4DFF9B" w14:textId="5C1BE945" w:rsidR="00850F43" w:rsidRDefault="005E7DDA" w:rsidP="00850F43">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00AF5CC6">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η</w:t>
      </w:r>
      <w:r w:rsidR="00AF5CC6">
        <w:rPr>
          <w:rFonts w:ascii="Verdana" w:eastAsia="Malgun Gothic" w:hAnsi="Verdana" w:cs="Arial"/>
          <w:sz w:val="18"/>
          <w:szCs w:val="18"/>
          <w:lang w:val="el-GR"/>
        </w:rPr>
        <w:t xml:space="preserve"> μεταβολ</w:t>
      </w:r>
      <w:r>
        <w:rPr>
          <w:rFonts w:ascii="Verdana" w:eastAsia="Malgun Gothic" w:hAnsi="Verdana" w:cs="Arial"/>
          <w:sz w:val="18"/>
          <w:szCs w:val="18"/>
          <w:lang w:val="el-GR"/>
        </w:rPr>
        <w:t>ή</w:t>
      </w:r>
      <w:r w:rsidR="00AF5CC6" w:rsidRPr="004F03FD">
        <w:rPr>
          <w:rFonts w:ascii="Verdana" w:eastAsia="Malgun Gothic" w:hAnsi="Verdana" w:cs="Arial"/>
          <w:sz w:val="18"/>
          <w:szCs w:val="18"/>
          <w:lang w:val="el-GR"/>
        </w:rPr>
        <w:t xml:space="preserve"> </w:t>
      </w:r>
      <w:r w:rsidR="00AF5CC6">
        <w:rPr>
          <w:rFonts w:ascii="Verdana" w:eastAsia="Malgun Gothic" w:hAnsi="Verdana" w:cs="Arial"/>
          <w:sz w:val="18"/>
          <w:szCs w:val="18"/>
          <w:lang w:val="el-GR"/>
        </w:rPr>
        <w:t>στις οικονομικές κατηγορίες</w:t>
      </w:r>
      <w:r w:rsidR="00822B64">
        <w:rPr>
          <w:rFonts w:ascii="Verdana" w:eastAsia="Malgun Gothic" w:hAnsi="Verdana" w:cs="Arial"/>
          <w:sz w:val="18"/>
          <w:szCs w:val="18"/>
          <w:lang w:val="el-GR"/>
        </w:rPr>
        <w:t xml:space="preserve"> σε σχέση μ</w:t>
      </w:r>
      <w:r w:rsidR="00AF5CC6" w:rsidRPr="009D1A55">
        <w:rPr>
          <w:rFonts w:ascii="Verdana" w:eastAsia="Malgun Gothic" w:hAnsi="Verdana" w:cs="Arial"/>
          <w:sz w:val="18"/>
          <w:szCs w:val="18"/>
          <w:lang w:val="el-GR"/>
        </w:rPr>
        <w:t>ε τον</w:t>
      </w:r>
      <w:r w:rsidR="000E3759">
        <w:rPr>
          <w:rFonts w:ascii="Verdana" w:eastAsia="Malgun Gothic" w:hAnsi="Verdana" w:cs="Arial"/>
          <w:sz w:val="18"/>
          <w:szCs w:val="18"/>
          <w:lang w:val="el-GR"/>
        </w:rPr>
        <w:t xml:space="preserve"> </w:t>
      </w:r>
      <w:r w:rsidR="005F0361">
        <w:rPr>
          <w:rFonts w:ascii="Verdana" w:eastAsia="Malgun Gothic" w:hAnsi="Verdana" w:cs="Arial"/>
          <w:sz w:val="18"/>
          <w:szCs w:val="18"/>
          <w:lang w:val="el-GR"/>
        </w:rPr>
        <w:t xml:space="preserve">Δεκέμβριο </w:t>
      </w:r>
      <w:r w:rsidR="00AF5CC6">
        <w:rPr>
          <w:rFonts w:ascii="Verdana" w:eastAsia="Malgun Gothic" w:hAnsi="Verdana" w:cs="Arial"/>
          <w:sz w:val="18"/>
          <w:szCs w:val="18"/>
          <w:lang w:val="el-GR"/>
        </w:rPr>
        <w:t>του 202</w:t>
      </w:r>
      <w:r w:rsidR="004D7614">
        <w:rPr>
          <w:rFonts w:ascii="Verdana" w:eastAsia="Malgun Gothic" w:hAnsi="Verdana" w:cs="Arial"/>
          <w:sz w:val="18"/>
          <w:szCs w:val="18"/>
          <w:lang w:val="el-GR"/>
        </w:rPr>
        <w:t>3</w:t>
      </w:r>
      <w:r w:rsidR="00822B64">
        <w:rPr>
          <w:rFonts w:ascii="Verdana" w:eastAsia="Malgun Gothic" w:hAnsi="Verdana" w:cs="Arial"/>
          <w:sz w:val="18"/>
          <w:szCs w:val="18"/>
          <w:lang w:val="el-GR"/>
        </w:rPr>
        <w:t xml:space="preserve"> </w:t>
      </w:r>
      <w:r w:rsidR="00895B41">
        <w:rPr>
          <w:rFonts w:ascii="Verdana" w:eastAsia="Malgun Gothic" w:hAnsi="Verdana" w:cs="Arial"/>
          <w:sz w:val="18"/>
          <w:szCs w:val="18"/>
          <w:lang w:val="el-GR"/>
        </w:rPr>
        <w:t xml:space="preserve">παρατηρήθηκε  στις κατηγορίες </w:t>
      </w:r>
      <w:r w:rsidR="005F0361" w:rsidRPr="005F0361">
        <w:rPr>
          <w:rFonts w:ascii="Verdana" w:eastAsia="Malgun Gothic" w:hAnsi="Verdana" w:cs="Arial"/>
          <w:i/>
          <w:iCs/>
          <w:sz w:val="18"/>
          <w:szCs w:val="18"/>
          <w:lang w:val="el-GR"/>
        </w:rPr>
        <w:t xml:space="preserve">Τρόφιμα-Αλκοολούχα Ποτά-Καπνός </w:t>
      </w:r>
      <w:r w:rsidR="00895B41">
        <w:rPr>
          <w:rFonts w:ascii="Verdana" w:eastAsia="Malgun Gothic" w:hAnsi="Verdana" w:cs="Arial"/>
          <w:sz w:val="18"/>
          <w:szCs w:val="18"/>
          <w:lang w:val="el-GR"/>
        </w:rPr>
        <w:t>(</w:t>
      </w:r>
      <w:r w:rsidR="005F0361">
        <w:rPr>
          <w:rFonts w:ascii="Verdana" w:eastAsia="Malgun Gothic" w:hAnsi="Verdana" w:cs="Arial"/>
          <w:sz w:val="18"/>
          <w:szCs w:val="18"/>
          <w:lang w:val="el-GR"/>
        </w:rPr>
        <w:t>5</w:t>
      </w:r>
      <w:r w:rsidR="00895B41">
        <w:rPr>
          <w:rFonts w:ascii="Verdana" w:eastAsia="Malgun Gothic" w:hAnsi="Verdana" w:cs="Arial"/>
          <w:sz w:val="18"/>
          <w:szCs w:val="18"/>
          <w:lang w:val="el-GR"/>
        </w:rPr>
        <w:t>,</w:t>
      </w:r>
      <w:r w:rsidR="005F0361">
        <w:rPr>
          <w:rFonts w:ascii="Verdana" w:eastAsia="Malgun Gothic" w:hAnsi="Verdana" w:cs="Arial"/>
          <w:sz w:val="18"/>
          <w:szCs w:val="18"/>
          <w:lang w:val="el-GR"/>
        </w:rPr>
        <w:t>9</w:t>
      </w:r>
      <w:r w:rsidR="00895B41">
        <w:rPr>
          <w:rFonts w:ascii="Verdana" w:eastAsia="Malgun Gothic" w:hAnsi="Verdana" w:cs="Arial"/>
          <w:sz w:val="18"/>
          <w:szCs w:val="18"/>
          <w:lang w:val="el-GR"/>
        </w:rPr>
        <w:t xml:space="preserve">%) και </w:t>
      </w:r>
      <w:r w:rsidR="005F0361">
        <w:rPr>
          <w:rFonts w:ascii="Verdana" w:eastAsia="Malgun Gothic" w:hAnsi="Verdana" w:cs="Arial"/>
          <w:i/>
          <w:iCs/>
          <w:sz w:val="18"/>
          <w:szCs w:val="18"/>
          <w:lang w:val="el-GR"/>
        </w:rPr>
        <w:t xml:space="preserve">Υπηρεσίες </w:t>
      </w:r>
      <w:r w:rsidR="00822B64">
        <w:rPr>
          <w:rFonts w:ascii="Verdana" w:eastAsia="Malgun Gothic" w:hAnsi="Verdana" w:cs="Arial"/>
          <w:sz w:val="18"/>
          <w:szCs w:val="18"/>
          <w:lang w:val="el-GR"/>
        </w:rPr>
        <w:t>(</w:t>
      </w:r>
      <w:r w:rsidR="00895B41">
        <w:rPr>
          <w:rFonts w:ascii="Verdana" w:eastAsia="Malgun Gothic" w:hAnsi="Verdana" w:cs="Arial"/>
          <w:sz w:val="18"/>
          <w:szCs w:val="18"/>
          <w:lang w:val="el-GR"/>
        </w:rPr>
        <w:t>4</w:t>
      </w:r>
      <w:r w:rsidR="00822B64">
        <w:rPr>
          <w:rFonts w:ascii="Verdana" w:eastAsia="Malgun Gothic" w:hAnsi="Verdana" w:cs="Arial"/>
          <w:sz w:val="18"/>
          <w:szCs w:val="18"/>
          <w:lang w:val="el-GR"/>
        </w:rPr>
        <w:t>,</w:t>
      </w:r>
      <w:r w:rsidR="005F0361">
        <w:rPr>
          <w:rFonts w:ascii="Verdana" w:eastAsia="Malgun Gothic" w:hAnsi="Verdana" w:cs="Arial"/>
          <w:sz w:val="18"/>
          <w:szCs w:val="18"/>
          <w:lang w:val="el-GR"/>
        </w:rPr>
        <w:t>5</w:t>
      </w:r>
      <w:r w:rsidR="00822B64">
        <w:rPr>
          <w:rFonts w:ascii="Verdana" w:eastAsia="Malgun Gothic" w:hAnsi="Verdana" w:cs="Arial"/>
          <w:sz w:val="18"/>
          <w:szCs w:val="18"/>
          <w:lang w:val="el-GR"/>
        </w:rPr>
        <w:t>%)</w:t>
      </w:r>
      <w:r w:rsidR="00594A83">
        <w:rPr>
          <w:rFonts w:ascii="Verdana" w:eastAsia="Malgun Gothic" w:hAnsi="Verdana" w:cs="Arial"/>
          <w:sz w:val="18"/>
          <w:szCs w:val="18"/>
          <w:lang w:val="el-GR"/>
        </w:rPr>
        <w:t xml:space="preserve"> ενώ σε σχέση με </w:t>
      </w:r>
      <w:bookmarkStart w:id="1" w:name="_Hlk119397424"/>
      <w:r w:rsidR="00822B64">
        <w:rPr>
          <w:rFonts w:ascii="Verdana" w:eastAsia="Malgun Gothic" w:hAnsi="Verdana" w:cs="Arial"/>
          <w:sz w:val="18"/>
          <w:szCs w:val="18"/>
          <w:lang w:val="el-GR"/>
        </w:rPr>
        <w:t xml:space="preserve">τον προηγούμενο μήνα </w:t>
      </w:r>
      <w:r w:rsidR="004D7614">
        <w:rPr>
          <w:rFonts w:ascii="Verdana" w:eastAsia="Malgun Gothic" w:hAnsi="Verdana" w:cs="Arial"/>
          <w:sz w:val="18"/>
          <w:szCs w:val="18"/>
          <w:lang w:val="el-GR"/>
        </w:rPr>
        <w:t xml:space="preserve">παρατηρήθηκε στην κατηγορία </w:t>
      </w:r>
      <w:bookmarkEnd w:id="1"/>
      <w:r w:rsidR="005F0361" w:rsidRPr="005F0361">
        <w:rPr>
          <w:rFonts w:ascii="Verdana" w:eastAsia="Malgun Gothic" w:hAnsi="Verdana" w:cs="Arial"/>
          <w:i/>
          <w:iCs/>
          <w:sz w:val="18"/>
          <w:szCs w:val="18"/>
          <w:lang w:val="el-GR"/>
        </w:rPr>
        <w:t>Υπηρεσίες</w:t>
      </w:r>
      <w:r w:rsidR="005F0361">
        <w:rPr>
          <w:rFonts w:ascii="Verdana" w:eastAsia="Malgun Gothic" w:hAnsi="Verdana" w:cs="Arial"/>
          <w:sz w:val="18"/>
          <w:szCs w:val="18"/>
          <w:lang w:val="el-GR"/>
        </w:rPr>
        <w:t xml:space="preserve"> </w:t>
      </w:r>
      <w:r w:rsidR="00594A83">
        <w:rPr>
          <w:rFonts w:ascii="Verdana" w:eastAsia="Malgun Gothic" w:hAnsi="Verdana" w:cs="Arial"/>
          <w:sz w:val="18"/>
          <w:szCs w:val="18"/>
          <w:lang w:val="el-GR"/>
        </w:rPr>
        <w:t>(-</w:t>
      </w:r>
      <w:r w:rsidR="005F0361">
        <w:rPr>
          <w:rFonts w:ascii="Verdana" w:eastAsia="Malgun Gothic" w:hAnsi="Verdana" w:cs="Arial"/>
          <w:sz w:val="18"/>
          <w:szCs w:val="18"/>
          <w:lang w:val="el-GR"/>
        </w:rPr>
        <w:t>0</w:t>
      </w:r>
      <w:r w:rsidR="00594A83">
        <w:rPr>
          <w:rFonts w:ascii="Verdana" w:eastAsia="Malgun Gothic" w:hAnsi="Verdana" w:cs="Arial"/>
          <w:sz w:val="18"/>
          <w:szCs w:val="18"/>
          <w:lang w:val="el-GR"/>
        </w:rPr>
        <w:t>,</w:t>
      </w:r>
      <w:r w:rsidR="005F0361">
        <w:rPr>
          <w:rFonts w:ascii="Verdana" w:eastAsia="Malgun Gothic" w:hAnsi="Verdana" w:cs="Arial"/>
          <w:sz w:val="18"/>
          <w:szCs w:val="18"/>
          <w:lang w:val="el-GR"/>
        </w:rPr>
        <w:t>9</w:t>
      </w:r>
      <w:r w:rsidR="00594A83">
        <w:rPr>
          <w:rFonts w:ascii="Verdana" w:eastAsia="Malgun Gothic" w:hAnsi="Verdana" w:cs="Arial"/>
          <w:sz w:val="18"/>
          <w:szCs w:val="18"/>
          <w:lang w:val="el-GR"/>
        </w:rPr>
        <w:t>%)</w:t>
      </w:r>
      <w:r w:rsidR="00822B64">
        <w:rPr>
          <w:rFonts w:ascii="Verdana" w:eastAsia="Malgun Gothic" w:hAnsi="Verdana" w:cs="Arial"/>
          <w:i/>
          <w:iCs/>
          <w:sz w:val="18"/>
          <w:szCs w:val="18"/>
          <w:lang w:val="el-GR"/>
        </w:rPr>
        <w:t>.</w:t>
      </w:r>
      <w:r w:rsidR="00850F43">
        <w:rPr>
          <w:rFonts w:ascii="Verdana" w:eastAsia="Malgun Gothic" w:hAnsi="Verdana" w:cs="Arial"/>
          <w:sz w:val="18"/>
          <w:szCs w:val="18"/>
          <w:lang w:val="el-GR"/>
        </w:rPr>
        <w:t xml:space="preserve"> </w:t>
      </w:r>
      <w:r w:rsidR="00850F43" w:rsidRPr="004F03FD">
        <w:rPr>
          <w:rFonts w:ascii="Verdana" w:eastAsia="Malgun Gothic" w:hAnsi="Verdana" w:cs="Arial"/>
          <w:sz w:val="18"/>
          <w:szCs w:val="18"/>
          <w:lang w:val="el-GR"/>
        </w:rPr>
        <w:t xml:space="preserve">(Πίνακας </w:t>
      </w:r>
      <w:r w:rsidR="00850F43">
        <w:rPr>
          <w:rFonts w:ascii="Verdana" w:eastAsia="Malgun Gothic" w:hAnsi="Verdana" w:cs="Arial"/>
          <w:sz w:val="18"/>
          <w:szCs w:val="18"/>
          <w:lang w:val="el-GR"/>
        </w:rPr>
        <w:t>2</w:t>
      </w:r>
      <w:r w:rsidR="00850F43" w:rsidRPr="004F03FD">
        <w:rPr>
          <w:rFonts w:ascii="Verdana" w:eastAsia="Malgun Gothic" w:hAnsi="Verdana" w:cs="Arial"/>
          <w:sz w:val="18"/>
          <w:szCs w:val="18"/>
          <w:lang w:val="el-GR"/>
        </w:rPr>
        <w:t>)</w:t>
      </w:r>
    </w:p>
    <w:p w14:paraId="113DBBD1" w14:textId="77777777" w:rsidR="005C6EC7" w:rsidRPr="005F0361" w:rsidRDefault="005C6EC7" w:rsidP="00AF5CC6">
      <w:pPr>
        <w:tabs>
          <w:tab w:val="left" w:pos="1080"/>
          <w:tab w:val="left" w:pos="6840"/>
        </w:tabs>
        <w:jc w:val="both"/>
        <w:rPr>
          <w:rFonts w:ascii="Verdana" w:eastAsia="Malgun Gothic" w:hAnsi="Verdana" w:cs="Arial"/>
          <w:sz w:val="18"/>
          <w:szCs w:val="18"/>
          <w:lang w:val="el-GR"/>
        </w:rPr>
      </w:pPr>
    </w:p>
    <w:p w14:paraId="1D5E4402" w14:textId="77777777" w:rsidR="00E74ACD" w:rsidRPr="005C4C32" w:rsidRDefault="00E74ACD" w:rsidP="00AF5CC6">
      <w:pPr>
        <w:tabs>
          <w:tab w:val="left" w:pos="1080"/>
          <w:tab w:val="left" w:pos="6840"/>
        </w:tabs>
        <w:jc w:val="both"/>
        <w:rPr>
          <w:rFonts w:ascii="Verdana" w:eastAsia="Malgun Gothic" w:hAnsi="Verdana" w:cs="Arial"/>
          <w:sz w:val="18"/>
          <w:szCs w:val="18"/>
          <w:lang w:val="el-GR"/>
        </w:rPr>
      </w:pPr>
    </w:p>
    <w:tbl>
      <w:tblPr>
        <w:tblStyle w:val="GridTable1Light-Accent1"/>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5"/>
        <w:gridCol w:w="1602"/>
        <w:gridCol w:w="1528"/>
        <w:gridCol w:w="294"/>
        <w:gridCol w:w="1259"/>
        <w:gridCol w:w="1369"/>
        <w:gridCol w:w="1505"/>
      </w:tblGrid>
      <w:tr w:rsidR="005F3056" w14:paraId="2E7A17C5" w14:textId="77777777" w:rsidTr="00FF73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2" w:type="dxa"/>
            <w:gridSpan w:val="7"/>
            <w:tcBorders>
              <w:bottom w:val="single" w:sz="4" w:space="0" w:color="366092"/>
            </w:tcBorders>
          </w:tcPr>
          <w:p w14:paraId="61E522EF" w14:textId="77777777" w:rsidR="005F3056" w:rsidRPr="00A92E04" w:rsidRDefault="005F3056" w:rsidP="00D25AB6">
            <w:pPr>
              <w:tabs>
                <w:tab w:val="left" w:pos="1080"/>
                <w:tab w:val="left" w:pos="6840"/>
              </w:tabs>
              <w:rPr>
                <w:rFonts w:ascii="Verdana" w:eastAsia="Malgun Gothic" w:hAnsi="Verdana" w:cs="Arial"/>
                <w:sz w:val="18"/>
                <w:szCs w:val="18"/>
              </w:rPr>
            </w:pPr>
            <w:r w:rsidRPr="001C5C8C">
              <w:rPr>
                <w:rFonts w:ascii="Verdana" w:eastAsia="Times New Roman" w:hAnsi="Verdana" w:cs="Arial"/>
                <w:color w:val="365F91"/>
                <w:sz w:val="18"/>
                <w:szCs w:val="18"/>
                <w:lang w:val="el-GR"/>
              </w:rPr>
              <w:t xml:space="preserve">Πίνακας </w:t>
            </w:r>
            <w:r w:rsidRPr="00E95616">
              <w:rPr>
                <w:rFonts w:ascii="Verdana" w:eastAsia="Times New Roman" w:hAnsi="Verdana" w:cs="Arial"/>
                <w:color w:val="365F91"/>
                <w:sz w:val="18"/>
                <w:szCs w:val="18"/>
              </w:rPr>
              <w:t>1</w:t>
            </w:r>
          </w:p>
        </w:tc>
      </w:tr>
      <w:tr w:rsidR="005F3056" w14:paraId="5785043C" w14:textId="77777777" w:rsidTr="00FF73A3">
        <w:trPr>
          <w:trHeight w:val="284"/>
          <w:jc w:val="center"/>
        </w:trPr>
        <w:tc>
          <w:tcPr>
            <w:cnfStyle w:val="001000000000" w:firstRow="0" w:lastRow="0" w:firstColumn="1" w:lastColumn="0" w:oddVBand="0" w:evenVBand="0" w:oddHBand="0" w:evenHBand="0" w:firstRowFirstColumn="0" w:firstRowLastColumn="0" w:lastRowFirstColumn="0" w:lastRowLastColumn="0"/>
            <w:tcW w:w="3075" w:type="dxa"/>
            <w:vMerge w:val="restart"/>
            <w:tcBorders>
              <w:top w:val="single" w:sz="4" w:space="0" w:color="366092"/>
            </w:tcBorders>
            <w:vAlign w:val="center"/>
          </w:tcPr>
          <w:p w14:paraId="1CEEBE74" w14:textId="77777777" w:rsidR="005F3056" w:rsidRDefault="005F3056" w:rsidP="00D25AB6">
            <w:pPr>
              <w:rPr>
                <w:rFonts w:ascii="Verdana" w:eastAsia="Times New Roman" w:hAnsi="Verdana" w:cs="Arial"/>
                <w:b w:val="0"/>
                <w:bCs w:val="0"/>
                <w:color w:val="365F91"/>
                <w:sz w:val="18"/>
                <w:szCs w:val="18"/>
                <w:lang w:val="el-GR"/>
              </w:rPr>
            </w:pPr>
            <w:r w:rsidRPr="008774AA">
              <w:rPr>
                <w:rFonts w:ascii="Verdana" w:eastAsia="Times New Roman" w:hAnsi="Verdana" w:cs="Arial"/>
                <w:color w:val="365F91"/>
                <w:sz w:val="18"/>
                <w:szCs w:val="18"/>
                <w:lang w:val="el-GR"/>
              </w:rPr>
              <w:t>Κατηγορίες Αγαθών</w:t>
            </w:r>
          </w:p>
          <w:p w14:paraId="0E0D3279" w14:textId="77777777" w:rsidR="005F3056" w:rsidRPr="008774AA" w:rsidRDefault="005F3056" w:rsidP="00D25AB6">
            <w:pPr>
              <w:rPr>
                <w:rFonts w:ascii="Verdana" w:eastAsia="Times New Roman" w:hAnsi="Verdana" w:cs="Arial"/>
                <w:b w:val="0"/>
                <w:color w:val="365F91"/>
                <w:sz w:val="18"/>
                <w:szCs w:val="18"/>
                <w:lang w:val="el-GR"/>
              </w:rPr>
            </w:pPr>
            <w:r w:rsidRPr="008774AA">
              <w:rPr>
                <w:rFonts w:ascii="Verdana" w:eastAsia="Times New Roman" w:hAnsi="Verdana" w:cs="Arial"/>
                <w:color w:val="365F91"/>
                <w:sz w:val="18"/>
                <w:szCs w:val="18"/>
                <w:lang w:val="el-GR"/>
              </w:rPr>
              <w:t>και Υπηρεσιών</w:t>
            </w:r>
          </w:p>
        </w:tc>
        <w:tc>
          <w:tcPr>
            <w:tcW w:w="3130" w:type="dxa"/>
            <w:gridSpan w:val="2"/>
            <w:tcBorders>
              <w:bottom w:val="single" w:sz="4" w:space="0" w:color="366092"/>
            </w:tcBorders>
            <w:vAlign w:val="center"/>
          </w:tcPr>
          <w:p w14:paraId="2B5606A1" w14:textId="77777777" w:rsidR="005F3056" w:rsidRPr="00C07136" w:rsidRDefault="005F3056" w:rsidP="00D25AB6">
            <w:pPr>
              <w:spacing w:after="6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C07136">
              <w:rPr>
                <w:rFonts w:ascii="Verdana" w:eastAsia="Times New Roman" w:hAnsi="Verdana" w:cs="Arial"/>
                <w:b/>
                <w:bCs/>
                <w:color w:val="365F91"/>
                <w:sz w:val="18"/>
                <w:szCs w:val="18"/>
                <w:lang w:val="el-GR"/>
              </w:rPr>
              <w:t>ΕνΔΤΚ (2015=100)</w:t>
            </w:r>
          </w:p>
        </w:tc>
        <w:tc>
          <w:tcPr>
            <w:tcW w:w="294" w:type="dxa"/>
            <w:tcBorders>
              <w:bottom w:val="single" w:sz="4" w:space="0" w:color="FFFFFF" w:themeColor="background1"/>
            </w:tcBorders>
            <w:noWrap/>
            <w:tcMar>
              <w:left w:w="0" w:type="dxa"/>
              <w:right w:w="28" w:type="dxa"/>
            </w:tcMar>
          </w:tcPr>
          <w:p w14:paraId="1E490A95" w14:textId="77777777" w:rsidR="005F3056" w:rsidRPr="00C07136" w:rsidRDefault="005F3056" w:rsidP="00D25AB6">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0"/>
                <w:szCs w:val="10"/>
              </w:rPr>
            </w:pPr>
          </w:p>
        </w:tc>
        <w:tc>
          <w:tcPr>
            <w:tcW w:w="4133" w:type="dxa"/>
            <w:gridSpan w:val="3"/>
            <w:tcBorders>
              <w:bottom w:val="single" w:sz="4" w:space="0" w:color="366092"/>
            </w:tcBorders>
          </w:tcPr>
          <w:p w14:paraId="7327C387" w14:textId="77777777" w:rsidR="005F3056" w:rsidRPr="00C07136" w:rsidRDefault="005F3056" w:rsidP="00D25AB6">
            <w:pPr>
              <w:tabs>
                <w:tab w:val="left" w:pos="1080"/>
                <w:tab w:val="left" w:pos="6840"/>
              </w:tabs>
              <w:spacing w:after="60"/>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8"/>
                <w:szCs w:val="18"/>
                <w:lang w:val="el-GR"/>
              </w:rPr>
            </w:pPr>
            <w:r w:rsidRPr="00C07136">
              <w:rPr>
                <w:rFonts w:ascii="Verdana" w:eastAsia="Times New Roman" w:hAnsi="Verdana" w:cs="Arial"/>
                <w:b/>
                <w:bCs/>
                <w:color w:val="365F91"/>
                <w:sz w:val="18"/>
                <w:szCs w:val="18"/>
                <w:lang w:val="el-GR"/>
              </w:rPr>
              <w:t>Μεταβολές (%)</w:t>
            </w:r>
          </w:p>
        </w:tc>
      </w:tr>
      <w:tr w:rsidR="00171AFE" w:rsidRPr="00FF73A3" w14:paraId="4549DBDE" w14:textId="77777777" w:rsidTr="00FF73A3">
        <w:trPr>
          <w:jc w:val="center"/>
        </w:trPr>
        <w:tc>
          <w:tcPr>
            <w:cnfStyle w:val="001000000000" w:firstRow="0" w:lastRow="0" w:firstColumn="1" w:lastColumn="0" w:oddVBand="0" w:evenVBand="0" w:oddHBand="0" w:evenHBand="0" w:firstRowFirstColumn="0" w:firstRowLastColumn="0" w:lastRowFirstColumn="0" w:lastRowLastColumn="0"/>
            <w:tcW w:w="3075" w:type="dxa"/>
            <w:vMerge/>
            <w:tcBorders>
              <w:top w:val="single" w:sz="4" w:space="0" w:color="FFFFFF" w:themeColor="background1"/>
              <w:bottom w:val="single" w:sz="4" w:space="0" w:color="366092"/>
            </w:tcBorders>
          </w:tcPr>
          <w:p w14:paraId="250044BF" w14:textId="77777777" w:rsidR="00171AFE" w:rsidRDefault="00171AFE" w:rsidP="00171AFE">
            <w:pPr>
              <w:tabs>
                <w:tab w:val="left" w:pos="1080"/>
                <w:tab w:val="left" w:pos="6840"/>
              </w:tabs>
              <w:rPr>
                <w:rFonts w:ascii="Verdana" w:eastAsia="Malgun Gothic" w:hAnsi="Verdana" w:cs="Arial"/>
                <w:sz w:val="18"/>
                <w:szCs w:val="18"/>
                <w:lang w:val="el-GR"/>
              </w:rPr>
            </w:pPr>
          </w:p>
        </w:tc>
        <w:tc>
          <w:tcPr>
            <w:tcW w:w="1602" w:type="dxa"/>
            <w:tcBorders>
              <w:top w:val="single" w:sz="4" w:space="0" w:color="FFFFFF" w:themeColor="background1"/>
              <w:bottom w:val="single" w:sz="4" w:space="0" w:color="366092"/>
            </w:tcBorders>
            <w:vAlign w:val="center"/>
          </w:tcPr>
          <w:p w14:paraId="6B486D1C" w14:textId="77777777" w:rsidR="00171AFE" w:rsidRPr="00ED6DF8" w:rsidRDefault="00171AFE" w:rsidP="00171AFE">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Νοέμβριος</w:t>
            </w:r>
          </w:p>
          <w:p w14:paraId="173638EB" w14:textId="548EBFC2" w:rsidR="00171AFE" w:rsidRDefault="00171AFE" w:rsidP="00171AFE">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FC45BF">
              <w:rPr>
                <w:rFonts w:ascii="Verdana" w:eastAsia="Times New Roman" w:hAnsi="Verdana" w:cs="Arial"/>
                <w:b/>
                <w:bCs/>
                <w:color w:val="365F91"/>
                <w:sz w:val="18"/>
                <w:szCs w:val="18"/>
                <w:lang w:val="el-GR"/>
              </w:rPr>
              <w:t>2024</w:t>
            </w:r>
          </w:p>
        </w:tc>
        <w:tc>
          <w:tcPr>
            <w:tcW w:w="1528" w:type="dxa"/>
            <w:tcBorders>
              <w:top w:val="single" w:sz="4" w:space="0" w:color="FFFFFF" w:themeColor="background1"/>
              <w:bottom w:val="single" w:sz="4" w:space="0" w:color="366092"/>
            </w:tcBorders>
            <w:vAlign w:val="center"/>
          </w:tcPr>
          <w:p w14:paraId="466B3D74" w14:textId="5BBEECDA" w:rsidR="00171AFE" w:rsidRPr="00ED6DF8" w:rsidRDefault="00171AFE" w:rsidP="00171AFE">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Δεκέμβριος</w:t>
            </w:r>
          </w:p>
          <w:p w14:paraId="20133DD4" w14:textId="1B216C40" w:rsidR="00171AFE" w:rsidRDefault="00171AFE" w:rsidP="00171AFE">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FC45BF">
              <w:rPr>
                <w:rFonts w:ascii="Verdana" w:eastAsia="Times New Roman" w:hAnsi="Verdana" w:cs="Arial"/>
                <w:b/>
                <w:bCs/>
                <w:color w:val="365F91"/>
                <w:sz w:val="18"/>
                <w:szCs w:val="18"/>
                <w:lang w:val="el-GR"/>
              </w:rPr>
              <w:t>2024</w:t>
            </w:r>
          </w:p>
        </w:tc>
        <w:tc>
          <w:tcPr>
            <w:tcW w:w="294" w:type="dxa"/>
            <w:tcBorders>
              <w:top w:val="single" w:sz="4" w:space="0" w:color="FFFFFF" w:themeColor="background1"/>
            </w:tcBorders>
            <w:noWrap/>
            <w:tcMar>
              <w:left w:w="0" w:type="dxa"/>
              <w:right w:w="28" w:type="dxa"/>
            </w:tcMar>
          </w:tcPr>
          <w:p w14:paraId="1D37A384" w14:textId="77777777" w:rsidR="00171AFE" w:rsidRPr="00A6685F" w:rsidRDefault="00171AFE" w:rsidP="00171AFE">
            <w:pPr>
              <w:tabs>
                <w:tab w:val="left" w:pos="1080"/>
                <w:tab w:val="left" w:pos="6840"/>
              </w:tabs>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0"/>
                <w:szCs w:val="10"/>
                <w:lang w:val="el-GR"/>
              </w:rPr>
            </w:pPr>
          </w:p>
        </w:tc>
        <w:tc>
          <w:tcPr>
            <w:tcW w:w="1259" w:type="dxa"/>
            <w:tcBorders>
              <w:top w:val="single" w:sz="4" w:space="0" w:color="366092"/>
              <w:bottom w:val="single" w:sz="4" w:space="0" w:color="366092"/>
            </w:tcBorders>
            <w:vAlign w:val="center"/>
          </w:tcPr>
          <w:p w14:paraId="6D2B89D9" w14:textId="6CFCF7B6" w:rsidR="00171AFE" w:rsidRDefault="00171AFE" w:rsidP="00171AFE">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lang w:val="el-GR"/>
              </w:rPr>
              <w:t>Δεκ</w:t>
            </w:r>
            <w:r w:rsidRPr="00FC45BF">
              <w:rPr>
                <w:rFonts w:ascii="Verdana" w:eastAsia="Times New Roman" w:hAnsi="Verdana" w:cs="Arial"/>
                <w:b/>
                <w:bCs/>
                <w:color w:val="365F91"/>
                <w:sz w:val="18"/>
                <w:szCs w:val="18"/>
                <w:lang w:val="el-GR"/>
              </w:rPr>
              <w:t xml:space="preserve"> 24/</w:t>
            </w:r>
            <w:r>
              <w:rPr>
                <w:rFonts w:ascii="Verdana" w:eastAsia="Times New Roman" w:hAnsi="Verdana" w:cs="Arial"/>
                <w:b/>
                <w:bCs/>
                <w:color w:val="365F91"/>
                <w:sz w:val="18"/>
                <w:szCs w:val="18"/>
                <w:lang w:val="el-GR"/>
              </w:rPr>
              <w:t xml:space="preserve"> Δεκ</w:t>
            </w:r>
            <w:r w:rsidRPr="00FC45BF">
              <w:rPr>
                <w:rFonts w:ascii="Verdana" w:eastAsia="Times New Roman" w:hAnsi="Verdana" w:cs="Arial"/>
                <w:b/>
                <w:bCs/>
                <w:color w:val="365F91"/>
                <w:sz w:val="18"/>
                <w:szCs w:val="18"/>
                <w:lang w:val="el-GR"/>
              </w:rPr>
              <w:t xml:space="preserve"> 23</w:t>
            </w:r>
          </w:p>
        </w:tc>
        <w:tc>
          <w:tcPr>
            <w:tcW w:w="1369" w:type="dxa"/>
            <w:tcBorders>
              <w:top w:val="single" w:sz="4" w:space="0" w:color="366092"/>
              <w:bottom w:val="single" w:sz="4" w:space="0" w:color="366092"/>
            </w:tcBorders>
            <w:vAlign w:val="center"/>
          </w:tcPr>
          <w:p w14:paraId="4E6F8F9A" w14:textId="6385F590" w:rsidR="00171AFE" w:rsidRDefault="00171AFE" w:rsidP="00171AFE">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Pr>
                <w:rFonts w:ascii="Verdana" w:eastAsia="Times New Roman" w:hAnsi="Verdana" w:cs="Arial"/>
                <w:b/>
                <w:bCs/>
                <w:color w:val="365F91"/>
                <w:sz w:val="18"/>
                <w:szCs w:val="18"/>
                <w:lang w:val="el-GR"/>
              </w:rPr>
              <w:t>Δεκ</w:t>
            </w:r>
            <w:r w:rsidRPr="00FC45BF">
              <w:rPr>
                <w:rFonts w:ascii="Verdana" w:eastAsia="Times New Roman" w:hAnsi="Verdana" w:cs="Arial"/>
                <w:b/>
                <w:bCs/>
                <w:color w:val="365F91"/>
                <w:sz w:val="18"/>
                <w:szCs w:val="18"/>
                <w:lang w:val="el-GR"/>
              </w:rPr>
              <w:t xml:space="preserve"> 24/ </w:t>
            </w:r>
            <w:r>
              <w:rPr>
                <w:rFonts w:ascii="Verdana" w:eastAsia="Times New Roman" w:hAnsi="Verdana" w:cs="Arial"/>
                <w:b/>
                <w:bCs/>
                <w:color w:val="365F91"/>
                <w:sz w:val="18"/>
                <w:szCs w:val="18"/>
                <w:lang w:val="el-GR"/>
              </w:rPr>
              <w:t>Νοε</w:t>
            </w:r>
            <w:r w:rsidRPr="00FC45BF">
              <w:rPr>
                <w:rFonts w:ascii="Verdana" w:eastAsia="Times New Roman" w:hAnsi="Verdana" w:cs="Arial"/>
                <w:b/>
                <w:bCs/>
                <w:color w:val="365F91"/>
                <w:sz w:val="18"/>
                <w:szCs w:val="18"/>
                <w:lang w:val="el-GR"/>
              </w:rPr>
              <w:t xml:space="preserve"> 24</w:t>
            </w:r>
          </w:p>
        </w:tc>
        <w:tc>
          <w:tcPr>
            <w:tcW w:w="1505" w:type="dxa"/>
            <w:tcBorders>
              <w:top w:val="single" w:sz="4" w:space="0" w:color="366092"/>
              <w:bottom w:val="single" w:sz="4" w:space="0" w:color="366092"/>
            </w:tcBorders>
            <w:vAlign w:val="center"/>
          </w:tcPr>
          <w:p w14:paraId="7164DB9C" w14:textId="2EF97105" w:rsidR="00171AFE" w:rsidRPr="004164CC" w:rsidRDefault="00171AFE" w:rsidP="00171AFE">
            <w:pPr>
              <w:ind w:left="-109" w:hanging="3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FC45BF">
              <w:rPr>
                <w:rFonts w:ascii="Verdana" w:eastAsia="Times New Roman" w:hAnsi="Verdana" w:cs="Arial"/>
                <w:b/>
                <w:bCs/>
                <w:color w:val="365F91"/>
                <w:sz w:val="18"/>
                <w:szCs w:val="18"/>
                <w:lang w:val="el-GR"/>
              </w:rPr>
              <w:t xml:space="preserve">Ιαν – </w:t>
            </w:r>
            <w:r>
              <w:rPr>
                <w:rFonts w:ascii="Verdana" w:eastAsia="Times New Roman" w:hAnsi="Verdana" w:cs="Arial"/>
                <w:b/>
                <w:bCs/>
                <w:color w:val="365F91"/>
                <w:sz w:val="18"/>
                <w:szCs w:val="18"/>
                <w:lang w:val="el-GR"/>
              </w:rPr>
              <w:t xml:space="preserve">Δεκ </w:t>
            </w:r>
            <w:r w:rsidRPr="00FC45BF">
              <w:rPr>
                <w:rFonts w:ascii="Verdana" w:eastAsia="Times New Roman" w:hAnsi="Verdana" w:cs="Arial"/>
                <w:b/>
                <w:bCs/>
                <w:color w:val="365F91"/>
                <w:sz w:val="18"/>
                <w:szCs w:val="18"/>
                <w:lang w:val="el-GR"/>
              </w:rPr>
              <w:t>24/</w:t>
            </w:r>
            <w:r>
              <w:rPr>
                <w:rFonts w:ascii="Verdana" w:eastAsia="Times New Roman" w:hAnsi="Verdana" w:cs="Arial"/>
                <w:b/>
                <w:bCs/>
                <w:color w:val="365F91"/>
                <w:sz w:val="18"/>
                <w:szCs w:val="18"/>
                <w:lang w:val="el-GR"/>
              </w:rPr>
              <w:t xml:space="preserve"> </w:t>
            </w:r>
            <w:r w:rsidRPr="00FC45BF">
              <w:rPr>
                <w:rFonts w:ascii="Verdana" w:eastAsia="Times New Roman" w:hAnsi="Verdana" w:cs="Arial"/>
                <w:b/>
                <w:bCs/>
                <w:color w:val="365F91"/>
                <w:sz w:val="18"/>
                <w:szCs w:val="18"/>
                <w:lang w:val="el-GR"/>
              </w:rPr>
              <w:t xml:space="preserve">Ιαν – </w:t>
            </w:r>
            <w:r>
              <w:rPr>
                <w:rFonts w:ascii="Verdana" w:eastAsia="Times New Roman" w:hAnsi="Verdana" w:cs="Arial"/>
                <w:b/>
                <w:bCs/>
                <w:color w:val="365F91"/>
                <w:sz w:val="18"/>
                <w:szCs w:val="18"/>
                <w:lang w:val="el-GR"/>
              </w:rPr>
              <w:t>Δεκ</w:t>
            </w:r>
            <w:r w:rsidRPr="00FC45BF">
              <w:rPr>
                <w:rFonts w:ascii="Verdana" w:eastAsia="Times New Roman" w:hAnsi="Verdana" w:cs="Arial"/>
                <w:b/>
                <w:bCs/>
                <w:color w:val="365F91"/>
                <w:sz w:val="18"/>
                <w:szCs w:val="18"/>
                <w:lang w:val="el-GR"/>
              </w:rPr>
              <w:t xml:space="preserve"> 23</w:t>
            </w:r>
          </w:p>
        </w:tc>
      </w:tr>
      <w:tr w:rsidR="00317625" w14:paraId="6E325E2B" w14:textId="77777777" w:rsidTr="00317625">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tcBorders>
              <w:top w:val="single" w:sz="4" w:space="0" w:color="366092"/>
            </w:tcBorders>
            <w:vAlign w:val="center"/>
          </w:tcPr>
          <w:p w14:paraId="3D84B894" w14:textId="77777777" w:rsidR="00317625" w:rsidRPr="004D30FD" w:rsidRDefault="00317625" w:rsidP="00317625">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Τρόφιμα και μη Αλκοολούχα Ποτά</w:t>
            </w:r>
          </w:p>
        </w:tc>
        <w:tc>
          <w:tcPr>
            <w:tcW w:w="1602" w:type="dxa"/>
            <w:tcBorders>
              <w:top w:val="single" w:sz="4" w:space="0" w:color="366092"/>
            </w:tcBorders>
            <w:noWrap/>
            <w:tcMar>
              <w:left w:w="0" w:type="dxa"/>
              <w:right w:w="198" w:type="dxa"/>
            </w:tcMar>
            <w:vAlign w:val="center"/>
          </w:tcPr>
          <w:p w14:paraId="27A9D2F2" w14:textId="7E15FE31" w:rsidR="00317625"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4164CC">
              <w:rPr>
                <w:rFonts w:ascii="Verdana" w:hAnsi="Verdana" w:cs="Calibri"/>
                <w:color w:val="365F91"/>
                <w:sz w:val="18"/>
                <w:szCs w:val="18"/>
                <w:lang w:val="el-GR"/>
              </w:rPr>
              <w:t>127</w:t>
            </w:r>
            <w:r>
              <w:rPr>
                <w:rFonts w:ascii="Verdana" w:hAnsi="Verdana" w:cs="Calibri"/>
                <w:color w:val="365F91"/>
                <w:sz w:val="18"/>
                <w:szCs w:val="18"/>
                <w:lang w:val="el-GR"/>
              </w:rPr>
              <w:t>,</w:t>
            </w:r>
            <w:r w:rsidRPr="004164CC">
              <w:rPr>
                <w:rFonts w:ascii="Verdana" w:hAnsi="Verdana" w:cs="Calibri"/>
                <w:color w:val="365F91"/>
                <w:sz w:val="18"/>
                <w:szCs w:val="18"/>
                <w:lang w:val="el-GR"/>
              </w:rPr>
              <w:t>27</w:t>
            </w:r>
          </w:p>
        </w:tc>
        <w:tc>
          <w:tcPr>
            <w:tcW w:w="1528" w:type="dxa"/>
            <w:noWrap/>
            <w:tcMar>
              <w:left w:w="0" w:type="dxa"/>
              <w:right w:w="198" w:type="dxa"/>
            </w:tcMar>
            <w:vAlign w:val="center"/>
          </w:tcPr>
          <w:p w14:paraId="390E44D6" w14:textId="65DBF76A"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171AFE">
              <w:rPr>
                <w:rFonts w:ascii="Verdana" w:hAnsi="Verdana" w:cs="Calibri"/>
                <w:color w:val="365F91"/>
                <w:sz w:val="18"/>
                <w:szCs w:val="18"/>
                <w:lang w:val="el-GR"/>
              </w:rPr>
              <w:t xml:space="preserve"> 128</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53 </w:t>
            </w:r>
          </w:p>
        </w:tc>
        <w:tc>
          <w:tcPr>
            <w:tcW w:w="294" w:type="dxa"/>
            <w:noWrap/>
            <w:tcMar>
              <w:left w:w="0" w:type="dxa"/>
              <w:right w:w="28" w:type="dxa"/>
            </w:tcMar>
            <w:vAlign w:val="center"/>
          </w:tcPr>
          <w:p w14:paraId="7373A50C" w14:textId="77777777" w:rsidR="00317625" w:rsidRPr="00E6644A" w:rsidRDefault="00317625" w:rsidP="00317625">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top w:val="single" w:sz="4" w:space="0" w:color="366092"/>
            </w:tcBorders>
            <w:noWrap/>
            <w:tcMar>
              <w:left w:w="0" w:type="dxa"/>
              <w:right w:w="397" w:type="dxa"/>
            </w:tcMar>
            <w:vAlign w:val="center"/>
          </w:tcPr>
          <w:p w14:paraId="368FBF5C" w14:textId="65424C4C"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7</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3  </w:t>
            </w:r>
          </w:p>
        </w:tc>
        <w:tc>
          <w:tcPr>
            <w:tcW w:w="1369" w:type="dxa"/>
            <w:tcBorders>
              <w:top w:val="single" w:sz="4" w:space="0" w:color="366092"/>
            </w:tcBorders>
            <w:noWrap/>
            <w:tcMar>
              <w:left w:w="0" w:type="dxa"/>
              <w:right w:w="397" w:type="dxa"/>
            </w:tcMar>
            <w:vAlign w:val="center"/>
          </w:tcPr>
          <w:p w14:paraId="43AD0BF5" w14:textId="364B9E1C"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1</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0  </w:t>
            </w:r>
          </w:p>
        </w:tc>
        <w:tc>
          <w:tcPr>
            <w:tcW w:w="1505" w:type="dxa"/>
            <w:tcBorders>
              <w:top w:val="single" w:sz="4" w:space="0" w:color="366092"/>
            </w:tcBorders>
            <w:noWrap/>
            <w:tcMar>
              <w:left w:w="0" w:type="dxa"/>
              <w:right w:w="397" w:type="dxa"/>
            </w:tcMar>
            <w:vAlign w:val="center"/>
          </w:tcPr>
          <w:p w14:paraId="60B0802E" w14:textId="4DE95BD3"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3</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2  </w:t>
            </w:r>
          </w:p>
        </w:tc>
      </w:tr>
      <w:tr w:rsidR="00317625" w14:paraId="1B95C1A8" w14:textId="77777777" w:rsidTr="00317625">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1D538252" w14:textId="77777777" w:rsidR="00317625" w:rsidRPr="00AF7168" w:rsidRDefault="00317625" w:rsidP="00317625">
            <w:pPr>
              <w:rPr>
                <w:rFonts w:ascii="Verdana" w:hAnsi="Verdana" w:cs="Calibri"/>
                <w:b w:val="0"/>
                <w:bCs w:val="0"/>
                <w:color w:val="365F91"/>
                <w:sz w:val="18"/>
                <w:szCs w:val="18"/>
              </w:rPr>
            </w:pPr>
            <w:r w:rsidRPr="00AF7168">
              <w:rPr>
                <w:rFonts w:ascii="Verdana" w:hAnsi="Verdana" w:cs="Calibri"/>
                <w:b w:val="0"/>
                <w:bCs w:val="0"/>
                <w:color w:val="365F91"/>
                <w:sz w:val="18"/>
                <w:szCs w:val="18"/>
                <w:lang w:val="el-GR"/>
              </w:rPr>
              <w:t>Αλκοολούχα Ποτά</w:t>
            </w:r>
            <w:r w:rsidRPr="00AF7168">
              <w:rPr>
                <w:rFonts w:ascii="Verdana" w:hAnsi="Verdana" w:cs="Calibri"/>
                <w:b w:val="0"/>
                <w:bCs w:val="0"/>
                <w:color w:val="365F91"/>
                <w:sz w:val="18"/>
                <w:szCs w:val="18"/>
                <w:lang w:val="el-GR"/>
              </w:rPr>
              <w:br/>
              <w:t>και Καπνός</w:t>
            </w:r>
          </w:p>
        </w:tc>
        <w:tc>
          <w:tcPr>
            <w:tcW w:w="1602" w:type="dxa"/>
            <w:noWrap/>
            <w:tcMar>
              <w:left w:w="0" w:type="dxa"/>
              <w:right w:w="198" w:type="dxa"/>
            </w:tcMar>
            <w:vAlign w:val="center"/>
          </w:tcPr>
          <w:p w14:paraId="27BB5071" w14:textId="355991F4" w:rsidR="00317625" w:rsidRPr="00E95616"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4164CC">
              <w:rPr>
                <w:rFonts w:ascii="Verdana" w:hAnsi="Verdana" w:cs="Calibri"/>
                <w:color w:val="365F91"/>
                <w:sz w:val="18"/>
                <w:szCs w:val="18"/>
                <w:lang w:val="el-GR"/>
              </w:rPr>
              <w:t>102</w:t>
            </w:r>
            <w:r>
              <w:rPr>
                <w:rFonts w:ascii="Verdana" w:hAnsi="Verdana" w:cs="Calibri"/>
                <w:color w:val="365F91"/>
                <w:sz w:val="18"/>
                <w:szCs w:val="18"/>
                <w:lang w:val="el-GR"/>
              </w:rPr>
              <w:t>,</w:t>
            </w:r>
            <w:r w:rsidRPr="004164CC">
              <w:rPr>
                <w:rFonts w:ascii="Verdana" w:hAnsi="Verdana" w:cs="Calibri"/>
                <w:color w:val="365F91"/>
                <w:sz w:val="18"/>
                <w:szCs w:val="18"/>
                <w:lang w:val="el-GR"/>
              </w:rPr>
              <w:t>79</w:t>
            </w:r>
          </w:p>
        </w:tc>
        <w:tc>
          <w:tcPr>
            <w:tcW w:w="1528" w:type="dxa"/>
            <w:noWrap/>
            <w:tcMar>
              <w:left w:w="0" w:type="dxa"/>
              <w:right w:w="198" w:type="dxa"/>
            </w:tcMar>
            <w:vAlign w:val="center"/>
          </w:tcPr>
          <w:p w14:paraId="5809D1EC" w14:textId="6C90292D"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171AFE">
              <w:rPr>
                <w:rFonts w:ascii="Verdana" w:hAnsi="Verdana" w:cs="Calibri"/>
                <w:color w:val="365F91"/>
                <w:sz w:val="18"/>
                <w:szCs w:val="18"/>
                <w:lang w:val="el-GR"/>
              </w:rPr>
              <w:t xml:space="preserve"> 101</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86 </w:t>
            </w:r>
          </w:p>
        </w:tc>
        <w:tc>
          <w:tcPr>
            <w:tcW w:w="294" w:type="dxa"/>
            <w:noWrap/>
            <w:tcMar>
              <w:left w:w="0" w:type="dxa"/>
              <w:right w:w="28" w:type="dxa"/>
            </w:tcMar>
            <w:vAlign w:val="center"/>
          </w:tcPr>
          <w:p w14:paraId="0BC72088" w14:textId="77777777" w:rsidR="00317625" w:rsidRPr="00E6644A" w:rsidRDefault="00317625" w:rsidP="00317625">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7137B40E" w14:textId="216A5062"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1</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8  </w:t>
            </w:r>
          </w:p>
        </w:tc>
        <w:tc>
          <w:tcPr>
            <w:tcW w:w="1369" w:type="dxa"/>
            <w:noWrap/>
            <w:tcMar>
              <w:left w:w="0" w:type="dxa"/>
              <w:right w:w="397" w:type="dxa"/>
            </w:tcMar>
            <w:vAlign w:val="center"/>
          </w:tcPr>
          <w:p w14:paraId="01037533" w14:textId="71C9EF11"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9  </w:t>
            </w:r>
          </w:p>
        </w:tc>
        <w:tc>
          <w:tcPr>
            <w:tcW w:w="1505" w:type="dxa"/>
            <w:noWrap/>
            <w:tcMar>
              <w:left w:w="0" w:type="dxa"/>
              <w:right w:w="397" w:type="dxa"/>
            </w:tcMar>
            <w:vAlign w:val="center"/>
          </w:tcPr>
          <w:p w14:paraId="7CB3DF98" w14:textId="7CC81B23"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1</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8  </w:t>
            </w:r>
          </w:p>
        </w:tc>
      </w:tr>
      <w:tr w:rsidR="00317625" w14:paraId="2601AA75" w14:textId="77777777" w:rsidTr="00317625">
        <w:trPr>
          <w:trHeight w:val="340"/>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5B331D93" w14:textId="77777777" w:rsidR="00317625" w:rsidRPr="00AF7168" w:rsidRDefault="00317625" w:rsidP="00317625">
            <w:pPr>
              <w:rPr>
                <w:rFonts w:ascii="Verdana" w:hAnsi="Verdana" w:cs="Calibri"/>
                <w:b w:val="0"/>
                <w:bCs w:val="0"/>
                <w:color w:val="365F91"/>
                <w:sz w:val="18"/>
                <w:szCs w:val="18"/>
              </w:rPr>
            </w:pPr>
            <w:r w:rsidRPr="00AF7168">
              <w:rPr>
                <w:rFonts w:ascii="Verdana" w:hAnsi="Verdana" w:cs="Calibri"/>
                <w:b w:val="0"/>
                <w:bCs w:val="0"/>
                <w:color w:val="365F91"/>
                <w:sz w:val="18"/>
                <w:szCs w:val="18"/>
              </w:rPr>
              <w:t>Ένδυση και Υπόδηση</w:t>
            </w:r>
          </w:p>
        </w:tc>
        <w:tc>
          <w:tcPr>
            <w:tcW w:w="1602" w:type="dxa"/>
            <w:noWrap/>
            <w:tcMar>
              <w:left w:w="0" w:type="dxa"/>
              <w:right w:w="198" w:type="dxa"/>
            </w:tcMar>
            <w:vAlign w:val="center"/>
          </w:tcPr>
          <w:p w14:paraId="53027E8C" w14:textId="0498F693" w:rsidR="00317625"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4164CC">
              <w:rPr>
                <w:rFonts w:ascii="Verdana" w:hAnsi="Verdana" w:cs="Calibri"/>
                <w:color w:val="365F91"/>
                <w:sz w:val="18"/>
                <w:szCs w:val="18"/>
                <w:lang w:val="el-GR"/>
              </w:rPr>
              <w:t>105</w:t>
            </w:r>
            <w:r>
              <w:rPr>
                <w:rFonts w:ascii="Verdana" w:hAnsi="Verdana" w:cs="Calibri"/>
                <w:color w:val="365F91"/>
                <w:sz w:val="18"/>
                <w:szCs w:val="18"/>
                <w:lang w:val="el-GR"/>
              </w:rPr>
              <w:t>,</w:t>
            </w:r>
            <w:r w:rsidRPr="004164CC">
              <w:rPr>
                <w:rFonts w:ascii="Verdana" w:hAnsi="Verdana" w:cs="Calibri"/>
                <w:color w:val="365F91"/>
                <w:sz w:val="18"/>
                <w:szCs w:val="18"/>
                <w:lang w:val="el-GR"/>
              </w:rPr>
              <w:t>11</w:t>
            </w:r>
          </w:p>
        </w:tc>
        <w:tc>
          <w:tcPr>
            <w:tcW w:w="1528" w:type="dxa"/>
            <w:noWrap/>
            <w:tcMar>
              <w:left w:w="0" w:type="dxa"/>
              <w:right w:w="198" w:type="dxa"/>
            </w:tcMar>
            <w:vAlign w:val="center"/>
          </w:tcPr>
          <w:p w14:paraId="21BD9B26" w14:textId="7EF70ECA"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171AFE">
              <w:rPr>
                <w:rFonts w:ascii="Verdana" w:hAnsi="Verdana" w:cs="Calibri"/>
                <w:color w:val="365F91"/>
                <w:sz w:val="18"/>
                <w:szCs w:val="18"/>
                <w:lang w:val="el-GR"/>
              </w:rPr>
              <w:t xml:space="preserve"> 105</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33 </w:t>
            </w:r>
          </w:p>
        </w:tc>
        <w:tc>
          <w:tcPr>
            <w:tcW w:w="294" w:type="dxa"/>
            <w:noWrap/>
            <w:tcMar>
              <w:left w:w="0" w:type="dxa"/>
              <w:right w:w="28" w:type="dxa"/>
            </w:tcMar>
            <w:vAlign w:val="center"/>
          </w:tcPr>
          <w:p w14:paraId="01F5D5ED" w14:textId="77777777" w:rsidR="00317625" w:rsidRPr="00E6644A" w:rsidRDefault="00317625" w:rsidP="00317625">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4F1CA5C3" w14:textId="6BABCF35"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-2</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5  </w:t>
            </w:r>
          </w:p>
        </w:tc>
        <w:tc>
          <w:tcPr>
            <w:tcW w:w="1369" w:type="dxa"/>
            <w:noWrap/>
            <w:tcMar>
              <w:left w:w="0" w:type="dxa"/>
              <w:right w:w="397" w:type="dxa"/>
            </w:tcMar>
            <w:vAlign w:val="center"/>
          </w:tcPr>
          <w:p w14:paraId="190FFA51" w14:textId="5E24A640"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2  </w:t>
            </w:r>
          </w:p>
        </w:tc>
        <w:tc>
          <w:tcPr>
            <w:tcW w:w="1505" w:type="dxa"/>
            <w:noWrap/>
            <w:tcMar>
              <w:left w:w="0" w:type="dxa"/>
              <w:right w:w="397" w:type="dxa"/>
            </w:tcMar>
            <w:vAlign w:val="center"/>
          </w:tcPr>
          <w:p w14:paraId="1502C30E" w14:textId="1B9C3828"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6  </w:t>
            </w:r>
          </w:p>
        </w:tc>
      </w:tr>
      <w:tr w:rsidR="00317625" w14:paraId="221396AC" w14:textId="77777777" w:rsidTr="00317625">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28F51117" w14:textId="77777777" w:rsidR="00317625" w:rsidRPr="00AF7168" w:rsidRDefault="00317625" w:rsidP="00317625">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 xml:space="preserve">Στέγαση, Ύδρευση, </w:t>
            </w:r>
            <w:r w:rsidRPr="00AF7168">
              <w:rPr>
                <w:rFonts w:ascii="Verdana" w:hAnsi="Verdana" w:cs="Calibri"/>
                <w:b w:val="0"/>
                <w:bCs w:val="0"/>
                <w:color w:val="365F91"/>
                <w:sz w:val="18"/>
                <w:szCs w:val="18"/>
                <w:lang w:val="el-GR"/>
              </w:rPr>
              <w:br/>
              <w:t>Ηλεκτρισμός και Υγραέριο</w:t>
            </w:r>
          </w:p>
        </w:tc>
        <w:tc>
          <w:tcPr>
            <w:tcW w:w="1602" w:type="dxa"/>
            <w:noWrap/>
            <w:tcMar>
              <w:left w:w="0" w:type="dxa"/>
              <w:right w:w="198" w:type="dxa"/>
            </w:tcMar>
            <w:vAlign w:val="center"/>
          </w:tcPr>
          <w:p w14:paraId="5C9D56E0" w14:textId="32336082" w:rsidR="00317625"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4164CC">
              <w:rPr>
                <w:rFonts w:ascii="Verdana" w:hAnsi="Verdana" w:cs="Calibri"/>
                <w:color w:val="365F91"/>
                <w:sz w:val="18"/>
                <w:szCs w:val="18"/>
                <w:lang w:val="el-GR"/>
              </w:rPr>
              <w:t>145</w:t>
            </w:r>
            <w:r>
              <w:rPr>
                <w:rFonts w:ascii="Verdana" w:hAnsi="Verdana" w:cs="Calibri"/>
                <w:color w:val="365F91"/>
                <w:sz w:val="18"/>
                <w:szCs w:val="18"/>
                <w:lang w:val="el-GR"/>
              </w:rPr>
              <w:t>,</w:t>
            </w:r>
            <w:r w:rsidRPr="004164CC">
              <w:rPr>
                <w:rFonts w:ascii="Verdana" w:hAnsi="Verdana" w:cs="Calibri"/>
                <w:color w:val="365F91"/>
                <w:sz w:val="18"/>
                <w:szCs w:val="18"/>
                <w:lang w:val="el-GR"/>
              </w:rPr>
              <w:t>15</w:t>
            </w:r>
          </w:p>
        </w:tc>
        <w:tc>
          <w:tcPr>
            <w:tcW w:w="1528" w:type="dxa"/>
            <w:noWrap/>
            <w:tcMar>
              <w:left w:w="0" w:type="dxa"/>
              <w:right w:w="198" w:type="dxa"/>
            </w:tcMar>
            <w:vAlign w:val="center"/>
          </w:tcPr>
          <w:p w14:paraId="1B1AC012" w14:textId="05E9F65F"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171AFE">
              <w:rPr>
                <w:rFonts w:ascii="Verdana" w:hAnsi="Verdana" w:cs="Calibri"/>
                <w:color w:val="365F91"/>
                <w:sz w:val="18"/>
                <w:szCs w:val="18"/>
                <w:lang w:val="el-GR"/>
              </w:rPr>
              <w:t xml:space="preserve"> 145</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50 </w:t>
            </w:r>
          </w:p>
        </w:tc>
        <w:tc>
          <w:tcPr>
            <w:tcW w:w="294" w:type="dxa"/>
            <w:noWrap/>
            <w:tcMar>
              <w:left w:w="0" w:type="dxa"/>
              <w:right w:w="28" w:type="dxa"/>
            </w:tcMar>
            <w:vAlign w:val="center"/>
          </w:tcPr>
          <w:p w14:paraId="6C472D35" w14:textId="77777777" w:rsidR="00317625" w:rsidRPr="00E6644A" w:rsidRDefault="00317625" w:rsidP="00317625">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019E2CB7" w14:textId="5D35CF89"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1</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0  </w:t>
            </w:r>
          </w:p>
        </w:tc>
        <w:tc>
          <w:tcPr>
            <w:tcW w:w="1369" w:type="dxa"/>
            <w:noWrap/>
            <w:tcMar>
              <w:left w:w="0" w:type="dxa"/>
              <w:right w:w="397" w:type="dxa"/>
            </w:tcMar>
            <w:vAlign w:val="center"/>
          </w:tcPr>
          <w:p w14:paraId="2C260FAB" w14:textId="49578152"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2  </w:t>
            </w:r>
          </w:p>
        </w:tc>
        <w:tc>
          <w:tcPr>
            <w:tcW w:w="1505" w:type="dxa"/>
            <w:noWrap/>
            <w:tcMar>
              <w:left w:w="0" w:type="dxa"/>
              <w:right w:w="397" w:type="dxa"/>
            </w:tcMar>
            <w:vAlign w:val="center"/>
          </w:tcPr>
          <w:p w14:paraId="4B33ECE3" w14:textId="1D1975C9"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7  </w:t>
            </w:r>
          </w:p>
        </w:tc>
      </w:tr>
      <w:tr w:rsidR="00317625" w14:paraId="48E93CF3" w14:textId="77777777" w:rsidTr="00317625">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64880A51" w14:textId="77777777" w:rsidR="00317625" w:rsidRPr="00AF7168" w:rsidRDefault="00317625" w:rsidP="00317625">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Επίπλωση, Οικιακός Εξοπλισμός και Προϊόντα Καθαρισμού</w:t>
            </w:r>
          </w:p>
        </w:tc>
        <w:tc>
          <w:tcPr>
            <w:tcW w:w="1602" w:type="dxa"/>
            <w:noWrap/>
            <w:tcMar>
              <w:left w:w="0" w:type="dxa"/>
              <w:right w:w="198" w:type="dxa"/>
            </w:tcMar>
            <w:vAlign w:val="center"/>
          </w:tcPr>
          <w:p w14:paraId="5200AA5A" w14:textId="36419149" w:rsidR="00317625"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4164CC">
              <w:rPr>
                <w:rFonts w:ascii="Verdana" w:hAnsi="Verdana" w:cs="Calibri"/>
                <w:color w:val="365F91"/>
                <w:sz w:val="18"/>
                <w:szCs w:val="18"/>
                <w:lang w:val="el-GR"/>
              </w:rPr>
              <w:t>104</w:t>
            </w:r>
            <w:r>
              <w:rPr>
                <w:rFonts w:ascii="Verdana" w:hAnsi="Verdana" w:cs="Calibri"/>
                <w:color w:val="365F91"/>
                <w:sz w:val="18"/>
                <w:szCs w:val="18"/>
                <w:lang w:val="el-GR"/>
              </w:rPr>
              <w:t>,</w:t>
            </w:r>
            <w:r w:rsidRPr="004164CC">
              <w:rPr>
                <w:rFonts w:ascii="Verdana" w:hAnsi="Verdana" w:cs="Calibri"/>
                <w:color w:val="365F91"/>
                <w:sz w:val="18"/>
                <w:szCs w:val="18"/>
                <w:lang w:val="el-GR"/>
              </w:rPr>
              <w:t>17</w:t>
            </w:r>
          </w:p>
        </w:tc>
        <w:tc>
          <w:tcPr>
            <w:tcW w:w="1528" w:type="dxa"/>
            <w:noWrap/>
            <w:tcMar>
              <w:left w:w="0" w:type="dxa"/>
              <w:right w:w="198" w:type="dxa"/>
            </w:tcMar>
            <w:vAlign w:val="center"/>
          </w:tcPr>
          <w:p w14:paraId="7E94323B" w14:textId="44324111"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171AFE">
              <w:rPr>
                <w:rFonts w:ascii="Verdana" w:hAnsi="Verdana" w:cs="Calibri"/>
                <w:color w:val="365F91"/>
                <w:sz w:val="18"/>
                <w:szCs w:val="18"/>
                <w:lang w:val="el-GR"/>
              </w:rPr>
              <w:t xml:space="preserve"> 103</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53 </w:t>
            </w:r>
          </w:p>
        </w:tc>
        <w:tc>
          <w:tcPr>
            <w:tcW w:w="294" w:type="dxa"/>
            <w:noWrap/>
            <w:tcMar>
              <w:left w:w="0" w:type="dxa"/>
              <w:right w:w="28" w:type="dxa"/>
            </w:tcMar>
            <w:vAlign w:val="center"/>
          </w:tcPr>
          <w:p w14:paraId="16580516" w14:textId="77777777" w:rsidR="00317625" w:rsidRPr="00E6644A" w:rsidRDefault="00317625" w:rsidP="00317625">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49C7D603" w14:textId="5E6674AC"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2  </w:t>
            </w:r>
          </w:p>
        </w:tc>
        <w:tc>
          <w:tcPr>
            <w:tcW w:w="1369" w:type="dxa"/>
            <w:noWrap/>
            <w:tcMar>
              <w:left w:w="0" w:type="dxa"/>
              <w:right w:w="397" w:type="dxa"/>
            </w:tcMar>
            <w:vAlign w:val="center"/>
          </w:tcPr>
          <w:p w14:paraId="126A13B3" w14:textId="06A7FFC5"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6  </w:t>
            </w:r>
          </w:p>
        </w:tc>
        <w:tc>
          <w:tcPr>
            <w:tcW w:w="1505" w:type="dxa"/>
            <w:noWrap/>
            <w:tcMar>
              <w:left w:w="0" w:type="dxa"/>
              <w:right w:w="397" w:type="dxa"/>
            </w:tcMar>
            <w:vAlign w:val="center"/>
          </w:tcPr>
          <w:p w14:paraId="0A826F01" w14:textId="4083DDFA"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4  </w:t>
            </w:r>
          </w:p>
        </w:tc>
      </w:tr>
      <w:tr w:rsidR="00317625" w14:paraId="22ED156A" w14:textId="77777777" w:rsidTr="00317625">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36D409F9" w14:textId="77777777" w:rsidR="00317625" w:rsidRPr="00AF7168" w:rsidRDefault="00317625" w:rsidP="00317625">
            <w:pPr>
              <w:rPr>
                <w:rFonts w:ascii="Verdana" w:hAnsi="Verdana" w:cs="Calibri"/>
                <w:b w:val="0"/>
                <w:bCs w:val="0"/>
                <w:color w:val="365F91"/>
                <w:sz w:val="18"/>
                <w:szCs w:val="18"/>
              </w:rPr>
            </w:pPr>
            <w:r w:rsidRPr="00AF7168">
              <w:rPr>
                <w:rFonts w:ascii="Verdana" w:hAnsi="Verdana" w:cs="Calibri"/>
                <w:b w:val="0"/>
                <w:bCs w:val="0"/>
                <w:color w:val="365F91"/>
                <w:sz w:val="18"/>
                <w:szCs w:val="18"/>
              </w:rPr>
              <w:t>Υγεία</w:t>
            </w:r>
          </w:p>
        </w:tc>
        <w:tc>
          <w:tcPr>
            <w:tcW w:w="1602" w:type="dxa"/>
            <w:noWrap/>
            <w:tcMar>
              <w:left w:w="0" w:type="dxa"/>
              <w:right w:w="198" w:type="dxa"/>
            </w:tcMar>
            <w:vAlign w:val="center"/>
          </w:tcPr>
          <w:p w14:paraId="7F8F6B2C" w14:textId="2A965DDB" w:rsidR="00317625"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4164CC">
              <w:rPr>
                <w:rFonts w:ascii="Verdana" w:hAnsi="Verdana" w:cs="Calibri"/>
                <w:color w:val="365F91"/>
                <w:sz w:val="18"/>
                <w:szCs w:val="18"/>
                <w:lang w:val="el-GR"/>
              </w:rPr>
              <w:t>107</w:t>
            </w:r>
            <w:r>
              <w:rPr>
                <w:rFonts w:ascii="Verdana" w:hAnsi="Verdana" w:cs="Calibri"/>
                <w:color w:val="365F91"/>
                <w:sz w:val="18"/>
                <w:szCs w:val="18"/>
                <w:lang w:val="el-GR"/>
              </w:rPr>
              <w:t>,</w:t>
            </w:r>
            <w:r w:rsidRPr="004164CC">
              <w:rPr>
                <w:rFonts w:ascii="Verdana" w:hAnsi="Verdana" w:cs="Calibri"/>
                <w:color w:val="365F91"/>
                <w:sz w:val="18"/>
                <w:szCs w:val="18"/>
                <w:lang w:val="el-GR"/>
              </w:rPr>
              <w:t>02</w:t>
            </w:r>
          </w:p>
        </w:tc>
        <w:tc>
          <w:tcPr>
            <w:tcW w:w="1528" w:type="dxa"/>
            <w:noWrap/>
            <w:tcMar>
              <w:left w:w="0" w:type="dxa"/>
              <w:right w:w="198" w:type="dxa"/>
            </w:tcMar>
            <w:vAlign w:val="center"/>
          </w:tcPr>
          <w:p w14:paraId="3C0F6F65" w14:textId="5A85A87A"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171AFE">
              <w:rPr>
                <w:rFonts w:ascii="Verdana" w:hAnsi="Verdana" w:cs="Calibri"/>
                <w:color w:val="365F91"/>
                <w:sz w:val="18"/>
                <w:szCs w:val="18"/>
                <w:lang w:val="el-GR"/>
              </w:rPr>
              <w:t xml:space="preserve"> 107</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13 </w:t>
            </w:r>
          </w:p>
        </w:tc>
        <w:tc>
          <w:tcPr>
            <w:tcW w:w="294" w:type="dxa"/>
            <w:noWrap/>
            <w:tcMar>
              <w:left w:w="0" w:type="dxa"/>
              <w:right w:w="28" w:type="dxa"/>
            </w:tcMar>
            <w:vAlign w:val="center"/>
          </w:tcPr>
          <w:p w14:paraId="37314BA3" w14:textId="77777777" w:rsidR="00317625" w:rsidRPr="00E6644A" w:rsidRDefault="00317625" w:rsidP="00317625">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792F6CCD" w14:textId="2E94DF7B"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1</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3  </w:t>
            </w:r>
          </w:p>
        </w:tc>
        <w:tc>
          <w:tcPr>
            <w:tcW w:w="1369" w:type="dxa"/>
            <w:noWrap/>
            <w:tcMar>
              <w:left w:w="0" w:type="dxa"/>
              <w:right w:w="397" w:type="dxa"/>
            </w:tcMar>
            <w:vAlign w:val="center"/>
          </w:tcPr>
          <w:p w14:paraId="2B6DE458" w14:textId="71CEDDBC"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1  </w:t>
            </w:r>
          </w:p>
        </w:tc>
        <w:tc>
          <w:tcPr>
            <w:tcW w:w="1505" w:type="dxa"/>
            <w:noWrap/>
            <w:tcMar>
              <w:left w:w="0" w:type="dxa"/>
              <w:right w:w="397" w:type="dxa"/>
            </w:tcMar>
            <w:vAlign w:val="center"/>
          </w:tcPr>
          <w:p w14:paraId="31DDBECA" w14:textId="0C2ECCE4"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1</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1  </w:t>
            </w:r>
          </w:p>
        </w:tc>
      </w:tr>
      <w:tr w:rsidR="00317625" w14:paraId="573C0426" w14:textId="77777777" w:rsidTr="00317625">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7C5B48AA" w14:textId="77777777" w:rsidR="00317625" w:rsidRPr="00AF7168" w:rsidRDefault="00317625" w:rsidP="00317625">
            <w:pPr>
              <w:rPr>
                <w:rFonts w:ascii="Verdana" w:hAnsi="Verdana" w:cs="Calibri"/>
                <w:b w:val="0"/>
                <w:bCs w:val="0"/>
                <w:color w:val="365F91"/>
                <w:sz w:val="18"/>
                <w:szCs w:val="18"/>
              </w:rPr>
            </w:pPr>
            <w:r w:rsidRPr="00AF7168">
              <w:rPr>
                <w:rFonts w:ascii="Verdana" w:hAnsi="Verdana" w:cs="Calibri"/>
                <w:b w:val="0"/>
                <w:bCs w:val="0"/>
                <w:color w:val="365F91"/>
                <w:sz w:val="18"/>
                <w:szCs w:val="18"/>
              </w:rPr>
              <w:t>Μεταφορές</w:t>
            </w:r>
          </w:p>
        </w:tc>
        <w:tc>
          <w:tcPr>
            <w:tcW w:w="1602" w:type="dxa"/>
            <w:noWrap/>
            <w:tcMar>
              <w:left w:w="0" w:type="dxa"/>
              <w:right w:w="198" w:type="dxa"/>
            </w:tcMar>
            <w:vAlign w:val="center"/>
          </w:tcPr>
          <w:p w14:paraId="54FF94B2" w14:textId="148BA43C" w:rsidR="00317625"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4164CC">
              <w:rPr>
                <w:rFonts w:ascii="Verdana" w:hAnsi="Verdana" w:cs="Calibri"/>
                <w:color w:val="365F91"/>
                <w:sz w:val="18"/>
                <w:szCs w:val="18"/>
                <w:lang w:val="el-GR"/>
              </w:rPr>
              <w:t>111</w:t>
            </w:r>
            <w:r>
              <w:rPr>
                <w:rFonts w:ascii="Verdana" w:hAnsi="Verdana" w:cs="Calibri"/>
                <w:color w:val="365F91"/>
                <w:sz w:val="18"/>
                <w:szCs w:val="18"/>
                <w:lang w:val="el-GR"/>
              </w:rPr>
              <w:t>,</w:t>
            </w:r>
            <w:r w:rsidRPr="004164CC">
              <w:rPr>
                <w:rFonts w:ascii="Verdana" w:hAnsi="Verdana" w:cs="Calibri"/>
                <w:color w:val="365F91"/>
                <w:sz w:val="18"/>
                <w:szCs w:val="18"/>
                <w:lang w:val="el-GR"/>
              </w:rPr>
              <w:t>03</w:t>
            </w:r>
          </w:p>
        </w:tc>
        <w:tc>
          <w:tcPr>
            <w:tcW w:w="1528" w:type="dxa"/>
            <w:noWrap/>
            <w:tcMar>
              <w:left w:w="0" w:type="dxa"/>
              <w:right w:w="198" w:type="dxa"/>
            </w:tcMar>
            <w:vAlign w:val="center"/>
          </w:tcPr>
          <w:p w14:paraId="6BF86314" w14:textId="407EBEBE"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171AFE">
              <w:rPr>
                <w:rFonts w:ascii="Verdana" w:hAnsi="Verdana" w:cs="Calibri"/>
                <w:color w:val="365F91"/>
                <w:sz w:val="18"/>
                <w:szCs w:val="18"/>
                <w:lang w:val="el-GR"/>
              </w:rPr>
              <w:t xml:space="preserve"> 109</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17 </w:t>
            </w:r>
          </w:p>
        </w:tc>
        <w:tc>
          <w:tcPr>
            <w:tcW w:w="294" w:type="dxa"/>
            <w:noWrap/>
            <w:tcMar>
              <w:left w:w="0" w:type="dxa"/>
              <w:right w:w="28" w:type="dxa"/>
            </w:tcMar>
            <w:vAlign w:val="center"/>
          </w:tcPr>
          <w:p w14:paraId="32FDDE1E" w14:textId="77777777" w:rsidR="00317625" w:rsidRPr="00E6644A" w:rsidRDefault="00317625" w:rsidP="00317625">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503EF572" w14:textId="129BEE2B"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8  </w:t>
            </w:r>
          </w:p>
        </w:tc>
        <w:tc>
          <w:tcPr>
            <w:tcW w:w="1369" w:type="dxa"/>
            <w:noWrap/>
            <w:tcMar>
              <w:left w:w="0" w:type="dxa"/>
              <w:right w:w="397" w:type="dxa"/>
            </w:tcMar>
            <w:vAlign w:val="center"/>
          </w:tcPr>
          <w:p w14:paraId="1A5AFA5F" w14:textId="167B9630"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-1</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7  </w:t>
            </w:r>
          </w:p>
        </w:tc>
        <w:tc>
          <w:tcPr>
            <w:tcW w:w="1505" w:type="dxa"/>
            <w:noWrap/>
            <w:tcMar>
              <w:left w:w="0" w:type="dxa"/>
              <w:right w:w="397" w:type="dxa"/>
            </w:tcMar>
            <w:vAlign w:val="center"/>
          </w:tcPr>
          <w:p w14:paraId="2F43CDD4" w14:textId="34421119"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3  </w:t>
            </w:r>
          </w:p>
        </w:tc>
      </w:tr>
      <w:tr w:rsidR="00317625" w14:paraId="4E4A4FB2" w14:textId="77777777" w:rsidTr="00317625">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3478003F" w14:textId="77777777" w:rsidR="00317625" w:rsidRPr="00AF7168" w:rsidRDefault="00317625" w:rsidP="00317625">
            <w:pPr>
              <w:rPr>
                <w:rFonts w:ascii="Verdana" w:hAnsi="Verdana" w:cs="Calibri"/>
                <w:b w:val="0"/>
                <w:bCs w:val="0"/>
                <w:color w:val="365F91"/>
                <w:sz w:val="18"/>
                <w:szCs w:val="18"/>
              </w:rPr>
            </w:pPr>
            <w:r w:rsidRPr="00AF7168">
              <w:rPr>
                <w:rFonts w:ascii="Verdana" w:hAnsi="Verdana" w:cs="Calibri"/>
                <w:b w:val="0"/>
                <w:bCs w:val="0"/>
                <w:color w:val="365F91"/>
                <w:sz w:val="18"/>
                <w:szCs w:val="18"/>
              </w:rPr>
              <w:t>Επικοινωνίες</w:t>
            </w:r>
          </w:p>
        </w:tc>
        <w:tc>
          <w:tcPr>
            <w:tcW w:w="1602" w:type="dxa"/>
            <w:noWrap/>
            <w:tcMar>
              <w:left w:w="0" w:type="dxa"/>
              <w:right w:w="198" w:type="dxa"/>
            </w:tcMar>
            <w:vAlign w:val="center"/>
          </w:tcPr>
          <w:p w14:paraId="7AAE2D93" w14:textId="40C556CA" w:rsidR="00317625"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4164CC">
              <w:rPr>
                <w:rFonts w:ascii="Verdana" w:hAnsi="Verdana" w:cs="Calibri"/>
                <w:color w:val="365F91"/>
                <w:sz w:val="18"/>
                <w:szCs w:val="18"/>
                <w:lang w:val="el-GR"/>
              </w:rPr>
              <w:t>89</w:t>
            </w:r>
            <w:r>
              <w:rPr>
                <w:rFonts w:ascii="Verdana" w:hAnsi="Verdana" w:cs="Calibri"/>
                <w:color w:val="365F91"/>
                <w:sz w:val="18"/>
                <w:szCs w:val="18"/>
                <w:lang w:val="el-GR"/>
              </w:rPr>
              <w:t>,</w:t>
            </w:r>
            <w:r w:rsidRPr="004164CC">
              <w:rPr>
                <w:rFonts w:ascii="Verdana" w:hAnsi="Verdana" w:cs="Calibri"/>
                <w:color w:val="365F91"/>
                <w:sz w:val="18"/>
                <w:szCs w:val="18"/>
                <w:lang w:val="el-GR"/>
              </w:rPr>
              <w:t>43</w:t>
            </w:r>
          </w:p>
        </w:tc>
        <w:tc>
          <w:tcPr>
            <w:tcW w:w="1528" w:type="dxa"/>
            <w:noWrap/>
            <w:tcMar>
              <w:left w:w="0" w:type="dxa"/>
              <w:right w:w="198" w:type="dxa"/>
            </w:tcMar>
            <w:vAlign w:val="center"/>
          </w:tcPr>
          <w:p w14:paraId="0717658E" w14:textId="61EC3AA8"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171AFE">
              <w:rPr>
                <w:rFonts w:ascii="Verdana" w:hAnsi="Verdana" w:cs="Calibri"/>
                <w:color w:val="365F91"/>
                <w:sz w:val="18"/>
                <w:szCs w:val="18"/>
                <w:lang w:val="el-GR"/>
              </w:rPr>
              <w:t xml:space="preserve"> 89</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23 </w:t>
            </w:r>
          </w:p>
        </w:tc>
        <w:tc>
          <w:tcPr>
            <w:tcW w:w="294" w:type="dxa"/>
            <w:noWrap/>
            <w:tcMar>
              <w:left w:w="0" w:type="dxa"/>
              <w:right w:w="28" w:type="dxa"/>
            </w:tcMar>
            <w:vAlign w:val="center"/>
          </w:tcPr>
          <w:p w14:paraId="279FA386" w14:textId="77777777" w:rsidR="00317625" w:rsidRPr="00E6644A" w:rsidRDefault="00317625" w:rsidP="00317625">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3251023B" w14:textId="30BFE00D"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-1</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3  </w:t>
            </w:r>
          </w:p>
        </w:tc>
        <w:tc>
          <w:tcPr>
            <w:tcW w:w="1369" w:type="dxa"/>
            <w:noWrap/>
            <w:tcMar>
              <w:left w:w="0" w:type="dxa"/>
              <w:right w:w="397" w:type="dxa"/>
            </w:tcMar>
            <w:vAlign w:val="center"/>
          </w:tcPr>
          <w:p w14:paraId="68CF4DE6" w14:textId="2C9B727C"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2  </w:t>
            </w:r>
          </w:p>
        </w:tc>
        <w:tc>
          <w:tcPr>
            <w:tcW w:w="1505" w:type="dxa"/>
            <w:noWrap/>
            <w:tcMar>
              <w:left w:w="0" w:type="dxa"/>
              <w:right w:w="397" w:type="dxa"/>
            </w:tcMar>
            <w:vAlign w:val="center"/>
          </w:tcPr>
          <w:p w14:paraId="73EC60CB" w14:textId="72F41E5F"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3  </w:t>
            </w:r>
          </w:p>
        </w:tc>
      </w:tr>
      <w:tr w:rsidR="00317625" w14:paraId="3168295C" w14:textId="77777777" w:rsidTr="00317625">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13E03490" w14:textId="77777777" w:rsidR="00317625" w:rsidRPr="00AF7168" w:rsidRDefault="00317625" w:rsidP="00317625">
            <w:pPr>
              <w:rPr>
                <w:rFonts w:ascii="Verdana" w:hAnsi="Verdana" w:cs="Calibri"/>
                <w:b w:val="0"/>
                <w:bCs w:val="0"/>
                <w:color w:val="365F91"/>
                <w:sz w:val="18"/>
                <w:szCs w:val="18"/>
              </w:rPr>
            </w:pPr>
            <w:bookmarkStart w:id="2" w:name="_Hlk174960759"/>
            <w:r w:rsidRPr="00AF7168">
              <w:rPr>
                <w:rFonts w:ascii="Verdana" w:hAnsi="Verdana" w:cs="Calibri"/>
                <w:b w:val="0"/>
                <w:bCs w:val="0"/>
                <w:color w:val="365F91"/>
                <w:sz w:val="18"/>
                <w:szCs w:val="18"/>
              </w:rPr>
              <w:t>Αναψυχή και Πολιτισμός</w:t>
            </w:r>
            <w:bookmarkEnd w:id="2"/>
          </w:p>
        </w:tc>
        <w:tc>
          <w:tcPr>
            <w:tcW w:w="1602" w:type="dxa"/>
            <w:noWrap/>
            <w:tcMar>
              <w:left w:w="0" w:type="dxa"/>
              <w:right w:w="198" w:type="dxa"/>
            </w:tcMar>
            <w:vAlign w:val="center"/>
          </w:tcPr>
          <w:p w14:paraId="1B4D2413" w14:textId="173DD492" w:rsidR="00317625"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4164CC">
              <w:rPr>
                <w:rFonts w:ascii="Verdana" w:hAnsi="Verdana" w:cs="Calibri"/>
                <w:color w:val="365F91"/>
                <w:sz w:val="18"/>
                <w:szCs w:val="18"/>
                <w:lang w:val="el-GR"/>
              </w:rPr>
              <w:t>122</w:t>
            </w:r>
            <w:r>
              <w:rPr>
                <w:rFonts w:ascii="Verdana" w:hAnsi="Verdana" w:cs="Calibri"/>
                <w:color w:val="365F91"/>
                <w:sz w:val="18"/>
                <w:szCs w:val="18"/>
                <w:lang w:val="el-GR"/>
              </w:rPr>
              <w:t>,</w:t>
            </w:r>
            <w:r w:rsidRPr="004164CC">
              <w:rPr>
                <w:rFonts w:ascii="Verdana" w:hAnsi="Verdana" w:cs="Calibri"/>
                <w:color w:val="365F91"/>
                <w:sz w:val="18"/>
                <w:szCs w:val="18"/>
                <w:lang w:val="el-GR"/>
              </w:rPr>
              <w:t>95</w:t>
            </w:r>
          </w:p>
        </w:tc>
        <w:tc>
          <w:tcPr>
            <w:tcW w:w="1528" w:type="dxa"/>
            <w:noWrap/>
            <w:tcMar>
              <w:left w:w="0" w:type="dxa"/>
              <w:right w:w="198" w:type="dxa"/>
            </w:tcMar>
            <w:vAlign w:val="center"/>
          </w:tcPr>
          <w:p w14:paraId="796DA35F" w14:textId="5D19F467"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171AFE">
              <w:rPr>
                <w:rFonts w:ascii="Verdana" w:hAnsi="Verdana" w:cs="Calibri"/>
                <w:color w:val="365F91"/>
                <w:sz w:val="18"/>
                <w:szCs w:val="18"/>
                <w:lang w:val="el-GR"/>
              </w:rPr>
              <w:t xml:space="preserve"> 122</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81 </w:t>
            </w:r>
          </w:p>
        </w:tc>
        <w:tc>
          <w:tcPr>
            <w:tcW w:w="294" w:type="dxa"/>
            <w:noWrap/>
            <w:tcMar>
              <w:left w:w="0" w:type="dxa"/>
              <w:right w:w="28" w:type="dxa"/>
            </w:tcMar>
            <w:vAlign w:val="center"/>
          </w:tcPr>
          <w:p w14:paraId="7E2175BC" w14:textId="77777777" w:rsidR="00317625" w:rsidRPr="00E6644A" w:rsidRDefault="00317625" w:rsidP="00317625">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4AEA1CF" w14:textId="74FCF70D"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7</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5  </w:t>
            </w:r>
          </w:p>
        </w:tc>
        <w:tc>
          <w:tcPr>
            <w:tcW w:w="1369" w:type="dxa"/>
            <w:noWrap/>
            <w:tcMar>
              <w:left w:w="0" w:type="dxa"/>
              <w:right w:w="397" w:type="dxa"/>
            </w:tcMar>
            <w:vAlign w:val="center"/>
          </w:tcPr>
          <w:p w14:paraId="1A826D6D" w14:textId="0D5810B6"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1  </w:t>
            </w:r>
          </w:p>
        </w:tc>
        <w:tc>
          <w:tcPr>
            <w:tcW w:w="1505" w:type="dxa"/>
            <w:noWrap/>
            <w:tcMar>
              <w:left w:w="0" w:type="dxa"/>
              <w:right w:w="397" w:type="dxa"/>
            </w:tcMar>
            <w:vAlign w:val="center"/>
          </w:tcPr>
          <w:p w14:paraId="18AC9F4E" w14:textId="59061630"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5</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0  </w:t>
            </w:r>
          </w:p>
        </w:tc>
      </w:tr>
      <w:tr w:rsidR="00317625" w14:paraId="4DA8FE93" w14:textId="77777777" w:rsidTr="00317625">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040786D7" w14:textId="77777777" w:rsidR="00317625" w:rsidRPr="00AF7168" w:rsidRDefault="00317625" w:rsidP="00317625">
            <w:pPr>
              <w:rPr>
                <w:rFonts w:ascii="Verdana" w:hAnsi="Verdana" w:cs="Calibri"/>
                <w:b w:val="0"/>
                <w:bCs w:val="0"/>
                <w:color w:val="365F91"/>
                <w:sz w:val="18"/>
                <w:szCs w:val="18"/>
              </w:rPr>
            </w:pPr>
            <w:bookmarkStart w:id="3" w:name="_Hlk179962408"/>
            <w:r w:rsidRPr="00AF7168">
              <w:rPr>
                <w:rFonts w:ascii="Verdana" w:hAnsi="Verdana" w:cs="Calibri"/>
                <w:b w:val="0"/>
                <w:bCs w:val="0"/>
                <w:color w:val="365F91"/>
                <w:sz w:val="18"/>
                <w:szCs w:val="18"/>
              </w:rPr>
              <w:t>Εκπαίδευση</w:t>
            </w:r>
            <w:bookmarkEnd w:id="3"/>
          </w:p>
        </w:tc>
        <w:tc>
          <w:tcPr>
            <w:tcW w:w="1602" w:type="dxa"/>
            <w:noWrap/>
            <w:tcMar>
              <w:left w:w="0" w:type="dxa"/>
              <w:right w:w="198" w:type="dxa"/>
            </w:tcMar>
            <w:vAlign w:val="center"/>
          </w:tcPr>
          <w:p w14:paraId="2FCCA678" w14:textId="29DA5013" w:rsidR="00317625"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4164CC">
              <w:rPr>
                <w:rFonts w:ascii="Verdana" w:hAnsi="Verdana" w:cs="Calibri"/>
                <w:color w:val="365F91"/>
                <w:sz w:val="18"/>
                <w:szCs w:val="18"/>
                <w:lang w:val="el-GR"/>
              </w:rPr>
              <w:t>114</w:t>
            </w:r>
            <w:r>
              <w:rPr>
                <w:rFonts w:ascii="Verdana" w:hAnsi="Verdana" w:cs="Calibri"/>
                <w:color w:val="365F91"/>
                <w:sz w:val="18"/>
                <w:szCs w:val="18"/>
                <w:lang w:val="el-GR"/>
              </w:rPr>
              <w:t>,</w:t>
            </w:r>
            <w:r w:rsidRPr="004164CC">
              <w:rPr>
                <w:rFonts w:ascii="Verdana" w:hAnsi="Verdana" w:cs="Calibri"/>
                <w:color w:val="365F91"/>
                <w:sz w:val="18"/>
                <w:szCs w:val="18"/>
                <w:lang w:val="el-GR"/>
              </w:rPr>
              <w:t>68</w:t>
            </w:r>
          </w:p>
        </w:tc>
        <w:tc>
          <w:tcPr>
            <w:tcW w:w="1528" w:type="dxa"/>
            <w:noWrap/>
            <w:tcMar>
              <w:left w:w="0" w:type="dxa"/>
              <w:right w:w="198" w:type="dxa"/>
            </w:tcMar>
            <w:vAlign w:val="center"/>
          </w:tcPr>
          <w:p w14:paraId="591B248E" w14:textId="391519D2"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171AFE">
              <w:rPr>
                <w:rFonts w:ascii="Verdana" w:hAnsi="Verdana" w:cs="Calibri"/>
                <w:color w:val="365F91"/>
                <w:sz w:val="18"/>
                <w:szCs w:val="18"/>
                <w:lang w:val="el-GR"/>
              </w:rPr>
              <w:t xml:space="preserve"> 114</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68 </w:t>
            </w:r>
          </w:p>
        </w:tc>
        <w:tc>
          <w:tcPr>
            <w:tcW w:w="294" w:type="dxa"/>
            <w:noWrap/>
            <w:tcMar>
              <w:left w:w="0" w:type="dxa"/>
              <w:right w:w="28" w:type="dxa"/>
            </w:tcMar>
            <w:vAlign w:val="center"/>
          </w:tcPr>
          <w:p w14:paraId="0156490F" w14:textId="77777777" w:rsidR="00317625" w:rsidRPr="00E6644A" w:rsidRDefault="00317625" w:rsidP="00317625">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63D8662" w14:textId="17357301"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3</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7  </w:t>
            </w:r>
          </w:p>
        </w:tc>
        <w:tc>
          <w:tcPr>
            <w:tcW w:w="1369" w:type="dxa"/>
            <w:noWrap/>
            <w:tcMar>
              <w:left w:w="0" w:type="dxa"/>
              <w:right w:w="397" w:type="dxa"/>
            </w:tcMar>
            <w:vAlign w:val="center"/>
          </w:tcPr>
          <w:p w14:paraId="615957CF" w14:textId="53EEDE23"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0  </w:t>
            </w:r>
          </w:p>
        </w:tc>
        <w:tc>
          <w:tcPr>
            <w:tcW w:w="1505" w:type="dxa"/>
            <w:noWrap/>
            <w:tcMar>
              <w:left w:w="0" w:type="dxa"/>
              <w:right w:w="397" w:type="dxa"/>
            </w:tcMar>
            <w:vAlign w:val="center"/>
          </w:tcPr>
          <w:p w14:paraId="3B8A8F52" w14:textId="048E8A0D"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2</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7  </w:t>
            </w:r>
          </w:p>
        </w:tc>
      </w:tr>
      <w:tr w:rsidR="00317625" w14:paraId="2F3D1C78" w14:textId="77777777" w:rsidTr="00317625">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673B39AC" w14:textId="77777777" w:rsidR="00317625" w:rsidRPr="00AF7168" w:rsidRDefault="00317625" w:rsidP="00317625">
            <w:pPr>
              <w:rPr>
                <w:rFonts w:ascii="Verdana" w:hAnsi="Verdana" w:cs="Calibri"/>
                <w:b w:val="0"/>
                <w:bCs w:val="0"/>
                <w:color w:val="365F91"/>
                <w:sz w:val="18"/>
                <w:szCs w:val="18"/>
              </w:rPr>
            </w:pPr>
            <w:r w:rsidRPr="00AF7168">
              <w:rPr>
                <w:rFonts w:ascii="Verdana" w:hAnsi="Verdana" w:cs="Calibri"/>
                <w:b w:val="0"/>
                <w:bCs w:val="0"/>
                <w:color w:val="365F91"/>
                <w:sz w:val="18"/>
                <w:szCs w:val="18"/>
              </w:rPr>
              <w:t>Εστιατόρια και Ξενοδοχεία</w:t>
            </w:r>
          </w:p>
        </w:tc>
        <w:tc>
          <w:tcPr>
            <w:tcW w:w="1602" w:type="dxa"/>
            <w:noWrap/>
            <w:tcMar>
              <w:left w:w="0" w:type="dxa"/>
              <w:right w:w="198" w:type="dxa"/>
            </w:tcMar>
            <w:vAlign w:val="center"/>
          </w:tcPr>
          <w:p w14:paraId="66206761" w14:textId="7C07189C" w:rsidR="00317625"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4164CC">
              <w:rPr>
                <w:rFonts w:ascii="Verdana" w:hAnsi="Verdana" w:cs="Calibri"/>
                <w:color w:val="365F91"/>
                <w:sz w:val="18"/>
                <w:szCs w:val="18"/>
                <w:lang w:val="el-GR"/>
              </w:rPr>
              <w:t>125</w:t>
            </w:r>
            <w:r>
              <w:rPr>
                <w:rFonts w:ascii="Verdana" w:hAnsi="Verdana" w:cs="Calibri"/>
                <w:color w:val="365F91"/>
                <w:sz w:val="18"/>
                <w:szCs w:val="18"/>
                <w:lang w:val="el-GR"/>
              </w:rPr>
              <w:t>,</w:t>
            </w:r>
            <w:r w:rsidRPr="004164CC">
              <w:rPr>
                <w:rFonts w:ascii="Verdana" w:hAnsi="Verdana" w:cs="Calibri"/>
                <w:color w:val="365F91"/>
                <w:sz w:val="18"/>
                <w:szCs w:val="18"/>
                <w:lang w:val="el-GR"/>
              </w:rPr>
              <w:t>30</w:t>
            </w:r>
          </w:p>
        </w:tc>
        <w:tc>
          <w:tcPr>
            <w:tcW w:w="1528" w:type="dxa"/>
            <w:noWrap/>
            <w:tcMar>
              <w:left w:w="0" w:type="dxa"/>
              <w:right w:w="198" w:type="dxa"/>
            </w:tcMar>
            <w:vAlign w:val="center"/>
          </w:tcPr>
          <w:p w14:paraId="042AE3A9" w14:textId="63F945A0"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171AFE">
              <w:rPr>
                <w:rFonts w:ascii="Verdana" w:hAnsi="Verdana" w:cs="Calibri"/>
                <w:color w:val="365F91"/>
                <w:sz w:val="18"/>
                <w:szCs w:val="18"/>
                <w:lang w:val="el-GR"/>
              </w:rPr>
              <w:t xml:space="preserve"> 124</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31 </w:t>
            </w:r>
          </w:p>
        </w:tc>
        <w:tc>
          <w:tcPr>
            <w:tcW w:w="294" w:type="dxa"/>
            <w:noWrap/>
            <w:tcMar>
              <w:left w:w="0" w:type="dxa"/>
              <w:right w:w="28" w:type="dxa"/>
            </w:tcMar>
            <w:vAlign w:val="center"/>
          </w:tcPr>
          <w:p w14:paraId="7C6C81B0" w14:textId="77777777" w:rsidR="00317625" w:rsidRPr="00E6644A" w:rsidRDefault="00317625" w:rsidP="00317625">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9B83F16" w14:textId="73DF831E"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5</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4  </w:t>
            </w:r>
          </w:p>
        </w:tc>
        <w:tc>
          <w:tcPr>
            <w:tcW w:w="1369" w:type="dxa"/>
            <w:noWrap/>
            <w:tcMar>
              <w:left w:w="0" w:type="dxa"/>
              <w:right w:w="397" w:type="dxa"/>
            </w:tcMar>
            <w:vAlign w:val="center"/>
          </w:tcPr>
          <w:p w14:paraId="5C591C76" w14:textId="459A2842"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8  </w:t>
            </w:r>
          </w:p>
        </w:tc>
        <w:tc>
          <w:tcPr>
            <w:tcW w:w="1505" w:type="dxa"/>
            <w:noWrap/>
            <w:tcMar>
              <w:left w:w="0" w:type="dxa"/>
              <w:right w:w="397" w:type="dxa"/>
            </w:tcMar>
            <w:vAlign w:val="center"/>
          </w:tcPr>
          <w:p w14:paraId="61A5C32A" w14:textId="2283B847"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5</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5  </w:t>
            </w:r>
          </w:p>
        </w:tc>
      </w:tr>
      <w:tr w:rsidR="00317625" w14:paraId="63DB8116" w14:textId="77777777" w:rsidTr="00317625">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tcBorders>
              <w:bottom w:val="single" w:sz="4" w:space="0" w:color="366092"/>
            </w:tcBorders>
            <w:vAlign w:val="center"/>
          </w:tcPr>
          <w:p w14:paraId="5679E4E2" w14:textId="77777777" w:rsidR="00317625" w:rsidRPr="00AF7168" w:rsidRDefault="00317625" w:rsidP="00317625">
            <w:pPr>
              <w:rPr>
                <w:rFonts w:ascii="Verdana" w:hAnsi="Verdana" w:cs="Calibri"/>
                <w:b w:val="0"/>
                <w:bCs w:val="0"/>
                <w:color w:val="365F91"/>
                <w:sz w:val="18"/>
                <w:szCs w:val="18"/>
              </w:rPr>
            </w:pPr>
            <w:r w:rsidRPr="00AF7168">
              <w:rPr>
                <w:rFonts w:ascii="Verdana" w:hAnsi="Verdana" w:cs="Calibri"/>
                <w:b w:val="0"/>
                <w:bCs w:val="0"/>
                <w:color w:val="365F91"/>
                <w:sz w:val="18"/>
                <w:szCs w:val="18"/>
              </w:rPr>
              <w:t>Άλλα Αγαθά και Υπηρεσίες</w:t>
            </w:r>
          </w:p>
        </w:tc>
        <w:tc>
          <w:tcPr>
            <w:tcW w:w="1602" w:type="dxa"/>
            <w:tcBorders>
              <w:bottom w:val="single" w:sz="4" w:space="0" w:color="366092"/>
            </w:tcBorders>
            <w:noWrap/>
            <w:tcMar>
              <w:left w:w="0" w:type="dxa"/>
              <w:right w:w="198" w:type="dxa"/>
            </w:tcMar>
            <w:vAlign w:val="center"/>
          </w:tcPr>
          <w:p w14:paraId="1D4EA246" w14:textId="613D3A29" w:rsidR="00317625"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4164CC">
              <w:rPr>
                <w:rFonts w:ascii="Verdana" w:hAnsi="Verdana" w:cs="Calibri"/>
                <w:color w:val="365F91"/>
                <w:sz w:val="18"/>
                <w:szCs w:val="18"/>
                <w:lang w:val="el-GR"/>
              </w:rPr>
              <w:t>112</w:t>
            </w:r>
            <w:r>
              <w:rPr>
                <w:rFonts w:ascii="Verdana" w:hAnsi="Verdana" w:cs="Calibri"/>
                <w:color w:val="365F91"/>
                <w:sz w:val="18"/>
                <w:szCs w:val="18"/>
                <w:lang w:val="el-GR"/>
              </w:rPr>
              <w:t>,</w:t>
            </w:r>
            <w:r w:rsidRPr="004164CC">
              <w:rPr>
                <w:rFonts w:ascii="Verdana" w:hAnsi="Verdana" w:cs="Calibri"/>
                <w:color w:val="365F91"/>
                <w:sz w:val="18"/>
                <w:szCs w:val="18"/>
                <w:lang w:val="el-GR"/>
              </w:rPr>
              <w:t>23</w:t>
            </w:r>
          </w:p>
        </w:tc>
        <w:tc>
          <w:tcPr>
            <w:tcW w:w="1528" w:type="dxa"/>
            <w:tcBorders>
              <w:bottom w:val="single" w:sz="4" w:space="0" w:color="366092"/>
            </w:tcBorders>
            <w:noWrap/>
            <w:tcMar>
              <w:left w:w="0" w:type="dxa"/>
              <w:right w:w="198" w:type="dxa"/>
            </w:tcMar>
            <w:vAlign w:val="center"/>
          </w:tcPr>
          <w:p w14:paraId="6CB407AE" w14:textId="0C687D17"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171AFE">
              <w:rPr>
                <w:rFonts w:ascii="Verdana" w:hAnsi="Verdana" w:cs="Calibri"/>
                <w:color w:val="365F91"/>
                <w:sz w:val="18"/>
                <w:szCs w:val="18"/>
                <w:lang w:val="el-GR"/>
              </w:rPr>
              <w:t xml:space="preserve"> 111</w:t>
            </w:r>
            <w:r>
              <w:rPr>
                <w:rFonts w:ascii="Verdana" w:hAnsi="Verdana" w:cs="Calibri"/>
                <w:color w:val="365F91"/>
                <w:sz w:val="18"/>
                <w:szCs w:val="18"/>
                <w:lang w:val="el-GR"/>
              </w:rPr>
              <w:t>,</w:t>
            </w:r>
            <w:r w:rsidRPr="00171AFE">
              <w:rPr>
                <w:rFonts w:ascii="Verdana" w:hAnsi="Verdana" w:cs="Calibri"/>
                <w:color w:val="365F91"/>
                <w:sz w:val="18"/>
                <w:szCs w:val="18"/>
                <w:lang w:val="el-GR"/>
              </w:rPr>
              <w:t xml:space="preserve">78 </w:t>
            </w:r>
          </w:p>
        </w:tc>
        <w:tc>
          <w:tcPr>
            <w:tcW w:w="294" w:type="dxa"/>
            <w:tcBorders>
              <w:bottom w:val="single" w:sz="4" w:space="0" w:color="366092"/>
            </w:tcBorders>
            <w:noWrap/>
            <w:tcMar>
              <w:left w:w="0" w:type="dxa"/>
              <w:right w:w="28" w:type="dxa"/>
            </w:tcMar>
            <w:vAlign w:val="center"/>
          </w:tcPr>
          <w:p w14:paraId="51979D83" w14:textId="77777777" w:rsidR="00317625" w:rsidRPr="00E6644A" w:rsidRDefault="00317625" w:rsidP="00317625">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bottom w:val="single" w:sz="4" w:space="0" w:color="366092"/>
            </w:tcBorders>
            <w:noWrap/>
            <w:tcMar>
              <w:left w:w="0" w:type="dxa"/>
              <w:right w:w="397" w:type="dxa"/>
            </w:tcMar>
            <w:vAlign w:val="center"/>
          </w:tcPr>
          <w:p w14:paraId="40829BCF" w14:textId="7DE65000"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1</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4  </w:t>
            </w:r>
          </w:p>
        </w:tc>
        <w:tc>
          <w:tcPr>
            <w:tcW w:w="1369" w:type="dxa"/>
            <w:tcBorders>
              <w:bottom w:val="single" w:sz="4" w:space="0" w:color="366092"/>
            </w:tcBorders>
            <w:noWrap/>
            <w:tcMar>
              <w:left w:w="0" w:type="dxa"/>
              <w:right w:w="397" w:type="dxa"/>
            </w:tcMar>
            <w:vAlign w:val="center"/>
          </w:tcPr>
          <w:p w14:paraId="6DA01948" w14:textId="6EFD54B5"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-0</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4  </w:t>
            </w:r>
          </w:p>
        </w:tc>
        <w:tc>
          <w:tcPr>
            <w:tcW w:w="1505" w:type="dxa"/>
            <w:tcBorders>
              <w:bottom w:val="single" w:sz="4" w:space="0" w:color="366092"/>
            </w:tcBorders>
            <w:noWrap/>
            <w:tcMar>
              <w:left w:w="0" w:type="dxa"/>
              <w:right w:w="397" w:type="dxa"/>
            </w:tcMar>
            <w:vAlign w:val="center"/>
          </w:tcPr>
          <w:p w14:paraId="31F6CB21" w14:textId="43E26FFE" w:rsidR="00317625" w:rsidRPr="00803D1C" w:rsidRDefault="00317625" w:rsidP="00317625">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317625">
              <w:rPr>
                <w:rFonts w:ascii="Verdana" w:hAnsi="Verdana" w:cs="Calibri"/>
                <w:color w:val="365F91"/>
                <w:sz w:val="18"/>
                <w:szCs w:val="18"/>
                <w:lang w:val="el-GR"/>
              </w:rPr>
              <w:t>2</w:t>
            </w:r>
            <w:r>
              <w:rPr>
                <w:rFonts w:ascii="Verdana" w:hAnsi="Verdana" w:cs="Calibri"/>
                <w:color w:val="365F91"/>
                <w:sz w:val="18"/>
                <w:szCs w:val="18"/>
                <w:lang w:val="el-GR"/>
              </w:rPr>
              <w:t>,</w:t>
            </w:r>
            <w:r w:rsidRPr="00317625">
              <w:rPr>
                <w:rFonts w:ascii="Verdana" w:hAnsi="Verdana" w:cs="Calibri"/>
                <w:color w:val="365F91"/>
                <w:sz w:val="18"/>
                <w:szCs w:val="18"/>
                <w:lang w:val="el-GR"/>
              </w:rPr>
              <w:t xml:space="preserve">4  </w:t>
            </w:r>
          </w:p>
        </w:tc>
      </w:tr>
      <w:tr w:rsidR="00317625" w14:paraId="57C62558" w14:textId="77777777" w:rsidTr="00317625">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tcBorders>
              <w:top w:val="single" w:sz="4" w:space="0" w:color="366092"/>
              <w:bottom w:val="single" w:sz="4" w:space="0" w:color="366092"/>
            </w:tcBorders>
            <w:tcMar>
              <w:right w:w="0" w:type="dxa"/>
            </w:tcMar>
            <w:vAlign w:val="center"/>
          </w:tcPr>
          <w:p w14:paraId="76F4097F" w14:textId="1BBDC653" w:rsidR="00317625" w:rsidRDefault="00317625" w:rsidP="00317625">
            <w:pPr>
              <w:rPr>
                <w:rFonts w:ascii="Verdana" w:hAnsi="Verdana" w:cs="Calibri"/>
                <w:color w:val="365F91"/>
                <w:sz w:val="18"/>
                <w:szCs w:val="18"/>
              </w:rPr>
            </w:pPr>
            <w:r>
              <w:rPr>
                <w:rFonts w:ascii="Verdana" w:hAnsi="Verdana" w:cs="Calibri"/>
                <w:color w:val="365F91"/>
                <w:sz w:val="18"/>
                <w:szCs w:val="18"/>
                <w:lang w:val="el-GR"/>
              </w:rPr>
              <w:t xml:space="preserve">Γενικός ΕνΔΤΚ </w:t>
            </w:r>
          </w:p>
        </w:tc>
        <w:tc>
          <w:tcPr>
            <w:tcW w:w="1602" w:type="dxa"/>
            <w:tcBorders>
              <w:top w:val="single" w:sz="4" w:space="0" w:color="366092"/>
              <w:bottom w:val="single" w:sz="4" w:space="0" w:color="366092"/>
            </w:tcBorders>
            <w:noWrap/>
            <w:tcMar>
              <w:left w:w="0" w:type="dxa"/>
              <w:right w:w="198" w:type="dxa"/>
            </w:tcMar>
            <w:vAlign w:val="center"/>
          </w:tcPr>
          <w:p w14:paraId="0B1D4B8B" w14:textId="155FF134" w:rsidR="00317625" w:rsidRDefault="00317625" w:rsidP="00317625">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4164CC">
              <w:rPr>
                <w:rFonts w:ascii="Verdana" w:hAnsi="Verdana" w:cs="Calibri"/>
                <w:b/>
                <w:bCs/>
                <w:color w:val="365F91"/>
                <w:sz w:val="18"/>
                <w:szCs w:val="18"/>
                <w:lang w:val="el-GR"/>
              </w:rPr>
              <w:t>118</w:t>
            </w:r>
            <w:r>
              <w:rPr>
                <w:rFonts w:ascii="Verdana" w:hAnsi="Verdana" w:cs="Calibri"/>
                <w:b/>
                <w:bCs/>
                <w:color w:val="365F91"/>
                <w:sz w:val="18"/>
                <w:szCs w:val="18"/>
                <w:lang w:val="el-GR"/>
              </w:rPr>
              <w:t>,</w:t>
            </w:r>
            <w:r w:rsidRPr="004164CC">
              <w:rPr>
                <w:rFonts w:ascii="Verdana" w:hAnsi="Verdana" w:cs="Calibri"/>
                <w:b/>
                <w:bCs/>
                <w:color w:val="365F91"/>
                <w:sz w:val="18"/>
                <w:szCs w:val="18"/>
                <w:lang w:val="el-GR"/>
              </w:rPr>
              <w:t>02</w:t>
            </w:r>
          </w:p>
        </w:tc>
        <w:tc>
          <w:tcPr>
            <w:tcW w:w="1528" w:type="dxa"/>
            <w:tcBorders>
              <w:top w:val="single" w:sz="4" w:space="0" w:color="366092"/>
              <w:bottom w:val="single" w:sz="4" w:space="0" w:color="366092"/>
            </w:tcBorders>
            <w:noWrap/>
            <w:tcMar>
              <w:left w:w="0" w:type="dxa"/>
              <w:right w:w="198" w:type="dxa"/>
            </w:tcMar>
            <w:vAlign w:val="center"/>
          </w:tcPr>
          <w:p w14:paraId="7DE7D774" w14:textId="3758D61F" w:rsidR="00317625" w:rsidRPr="00317625" w:rsidRDefault="00317625" w:rsidP="00317625">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sidRPr="00317625">
              <w:rPr>
                <w:rFonts w:ascii="Verdana" w:hAnsi="Verdana" w:cs="Calibri"/>
                <w:b/>
                <w:bCs/>
                <w:color w:val="365F91"/>
                <w:sz w:val="18"/>
                <w:szCs w:val="18"/>
                <w:lang w:val="el-GR"/>
              </w:rPr>
              <w:t>117,65</w:t>
            </w:r>
          </w:p>
        </w:tc>
        <w:tc>
          <w:tcPr>
            <w:tcW w:w="294" w:type="dxa"/>
            <w:tcBorders>
              <w:top w:val="single" w:sz="4" w:space="0" w:color="366092"/>
              <w:bottom w:val="single" w:sz="4" w:space="0" w:color="366092"/>
            </w:tcBorders>
            <w:noWrap/>
            <w:tcMar>
              <w:left w:w="0" w:type="dxa"/>
              <w:right w:w="28" w:type="dxa"/>
            </w:tcMar>
            <w:vAlign w:val="center"/>
          </w:tcPr>
          <w:p w14:paraId="424173AD" w14:textId="77777777" w:rsidR="00317625" w:rsidRPr="00317625" w:rsidRDefault="00317625" w:rsidP="00317625">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p>
        </w:tc>
        <w:tc>
          <w:tcPr>
            <w:tcW w:w="1259" w:type="dxa"/>
            <w:tcBorders>
              <w:top w:val="single" w:sz="4" w:space="0" w:color="366092"/>
              <w:bottom w:val="single" w:sz="4" w:space="0" w:color="366092"/>
            </w:tcBorders>
            <w:noWrap/>
            <w:tcMar>
              <w:left w:w="0" w:type="dxa"/>
              <w:right w:w="397" w:type="dxa"/>
            </w:tcMar>
            <w:vAlign w:val="center"/>
          </w:tcPr>
          <w:p w14:paraId="63FF9B79" w14:textId="53C381D2" w:rsidR="00317625" w:rsidRPr="00317625" w:rsidRDefault="00317625" w:rsidP="00317625">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sidRPr="00317625">
              <w:rPr>
                <w:rFonts w:ascii="Verdana" w:hAnsi="Verdana" w:cs="Calibri"/>
                <w:b/>
                <w:bCs/>
                <w:color w:val="365F91"/>
                <w:sz w:val="18"/>
                <w:szCs w:val="18"/>
                <w:lang w:val="el-GR"/>
              </w:rPr>
              <w:t>3</w:t>
            </w:r>
            <w:r>
              <w:rPr>
                <w:rFonts w:ascii="Verdana" w:hAnsi="Verdana" w:cs="Calibri"/>
                <w:b/>
                <w:bCs/>
                <w:color w:val="365F91"/>
                <w:sz w:val="18"/>
                <w:szCs w:val="18"/>
                <w:lang w:val="el-GR"/>
              </w:rPr>
              <w:t>,</w:t>
            </w:r>
            <w:r w:rsidRPr="00317625">
              <w:rPr>
                <w:rFonts w:ascii="Verdana" w:hAnsi="Verdana" w:cs="Calibri"/>
                <w:b/>
                <w:bCs/>
                <w:color w:val="365F91"/>
                <w:sz w:val="18"/>
                <w:szCs w:val="18"/>
                <w:lang w:val="el-GR"/>
              </w:rPr>
              <w:t xml:space="preserve">1  </w:t>
            </w:r>
          </w:p>
        </w:tc>
        <w:tc>
          <w:tcPr>
            <w:tcW w:w="1369" w:type="dxa"/>
            <w:tcBorders>
              <w:top w:val="single" w:sz="4" w:space="0" w:color="366092"/>
              <w:bottom w:val="single" w:sz="4" w:space="0" w:color="366092"/>
            </w:tcBorders>
            <w:noWrap/>
            <w:tcMar>
              <w:left w:w="0" w:type="dxa"/>
              <w:right w:w="397" w:type="dxa"/>
            </w:tcMar>
            <w:vAlign w:val="center"/>
          </w:tcPr>
          <w:p w14:paraId="5FFC52D0" w14:textId="68CFAE40" w:rsidR="00317625" w:rsidRPr="00317625" w:rsidRDefault="00317625" w:rsidP="00317625">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sidRPr="00317625">
              <w:rPr>
                <w:rFonts w:ascii="Verdana" w:hAnsi="Verdana" w:cs="Calibri"/>
                <w:b/>
                <w:bCs/>
                <w:color w:val="365F91"/>
                <w:sz w:val="18"/>
                <w:szCs w:val="18"/>
                <w:lang w:val="el-GR"/>
              </w:rPr>
              <w:t>-0</w:t>
            </w:r>
            <w:r>
              <w:rPr>
                <w:rFonts w:ascii="Verdana" w:hAnsi="Verdana" w:cs="Calibri"/>
                <w:b/>
                <w:bCs/>
                <w:color w:val="365F91"/>
                <w:sz w:val="18"/>
                <w:szCs w:val="18"/>
                <w:lang w:val="el-GR"/>
              </w:rPr>
              <w:t>,</w:t>
            </w:r>
            <w:r w:rsidRPr="00317625">
              <w:rPr>
                <w:rFonts w:ascii="Verdana" w:hAnsi="Verdana" w:cs="Calibri"/>
                <w:b/>
                <w:bCs/>
                <w:color w:val="365F91"/>
                <w:sz w:val="18"/>
                <w:szCs w:val="18"/>
                <w:lang w:val="el-GR"/>
              </w:rPr>
              <w:t xml:space="preserve">3  </w:t>
            </w:r>
          </w:p>
        </w:tc>
        <w:tc>
          <w:tcPr>
            <w:tcW w:w="1505" w:type="dxa"/>
            <w:tcBorders>
              <w:top w:val="single" w:sz="4" w:space="0" w:color="366092"/>
              <w:bottom w:val="single" w:sz="4" w:space="0" w:color="366092"/>
            </w:tcBorders>
            <w:noWrap/>
            <w:tcMar>
              <w:left w:w="0" w:type="dxa"/>
              <w:right w:w="397" w:type="dxa"/>
            </w:tcMar>
            <w:vAlign w:val="center"/>
          </w:tcPr>
          <w:p w14:paraId="6E01D7F1" w14:textId="3D4B4C6D" w:rsidR="00317625" w:rsidRPr="00317625" w:rsidRDefault="00317625" w:rsidP="00317625">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sidRPr="00317625">
              <w:rPr>
                <w:rFonts w:ascii="Verdana" w:hAnsi="Verdana" w:cs="Calibri"/>
                <w:b/>
                <w:bCs/>
                <w:color w:val="365F91"/>
                <w:sz w:val="18"/>
                <w:szCs w:val="18"/>
                <w:lang w:val="el-GR"/>
              </w:rPr>
              <w:t>2</w:t>
            </w:r>
            <w:r>
              <w:rPr>
                <w:rFonts w:ascii="Verdana" w:hAnsi="Verdana" w:cs="Calibri"/>
                <w:b/>
                <w:bCs/>
                <w:color w:val="365F91"/>
                <w:sz w:val="18"/>
                <w:szCs w:val="18"/>
                <w:lang w:val="el-GR"/>
              </w:rPr>
              <w:t>,</w:t>
            </w:r>
            <w:r w:rsidRPr="00317625">
              <w:rPr>
                <w:rFonts w:ascii="Verdana" w:hAnsi="Verdana" w:cs="Calibri"/>
                <w:b/>
                <w:bCs/>
                <w:color w:val="365F91"/>
                <w:sz w:val="18"/>
                <w:szCs w:val="18"/>
                <w:lang w:val="el-GR"/>
              </w:rPr>
              <w:t xml:space="preserve">3  </w:t>
            </w:r>
          </w:p>
        </w:tc>
      </w:tr>
    </w:tbl>
    <w:p w14:paraId="1D537875" w14:textId="77777777" w:rsidR="00A92E04" w:rsidRPr="00C07136" w:rsidRDefault="00A92E04" w:rsidP="00C07136">
      <w:pPr>
        <w:tabs>
          <w:tab w:val="left" w:pos="1080"/>
          <w:tab w:val="left" w:pos="6840"/>
        </w:tabs>
        <w:jc w:val="both"/>
        <w:rPr>
          <w:rFonts w:ascii="Verdana" w:eastAsia="Malgun Gothic" w:hAnsi="Verdana" w:cs="Arial"/>
          <w:sz w:val="18"/>
          <w:szCs w:val="18"/>
          <w:lang w:val="el-GR"/>
        </w:rPr>
      </w:pPr>
    </w:p>
    <w:p w14:paraId="36983F33" w14:textId="77777777" w:rsidR="004D7614" w:rsidRPr="00C07136" w:rsidRDefault="004D7614" w:rsidP="00C07136">
      <w:pPr>
        <w:tabs>
          <w:tab w:val="left" w:pos="1080"/>
          <w:tab w:val="left" w:pos="6840"/>
        </w:tabs>
        <w:jc w:val="both"/>
        <w:rPr>
          <w:rFonts w:ascii="Verdana" w:eastAsia="Malgun Gothic" w:hAnsi="Verdana" w:cs="Arial"/>
          <w:sz w:val="18"/>
          <w:szCs w:val="18"/>
          <w:lang w:val="el-GR"/>
        </w:rPr>
      </w:pPr>
    </w:p>
    <w:p w14:paraId="5897FFD8" w14:textId="77777777" w:rsidR="005425F7" w:rsidRPr="00C07136" w:rsidRDefault="005425F7" w:rsidP="00C07136">
      <w:pPr>
        <w:tabs>
          <w:tab w:val="left" w:pos="1080"/>
          <w:tab w:val="left" w:pos="6840"/>
        </w:tabs>
        <w:jc w:val="both"/>
        <w:rPr>
          <w:rFonts w:ascii="Verdana" w:eastAsia="Malgun Gothic" w:hAnsi="Verdana" w:cs="Arial"/>
          <w:sz w:val="18"/>
          <w:szCs w:val="18"/>
          <w:lang w:val="el-GR"/>
        </w:rPr>
      </w:pPr>
    </w:p>
    <w:p w14:paraId="5A3ED84F" w14:textId="77777777" w:rsidR="007F5FBB" w:rsidRPr="00C07136" w:rsidRDefault="007F5FBB" w:rsidP="00C07136">
      <w:pPr>
        <w:tabs>
          <w:tab w:val="left" w:pos="1080"/>
          <w:tab w:val="left" w:pos="6840"/>
        </w:tabs>
        <w:jc w:val="both"/>
        <w:rPr>
          <w:rFonts w:ascii="Verdana" w:eastAsia="Malgun Gothic" w:hAnsi="Verdana" w:cs="Arial"/>
          <w:sz w:val="18"/>
          <w:szCs w:val="18"/>
          <w:lang w:val="el-GR"/>
        </w:rPr>
      </w:pPr>
    </w:p>
    <w:tbl>
      <w:tblPr>
        <w:tblW w:w="9498" w:type="dxa"/>
        <w:jc w:val="center"/>
        <w:tblLayout w:type="fixed"/>
        <w:tblLook w:val="04A0" w:firstRow="1" w:lastRow="0" w:firstColumn="1" w:lastColumn="0" w:noHBand="0" w:noVBand="1"/>
      </w:tblPr>
      <w:tblGrid>
        <w:gridCol w:w="3115"/>
        <w:gridCol w:w="1989"/>
        <w:gridCol w:w="2234"/>
        <w:gridCol w:w="2160"/>
      </w:tblGrid>
      <w:tr w:rsidR="00AF5CC6" w:rsidRPr="004F677C" w14:paraId="09088547" w14:textId="77777777" w:rsidTr="00AF7168">
        <w:trPr>
          <w:trHeight w:val="284"/>
          <w:jc w:val="center"/>
        </w:trPr>
        <w:tc>
          <w:tcPr>
            <w:tcW w:w="5000" w:type="pct"/>
            <w:gridSpan w:val="4"/>
            <w:tcBorders>
              <w:left w:val="nil"/>
              <w:bottom w:val="single" w:sz="4" w:space="0" w:color="366092"/>
            </w:tcBorders>
            <w:shd w:val="clear" w:color="FFFFFF" w:fill="FFFFFF"/>
            <w:vAlign w:val="center"/>
            <w:hideMark/>
          </w:tcPr>
          <w:p w14:paraId="37FD3C8B" w14:textId="77777777" w:rsidR="00AF5CC6" w:rsidRPr="001C5C8C" w:rsidRDefault="00AF5CC6" w:rsidP="00FA5F4A">
            <w:pPr>
              <w:ind w:right="410"/>
              <w:rPr>
                <w:rFonts w:ascii="Verdana" w:eastAsia="Times New Roman" w:hAnsi="Verdana" w:cs="Arial"/>
                <w:b/>
                <w:bCs/>
                <w:color w:val="365F91"/>
                <w:sz w:val="18"/>
                <w:szCs w:val="18"/>
                <w:lang w:val="el-GR"/>
              </w:rPr>
            </w:pPr>
            <w:r w:rsidRPr="001C5C8C">
              <w:rPr>
                <w:rFonts w:ascii="Verdana" w:eastAsia="Times New Roman" w:hAnsi="Verdana" w:cs="Arial"/>
                <w:b/>
                <w:bCs/>
                <w:color w:val="365F91"/>
                <w:sz w:val="18"/>
                <w:szCs w:val="18"/>
                <w:lang w:val="el-GR"/>
              </w:rPr>
              <w:t>Πίνακας 2</w:t>
            </w:r>
          </w:p>
        </w:tc>
      </w:tr>
      <w:tr w:rsidR="00AF5CC6" w:rsidRPr="004F677C" w14:paraId="36F39CC8" w14:textId="77777777" w:rsidTr="00E95616">
        <w:trPr>
          <w:trHeight w:val="295"/>
          <w:jc w:val="center"/>
        </w:trPr>
        <w:tc>
          <w:tcPr>
            <w:tcW w:w="1640" w:type="pct"/>
            <w:vMerge w:val="restart"/>
            <w:tcBorders>
              <w:top w:val="single" w:sz="4" w:space="0" w:color="366092"/>
              <w:left w:val="nil"/>
              <w:bottom w:val="single" w:sz="4" w:space="0" w:color="366092"/>
            </w:tcBorders>
            <w:shd w:val="clear" w:color="FFFFFF" w:fill="FFFFFF"/>
            <w:vAlign w:val="center"/>
            <w:hideMark/>
          </w:tcPr>
          <w:p w14:paraId="26EDB409" w14:textId="77777777" w:rsidR="00AF5CC6" w:rsidRPr="004F677C" w:rsidRDefault="00AF5CC6" w:rsidP="00FA5F4A">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Οικονομικές Κατηγορίες</w:t>
            </w:r>
          </w:p>
        </w:tc>
        <w:tc>
          <w:tcPr>
            <w:tcW w:w="1047" w:type="pct"/>
            <w:vMerge w:val="restart"/>
            <w:tcBorders>
              <w:top w:val="single" w:sz="4" w:space="0" w:color="366092"/>
              <w:bottom w:val="single" w:sz="4" w:space="0" w:color="366092"/>
            </w:tcBorders>
            <w:shd w:val="clear" w:color="FFFFFF" w:fill="FFFFFF"/>
            <w:vAlign w:val="center"/>
            <w:hideMark/>
          </w:tcPr>
          <w:p w14:paraId="6F662B9E" w14:textId="77777777" w:rsidR="00813A56" w:rsidRDefault="00AF5CC6" w:rsidP="00813A56">
            <w:pPr>
              <w:ind w:leftChars="-4" w:left="-2" w:hangingChars="4" w:hanging="7"/>
              <w:jc w:val="center"/>
              <w:rPr>
                <w:rFonts w:ascii="Verdana" w:eastAsia="Times New Roman" w:hAnsi="Verdana" w:cs="Arial"/>
                <w:b/>
                <w:bCs/>
                <w:color w:val="366092"/>
                <w:sz w:val="18"/>
                <w:szCs w:val="18"/>
              </w:rPr>
            </w:pPr>
            <w:r w:rsidRPr="004F677C">
              <w:rPr>
                <w:rFonts w:ascii="Verdana" w:eastAsia="Times New Roman" w:hAnsi="Verdana" w:cs="Arial"/>
                <w:b/>
                <w:bCs/>
                <w:color w:val="366092"/>
                <w:sz w:val="18"/>
                <w:szCs w:val="18"/>
                <w:lang w:val="el-GR"/>
              </w:rPr>
              <w:t>Συντελεστές</w:t>
            </w:r>
          </w:p>
          <w:p w14:paraId="08207C70" w14:textId="75D1097E" w:rsidR="00AF5CC6" w:rsidRPr="004F677C" w:rsidRDefault="00AF5CC6" w:rsidP="00813A56">
            <w:pPr>
              <w:ind w:leftChars="-4" w:left="-2" w:hangingChars="4" w:hanging="7"/>
              <w:jc w:val="center"/>
              <w:rPr>
                <w:rFonts w:ascii="Verdana" w:eastAsia="Times New Roman" w:hAnsi="Verdana" w:cs="Arial"/>
                <w:b/>
                <w:bCs/>
                <w:color w:val="366092"/>
                <w:sz w:val="18"/>
                <w:szCs w:val="18"/>
                <w:lang w:val="el-GR"/>
              </w:rPr>
            </w:pPr>
            <w:r w:rsidRPr="005D11D5">
              <w:rPr>
                <w:rFonts w:ascii="Verdana" w:hAnsi="Verdana"/>
                <w:b/>
                <w:bCs/>
                <w:color w:val="365F91"/>
                <w:sz w:val="18"/>
                <w:szCs w:val="18"/>
                <w:lang w:val="el-GR"/>
              </w:rPr>
              <w:t>Στάθμισης</w:t>
            </w:r>
          </w:p>
        </w:tc>
        <w:tc>
          <w:tcPr>
            <w:tcW w:w="2313" w:type="pct"/>
            <w:gridSpan w:val="2"/>
            <w:tcBorders>
              <w:top w:val="single" w:sz="4" w:space="0" w:color="366092"/>
              <w:bottom w:val="single" w:sz="4" w:space="0" w:color="366092"/>
              <w:right w:val="nil"/>
            </w:tcBorders>
            <w:shd w:val="clear" w:color="FFFFFF" w:fill="FFFFFF"/>
            <w:vAlign w:val="center"/>
            <w:hideMark/>
          </w:tcPr>
          <w:p w14:paraId="61528CE2" w14:textId="77777777" w:rsidR="00AF5CC6" w:rsidRPr="004F677C" w:rsidRDefault="00AF5CC6" w:rsidP="00FA5F4A">
            <w:pPr>
              <w:jc w:val="center"/>
              <w:rPr>
                <w:rFonts w:ascii="Verdana" w:eastAsia="Times New Roman" w:hAnsi="Verdana" w:cs="Arial"/>
                <w:b/>
                <w:bCs/>
                <w:color w:val="366092"/>
                <w:sz w:val="18"/>
                <w:szCs w:val="18"/>
              </w:rPr>
            </w:pPr>
            <w:r w:rsidRPr="004F677C">
              <w:rPr>
                <w:rFonts w:ascii="Verdana" w:eastAsia="Times New Roman" w:hAnsi="Verdana" w:cs="Arial"/>
                <w:b/>
                <w:bCs/>
                <w:color w:val="366092"/>
                <w:sz w:val="18"/>
                <w:szCs w:val="18"/>
              </w:rPr>
              <w:t>Μ</w:t>
            </w:r>
            <w:r w:rsidRPr="004F677C">
              <w:rPr>
                <w:rFonts w:ascii="Verdana" w:eastAsia="Times New Roman" w:hAnsi="Verdana" w:cs="Arial"/>
                <w:b/>
                <w:bCs/>
                <w:color w:val="366092"/>
                <w:sz w:val="18"/>
                <w:szCs w:val="18"/>
                <w:lang w:val="el-GR"/>
              </w:rPr>
              <w:t>εταβολές</w:t>
            </w:r>
            <w:r w:rsidRPr="004F677C">
              <w:rPr>
                <w:rFonts w:ascii="Verdana" w:eastAsia="Times New Roman" w:hAnsi="Verdana" w:cs="Arial"/>
                <w:b/>
                <w:bCs/>
                <w:color w:val="366092"/>
                <w:sz w:val="18"/>
                <w:szCs w:val="18"/>
              </w:rPr>
              <w:t xml:space="preserve"> (%)</w:t>
            </w:r>
          </w:p>
        </w:tc>
      </w:tr>
      <w:tr w:rsidR="007B536B" w:rsidRPr="004F677C" w14:paraId="1F92CDFF" w14:textId="77777777" w:rsidTr="00813A56">
        <w:trPr>
          <w:trHeight w:val="506"/>
          <w:jc w:val="center"/>
        </w:trPr>
        <w:tc>
          <w:tcPr>
            <w:tcW w:w="1640" w:type="pct"/>
            <w:vMerge/>
            <w:tcBorders>
              <w:top w:val="single" w:sz="4" w:space="0" w:color="366092"/>
              <w:left w:val="nil"/>
              <w:bottom w:val="single" w:sz="4" w:space="0" w:color="366092"/>
            </w:tcBorders>
            <w:vAlign w:val="center"/>
            <w:hideMark/>
          </w:tcPr>
          <w:p w14:paraId="3AD286F6" w14:textId="77777777" w:rsidR="007B536B" w:rsidRPr="004F677C" w:rsidRDefault="007B536B" w:rsidP="007B536B">
            <w:pPr>
              <w:rPr>
                <w:rFonts w:ascii="Verdana" w:eastAsia="Times New Roman" w:hAnsi="Verdana" w:cs="Arial"/>
                <w:b/>
                <w:bCs/>
                <w:color w:val="366092"/>
                <w:sz w:val="18"/>
                <w:szCs w:val="18"/>
              </w:rPr>
            </w:pPr>
          </w:p>
        </w:tc>
        <w:tc>
          <w:tcPr>
            <w:tcW w:w="1047" w:type="pct"/>
            <w:vMerge/>
            <w:tcBorders>
              <w:top w:val="single" w:sz="4" w:space="0" w:color="366092"/>
              <w:bottom w:val="single" w:sz="4" w:space="0" w:color="366092"/>
            </w:tcBorders>
            <w:vAlign w:val="center"/>
            <w:hideMark/>
          </w:tcPr>
          <w:p w14:paraId="39907132" w14:textId="77777777" w:rsidR="007B536B" w:rsidRPr="004F677C" w:rsidRDefault="007B536B" w:rsidP="007B536B">
            <w:pPr>
              <w:jc w:val="center"/>
              <w:rPr>
                <w:rFonts w:ascii="Verdana" w:eastAsia="Times New Roman" w:hAnsi="Verdana" w:cs="Arial"/>
                <w:b/>
                <w:bCs/>
                <w:color w:val="366092"/>
                <w:sz w:val="18"/>
                <w:szCs w:val="18"/>
              </w:rPr>
            </w:pPr>
          </w:p>
        </w:tc>
        <w:tc>
          <w:tcPr>
            <w:tcW w:w="1176" w:type="pct"/>
            <w:tcBorders>
              <w:top w:val="single" w:sz="4" w:space="0" w:color="366092"/>
              <w:bottom w:val="single" w:sz="4" w:space="0" w:color="366092"/>
            </w:tcBorders>
            <w:shd w:val="clear" w:color="FFFFFF" w:fill="FFFFFF"/>
            <w:vAlign w:val="center"/>
            <w:hideMark/>
          </w:tcPr>
          <w:p w14:paraId="159BAF57" w14:textId="77D434AE" w:rsidR="007B536B" w:rsidRPr="008774AA" w:rsidRDefault="00317625" w:rsidP="00813A5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Δεκ</w:t>
            </w:r>
            <w:r w:rsidR="007B536B" w:rsidRPr="008774AA">
              <w:rPr>
                <w:rFonts w:ascii="Verdana" w:eastAsia="Times New Roman" w:hAnsi="Verdana" w:cs="Arial"/>
                <w:b/>
                <w:bCs/>
                <w:color w:val="365F91"/>
                <w:sz w:val="18"/>
                <w:szCs w:val="18"/>
                <w:lang w:val="el-GR"/>
              </w:rPr>
              <w:t xml:space="preserve"> 2</w:t>
            </w:r>
            <w:r w:rsidR="007B536B">
              <w:rPr>
                <w:rFonts w:ascii="Verdana" w:eastAsia="Times New Roman" w:hAnsi="Verdana" w:cs="Arial"/>
                <w:b/>
                <w:bCs/>
                <w:color w:val="365F91"/>
                <w:sz w:val="18"/>
                <w:szCs w:val="18"/>
                <w:lang w:val="el-GR"/>
              </w:rPr>
              <w:t>4</w:t>
            </w:r>
            <w:r w:rsidR="007B536B" w:rsidRPr="008774AA">
              <w:rPr>
                <w:rFonts w:ascii="Verdana" w:eastAsia="Times New Roman" w:hAnsi="Verdana" w:cs="Arial"/>
                <w:b/>
                <w:bCs/>
                <w:color w:val="365F91"/>
                <w:sz w:val="18"/>
                <w:szCs w:val="18"/>
                <w:lang w:val="el-GR"/>
              </w:rPr>
              <w:t>/</w:t>
            </w:r>
          </w:p>
          <w:p w14:paraId="1A7952FF" w14:textId="72BBCB1C" w:rsidR="007B536B" w:rsidRPr="008774AA" w:rsidRDefault="00317625" w:rsidP="00813A5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Δεκ</w:t>
            </w:r>
            <w:r w:rsidR="007B536B" w:rsidRPr="008774AA">
              <w:rPr>
                <w:rFonts w:ascii="Verdana" w:eastAsia="Times New Roman" w:hAnsi="Verdana" w:cs="Arial"/>
                <w:b/>
                <w:bCs/>
                <w:color w:val="365F91"/>
                <w:sz w:val="18"/>
                <w:szCs w:val="18"/>
                <w:lang w:val="el-GR"/>
              </w:rPr>
              <w:t xml:space="preserve"> 2</w:t>
            </w:r>
            <w:r w:rsidR="007B536B">
              <w:rPr>
                <w:rFonts w:ascii="Verdana" w:eastAsia="Times New Roman" w:hAnsi="Verdana" w:cs="Arial"/>
                <w:b/>
                <w:bCs/>
                <w:color w:val="365F91"/>
                <w:sz w:val="18"/>
                <w:szCs w:val="18"/>
                <w:lang w:val="el-GR"/>
              </w:rPr>
              <w:t>3</w:t>
            </w:r>
          </w:p>
        </w:tc>
        <w:tc>
          <w:tcPr>
            <w:tcW w:w="1137" w:type="pct"/>
            <w:tcBorders>
              <w:top w:val="single" w:sz="4" w:space="0" w:color="366092"/>
              <w:bottom w:val="single" w:sz="4" w:space="0" w:color="366092"/>
              <w:right w:val="nil"/>
            </w:tcBorders>
            <w:shd w:val="clear" w:color="FFFFFF" w:fill="FFFFFF"/>
            <w:vAlign w:val="center"/>
            <w:hideMark/>
          </w:tcPr>
          <w:p w14:paraId="5C81766C" w14:textId="232D9AF7" w:rsidR="007B536B" w:rsidRPr="008774AA" w:rsidRDefault="004E258E" w:rsidP="00813A5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Δεκ</w:t>
            </w:r>
            <w:r w:rsidR="007B536B">
              <w:rPr>
                <w:rFonts w:ascii="Verdana" w:eastAsia="Times New Roman" w:hAnsi="Verdana" w:cs="Arial"/>
                <w:b/>
                <w:bCs/>
                <w:color w:val="365F91"/>
                <w:sz w:val="18"/>
                <w:szCs w:val="18"/>
                <w:lang w:val="el-GR"/>
              </w:rPr>
              <w:t xml:space="preserve"> 24</w:t>
            </w:r>
            <w:r w:rsidR="007B536B" w:rsidRPr="008774AA">
              <w:rPr>
                <w:rFonts w:ascii="Verdana" w:eastAsia="Times New Roman" w:hAnsi="Verdana" w:cs="Arial"/>
                <w:b/>
                <w:bCs/>
                <w:color w:val="365F91"/>
                <w:sz w:val="18"/>
                <w:szCs w:val="18"/>
                <w:lang w:val="el-GR"/>
              </w:rPr>
              <w:t>/</w:t>
            </w:r>
          </w:p>
          <w:p w14:paraId="1598BCE1" w14:textId="00DF3B28" w:rsidR="007B536B" w:rsidRPr="008774AA" w:rsidRDefault="004E258E" w:rsidP="00813A5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Νοε</w:t>
            </w:r>
            <w:r w:rsidR="007B536B" w:rsidRPr="008774AA">
              <w:rPr>
                <w:rFonts w:ascii="Verdana" w:eastAsia="Times New Roman" w:hAnsi="Verdana" w:cs="Arial"/>
                <w:b/>
                <w:bCs/>
                <w:color w:val="365F91"/>
                <w:sz w:val="18"/>
                <w:szCs w:val="18"/>
                <w:lang w:val="el-GR"/>
              </w:rPr>
              <w:t xml:space="preserve"> 2</w:t>
            </w:r>
            <w:r w:rsidR="007B536B">
              <w:rPr>
                <w:rFonts w:ascii="Verdana" w:eastAsia="Times New Roman" w:hAnsi="Verdana" w:cs="Arial"/>
                <w:b/>
                <w:bCs/>
                <w:color w:val="365F91"/>
                <w:sz w:val="18"/>
                <w:szCs w:val="18"/>
                <w:lang w:val="el-GR"/>
              </w:rPr>
              <w:t>4</w:t>
            </w:r>
          </w:p>
        </w:tc>
      </w:tr>
      <w:tr w:rsidR="00317625" w:rsidRPr="004F677C" w14:paraId="4E8D6A7B" w14:textId="77777777" w:rsidTr="00317625">
        <w:trPr>
          <w:trHeight w:val="369"/>
          <w:jc w:val="center"/>
        </w:trPr>
        <w:tc>
          <w:tcPr>
            <w:tcW w:w="1640" w:type="pct"/>
            <w:tcBorders>
              <w:top w:val="single" w:sz="4" w:space="0" w:color="366092"/>
              <w:left w:val="nil"/>
            </w:tcBorders>
            <w:shd w:val="clear" w:color="FFFFFF" w:fill="FFFFFF"/>
            <w:noWrap/>
            <w:vAlign w:val="center"/>
            <w:hideMark/>
          </w:tcPr>
          <w:p w14:paraId="5DF56356" w14:textId="5A6E2987" w:rsidR="00317625" w:rsidRPr="00234087" w:rsidRDefault="00317625" w:rsidP="00317625">
            <w:pPr>
              <w:ind w:right="57"/>
              <w:rPr>
                <w:rFonts w:ascii="Verdana" w:eastAsia="Times New Roman" w:hAnsi="Verdana" w:cs="Arial"/>
                <w:b/>
                <w:bCs/>
                <w:color w:val="365F91"/>
                <w:sz w:val="18"/>
                <w:szCs w:val="18"/>
              </w:rPr>
            </w:pPr>
            <w:r w:rsidRPr="00234087">
              <w:rPr>
                <w:rFonts w:ascii="Verdana" w:eastAsia="Times New Roman" w:hAnsi="Verdana" w:cs="Arial"/>
                <w:b/>
                <w:bCs/>
                <w:color w:val="365F91"/>
                <w:sz w:val="18"/>
                <w:szCs w:val="18"/>
              </w:rPr>
              <w:t xml:space="preserve">Γενικός </w:t>
            </w:r>
            <w:r w:rsidRPr="00234087">
              <w:rPr>
                <w:rFonts w:ascii="Verdana" w:eastAsia="Times New Roman" w:hAnsi="Verdana" w:cs="Arial"/>
                <w:b/>
                <w:bCs/>
                <w:color w:val="365F91"/>
                <w:sz w:val="18"/>
                <w:szCs w:val="18"/>
                <w:lang w:val="el-GR"/>
              </w:rPr>
              <w:t>Εν</w:t>
            </w:r>
            <w:r w:rsidRPr="00234087">
              <w:rPr>
                <w:rFonts w:ascii="Verdana" w:eastAsia="Times New Roman" w:hAnsi="Verdana" w:cs="Arial"/>
                <w:b/>
                <w:bCs/>
                <w:color w:val="365F91"/>
                <w:sz w:val="18"/>
                <w:szCs w:val="18"/>
              </w:rPr>
              <w:t>Δ</w:t>
            </w:r>
            <w:r w:rsidRPr="00234087">
              <w:rPr>
                <w:rFonts w:ascii="Verdana" w:eastAsia="Times New Roman" w:hAnsi="Verdana" w:cs="Arial"/>
                <w:b/>
                <w:bCs/>
                <w:color w:val="365F91"/>
                <w:sz w:val="18"/>
                <w:szCs w:val="18"/>
                <w:lang w:val="el-GR"/>
              </w:rPr>
              <w:t>ΤΚ</w:t>
            </w:r>
            <w:r w:rsidRPr="00234087">
              <w:rPr>
                <w:rFonts w:ascii="Verdana" w:eastAsia="Times New Roman" w:hAnsi="Verdana" w:cs="Arial"/>
                <w:b/>
                <w:bCs/>
                <w:color w:val="365F91"/>
                <w:sz w:val="18"/>
                <w:szCs w:val="18"/>
              </w:rPr>
              <w:t xml:space="preserve"> </w:t>
            </w:r>
          </w:p>
        </w:tc>
        <w:tc>
          <w:tcPr>
            <w:tcW w:w="1047" w:type="pct"/>
            <w:tcBorders>
              <w:top w:val="single" w:sz="4" w:space="0" w:color="366092"/>
            </w:tcBorders>
            <w:shd w:val="clear" w:color="FFFFFF" w:fill="FFFFFF"/>
            <w:noWrap/>
            <w:vAlign w:val="center"/>
            <w:hideMark/>
          </w:tcPr>
          <w:p w14:paraId="29F0C0D2" w14:textId="3E70D8F1" w:rsidR="00317625" w:rsidRPr="00895B41" w:rsidRDefault="00317625" w:rsidP="00317625">
            <w:pPr>
              <w:ind w:right="680" w:firstLineChars="200" w:firstLine="361"/>
              <w:jc w:val="right"/>
              <w:rPr>
                <w:rFonts w:ascii="Verdana" w:hAnsi="Verdana"/>
                <w:b/>
                <w:bCs/>
                <w:color w:val="365F91"/>
                <w:sz w:val="18"/>
                <w:szCs w:val="18"/>
                <w:lang w:val="el-GR"/>
              </w:rPr>
            </w:pPr>
            <w:r w:rsidRPr="00895B41">
              <w:rPr>
                <w:rFonts w:ascii="Verdana" w:hAnsi="Verdana"/>
                <w:b/>
                <w:bCs/>
                <w:color w:val="365F91"/>
                <w:sz w:val="18"/>
                <w:szCs w:val="18"/>
                <w:lang w:val="el-GR"/>
              </w:rPr>
              <w:t>1000</w:t>
            </w:r>
          </w:p>
        </w:tc>
        <w:tc>
          <w:tcPr>
            <w:tcW w:w="1176" w:type="pct"/>
            <w:tcBorders>
              <w:top w:val="single" w:sz="4" w:space="0" w:color="366092"/>
            </w:tcBorders>
            <w:shd w:val="clear" w:color="FFFFFF" w:fill="FFFFFF"/>
            <w:noWrap/>
            <w:vAlign w:val="center"/>
            <w:hideMark/>
          </w:tcPr>
          <w:p w14:paraId="14220551" w14:textId="73A5075F" w:rsidR="00317625" w:rsidRPr="00895B41" w:rsidRDefault="00317625" w:rsidP="00317625">
            <w:pPr>
              <w:tabs>
                <w:tab w:val="left" w:pos="2001"/>
              </w:tabs>
              <w:ind w:right="907"/>
              <w:jc w:val="right"/>
              <w:rPr>
                <w:rFonts w:ascii="Verdana" w:hAnsi="Verdana"/>
                <w:b/>
                <w:bCs/>
                <w:color w:val="365F91"/>
                <w:sz w:val="18"/>
                <w:szCs w:val="18"/>
                <w:lang w:val="el-GR"/>
              </w:rPr>
            </w:pPr>
            <w:r w:rsidRPr="00317625">
              <w:rPr>
                <w:rFonts w:ascii="Verdana" w:hAnsi="Verdana"/>
                <w:b/>
                <w:bCs/>
                <w:color w:val="365F91"/>
                <w:sz w:val="18"/>
                <w:szCs w:val="18"/>
                <w:lang w:val="el-GR"/>
              </w:rPr>
              <w:t>3</w:t>
            </w:r>
            <w:r>
              <w:rPr>
                <w:rFonts w:ascii="Verdana" w:hAnsi="Verdana"/>
                <w:b/>
                <w:bCs/>
                <w:color w:val="365F91"/>
                <w:sz w:val="18"/>
                <w:szCs w:val="18"/>
                <w:lang w:val="el-GR"/>
              </w:rPr>
              <w:t>,</w:t>
            </w:r>
            <w:r w:rsidRPr="00317625">
              <w:rPr>
                <w:rFonts w:ascii="Verdana" w:hAnsi="Verdana"/>
                <w:b/>
                <w:bCs/>
                <w:color w:val="365F91"/>
                <w:sz w:val="18"/>
                <w:szCs w:val="18"/>
                <w:lang w:val="el-GR"/>
              </w:rPr>
              <w:t>1</w:t>
            </w:r>
          </w:p>
        </w:tc>
        <w:tc>
          <w:tcPr>
            <w:tcW w:w="1137" w:type="pct"/>
            <w:tcBorders>
              <w:top w:val="single" w:sz="4" w:space="0" w:color="366092"/>
              <w:right w:val="nil"/>
            </w:tcBorders>
            <w:shd w:val="clear" w:color="FFFFFF" w:fill="FFFFFF"/>
            <w:noWrap/>
            <w:tcMar>
              <w:left w:w="28" w:type="dxa"/>
              <w:right w:w="0" w:type="dxa"/>
            </w:tcMar>
            <w:vAlign w:val="center"/>
            <w:hideMark/>
          </w:tcPr>
          <w:p w14:paraId="7832C3C6" w14:textId="57E6C981" w:rsidR="00317625" w:rsidRPr="00895B41" w:rsidRDefault="00317625" w:rsidP="00317625">
            <w:pPr>
              <w:tabs>
                <w:tab w:val="left" w:pos="2001"/>
              </w:tabs>
              <w:ind w:right="907"/>
              <w:jc w:val="right"/>
              <w:rPr>
                <w:rFonts w:ascii="Verdana" w:hAnsi="Verdana"/>
                <w:b/>
                <w:bCs/>
                <w:color w:val="365F91"/>
                <w:sz w:val="18"/>
                <w:szCs w:val="18"/>
                <w:lang w:val="el-GR"/>
              </w:rPr>
            </w:pPr>
            <w:r w:rsidRPr="00317625">
              <w:rPr>
                <w:rFonts w:ascii="Verdana" w:hAnsi="Verdana"/>
                <w:b/>
                <w:bCs/>
                <w:color w:val="365F91"/>
                <w:sz w:val="18"/>
                <w:szCs w:val="18"/>
                <w:lang w:val="el-GR"/>
              </w:rPr>
              <w:t>-0</w:t>
            </w:r>
            <w:r>
              <w:rPr>
                <w:rFonts w:ascii="Verdana" w:hAnsi="Verdana"/>
                <w:b/>
                <w:bCs/>
                <w:color w:val="365F91"/>
                <w:sz w:val="18"/>
                <w:szCs w:val="18"/>
                <w:lang w:val="el-GR"/>
              </w:rPr>
              <w:t>,</w:t>
            </w:r>
            <w:r w:rsidRPr="00317625">
              <w:rPr>
                <w:rFonts w:ascii="Verdana" w:hAnsi="Verdana"/>
                <w:b/>
                <w:bCs/>
                <w:color w:val="365F91"/>
                <w:sz w:val="18"/>
                <w:szCs w:val="18"/>
                <w:lang w:val="el-GR"/>
              </w:rPr>
              <w:t>3</w:t>
            </w:r>
          </w:p>
        </w:tc>
      </w:tr>
      <w:tr w:rsidR="00317625" w:rsidRPr="000E24B1" w14:paraId="479D0600" w14:textId="77777777" w:rsidTr="00317625">
        <w:trPr>
          <w:trHeight w:val="351"/>
          <w:jc w:val="center"/>
        </w:trPr>
        <w:tc>
          <w:tcPr>
            <w:tcW w:w="1640" w:type="pct"/>
            <w:tcBorders>
              <w:top w:val="nil"/>
              <w:left w:val="nil"/>
              <w:bottom w:val="nil"/>
            </w:tcBorders>
            <w:shd w:val="clear" w:color="FFFFFF" w:fill="FFFFFF"/>
            <w:noWrap/>
            <w:vAlign w:val="center"/>
            <w:hideMark/>
          </w:tcPr>
          <w:p w14:paraId="223ACBB9" w14:textId="77777777" w:rsidR="00317625" w:rsidRPr="00234087" w:rsidRDefault="00317625" w:rsidP="00317625">
            <w:pPr>
              <w:ind w:left="2"/>
              <w:rPr>
                <w:rFonts w:ascii="Verdana" w:eastAsia="Times New Roman" w:hAnsi="Verdana" w:cs="Arial"/>
                <w:color w:val="365F91"/>
                <w:sz w:val="18"/>
                <w:szCs w:val="18"/>
                <w:lang w:val="el-GR"/>
              </w:rPr>
            </w:pPr>
            <w:r w:rsidRPr="00234087">
              <w:rPr>
                <w:rFonts w:ascii="Verdana" w:eastAsia="Times New Roman" w:hAnsi="Verdana" w:cs="Arial"/>
                <w:color w:val="365F91"/>
                <w:sz w:val="18"/>
                <w:szCs w:val="18"/>
                <w:lang w:val="el-GR"/>
              </w:rPr>
              <w:t>Ενέργεια</w:t>
            </w:r>
          </w:p>
        </w:tc>
        <w:tc>
          <w:tcPr>
            <w:tcW w:w="1047" w:type="pct"/>
            <w:tcBorders>
              <w:top w:val="nil"/>
              <w:bottom w:val="nil"/>
            </w:tcBorders>
            <w:shd w:val="clear" w:color="FFFFFF" w:fill="FFFFFF"/>
            <w:noWrap/>
            <w:vAlign w:val="center"/>
            <w:hideMark/>
          </w:tcPr>
          <w:p w14:paraId="44A64648" w14:textId="3BBE623D" w:rsidR="00317625" w:rsidRPr="00234087" w:rsidRDefault="00317625" w:rsidP="00317625">
            <w:pPr>
              <w:ind w:right="680"/>
              <w:jc w:val="right"/>
              <w:rPr>
                <w:rFonts w:ascii="Verdana" w:eastAsia="Times New Roman" w:hAnsi="Verdana" w:cs="Arial"/>
                <w:color w:val="365F91"/>
                <w:sz w:val="18"/>
                <w:szCs w:val="18"/>
                <w:lang w:val="el-GR"/>
              </w:rPr>
            </w:pPr>
            <w:r w:rsidRPr="00B736A4">
              <w:rPr>
                <w:rFonts w:ascii="Verdana" w:hAnsi="Verdana"/>
                <w:color w:val="365F91"/>
                <w:sz w:val="18"/>
                <w:szCs w:val="18"/>
              </w:rPr>
              <w:t>101</w:t>
            </w:r>
            <w:r>
              <w:rPr>
                <w:rFonts w:ascii="Verdana" w:hAnsi="Verdana"/>
                <w:color w:val="365F91"/>
                <w:sz w:val="18"/>
                <w:szCs w:val="18"/>
              </w:rPr>
              <w:t>,</w:t>
            </w:r>
            <w:r w:rsidRPr="00B736A4">
              <w:rPr>
                <w:rFonts w:ascii="Verdana" w:hAnsi="Verdana"/>
                <w:color w:val="365F91"/>
                <w:sz w:val="18"/>
                <w:szCs w:val="18"/>
              </w:rPr>
              <w:t>71</w:t>
            </w:r>
          </w:p>
        </w:tc>
        <w:tc>
          <w:tcPr>
            <w:tcW w:w="1176" w:type="pct"/>
            <w:tcBorders>
              <w:top w:val="nil"/>
              <w:bottom w:val="nil"/>
            </w:tcBorders>
            <w:shd w:val="clear" w:color="FFFFFF" w:fill="FFFFFF"/>
            <w:noWrap/>
            <w:vAlign w:val="center"/>
          </w:tcPr>
          <w:p w14:paraId="39E31C56" w14:textId="1AD7EB78" w:rsidR="00317625" w:rsidRPr="00317625" w:rsidRDefault="00317625" w:rsidP="00317625">
            <w:pPr>
              <w:tabs>
                <w:tab w:val="left" w:pos="2001"/>
              </w:tabs>
              <w:ind w:right="907"/>
              <w:jc w:val="right"/>
              <w:rPr>
                <w:rFonts w:ascii="Verdana" w:hAnsi="Verdana"/>
                <w:color w:val="365F91"/>
                <w:sz w:val="18"/>
                <w:szCs w:val="18"/>
                <w:lang w:val="el-GR"/>
              </w:rPr>
            </w:pPr>
            <w:r w:rsidRPr="00317625">
              <w:rPr>
                <w:rFonts w:ascii="Verdana" w:hAnsi="Verdana"/>
                <w:color w:val="365F91"/>
                <w:sz w:val="18"/>
                <w:szCs w:val="18"/>
                <w:lang w:val="el-GR"/>
              </w:rPr>
              <w:t>0</w:t>
            </w:r>
            <w:r>
              <w:rPr>
                <w:rFonts w:ascii="Verdana" w:hAnsi="Verdana"/>
                <w:color w:val="365F91"/>
                <w:sz w:val="18"/>
                <w:szCs w:val="18"/>
                <w:lang w:val="el-GR"/>
              </w:rPr>
              <w:t>,</w:t>
            </w:r>
            <w:r w:rsidRPr="00317625">
              <w:rPr>
                <w:rFonts w:ascii="Verdana" w:hAnsi="Verdana"/>
                <w:color w:val="365F91"/>
                <w:sz w:val="18"/>
                <w:szCs w:val="18"/>
                <w:lang w:val="el-GR"/>
              </w:rPr>
              <w:t>1</w:t>
            </w:r>
          </w:p>
        </w:tc>
        <w:tc>
          <w:tcPr>
            <w:tcW w:w="1137" w:type="pct"/>
            <w:tcBorders>
              <w:top w:val="nil"/>
              <w:bottom w:val="nil"/>
              <w:right w:val="nil"/>
            </w:tcBorders>
            <w:shd w:val="clear" w:color="FFFFFF" w:fill="FFFFFF"/>
            <w:noWrap/>
            <w:tcMar>
              <w:left w:w="28" w:type="dxa"/>
              <w:right w:w="0" w:type="dxa"/>
            </w:tcMar>
            <w:vAlign w:val="center"/>
          </w:tcPr>
          <w:p w14:paraId="58C2E376" w14:textId="5723D875" w:rsidR="00317625" w:rsidRPr="00317625" w:rsidRDefault="00317625" w:rsidP="00317625">
            <w:pPr>
              <w:tabs>
                <w:tab w:val="left" w:pos="2001"/>
              </w:tabs>
              <w:ind w:right="907"/>
              <w:jc w:val="right"/>
              <w:rPr>
                <w:rFonts w:ascii="Verdana" w:hAnsi="Verdana"/>
                <w:color w:val="365F91"/>
                <w:sz w:val="18"/>
                <w:szCs w:val="18"/>
                <w:lang w:val="el-GR"/>
              </w:rPr>
            </w:pPr>
            <w:r w:rsidRPr="00317625">
              <w:rPr>
                <w:rFonts w:ascii="Verdana" w:hAnsi="Verdana"/>
                <w:color w:val="365F91"/>
                <w:sz w:val="18"/>
                <w:szCs w:val="18"/>
                <w:lang w:val="el-GR"/>
              </w:rPr>
              <w:t>0</w:t>
            </w:r>
            <w:r>
              <w:rPr>
                <w:rFonts w:ascii="Verdana" w:hAnsi="Verdana"/>
                <w:color w:val="365F91"/>
                <w:sz w:val="18"/>
                <w:szCs w:val="18"/>
                <w:lang w:val="el-GR"/>
              </w:rPr>
              <w:t>,</w:t>
            </w:r>
            <w:r w:rsidRPr="00317625">
              <w:rPr>
                <w:rFonts w:ascii="Verdana" w:hAnsi="Verdana"/>
                <w:color w:val="365F91"/>
                <w:sz w:val="18"/>
                <w:szCs w:val="18"/>
                <w:lang w:val="el-GR"/>
              </w:rPr>
              <w:t>3</w:t>
            </w:r>
          </w:p>
        </w:tc>
      </w:tr>
      <w:tr w:rsidR="00317625" w:rsidRPr="000E24B1" w14:paraId="675AD979" w14:textId="77777777" w:rsidTr="00317625">
        <w:trPr>
          <w:trHeight w:val="531"/>
          <w:jc w:val="center"/>
        </w:trPr>
        <w:tc>
          <w:tcPr>
            <w:tcW w:w="1640" w:type="pct"/>
            <w:tcBorders>
              <w:top w:val="nil"/>
              <w:left w:val="nil"/>
              <w:bottom w:val="nil"/>
            </w:tcBorders>
            <w:shd w:val="clear" w:color="FFFFFF" w:fill="FFFFFF"/>
            <w:noWrap/>
            <w:vAlign w:val="center"/>
            <w:hideMark/>
          </w:tcPr>
          <w:p w14:paraId="6DFC098F" w14:textId="77777777" w:rsidR="00317625" w:rsidRPr="00234087" w:rsidRDefault="00317625" w:rsidP="00317625">
            <w:pPr>
              <w:ind w:left="2"/>
              <w:rPr>
                <w:rFonts w:ascii="Verdana" w:eastAsia="Times New Roman" w:hAnsi="Verdana" w:cs="Arial"/>
                <w:color w:val="365F91"/>
                <w:sz w:val="18"/>
                <w:szCs w:val="18"/>
              </w:rPr>
            </w:pPr>
            <w:r w:rsidRPr="00234087">
              <w:rPr>
                <w:rFonts w:ascii="Verdana" w:eastAsia="Times New Roman" w:hAnsi="Verdana" w:cs="Arial"/>
                <w:color w:val="365F91"/>
                <w:sz w:val="18"/>
                <w:szCs w:val="18"/>
              </w:rPr>
              <w:t>Τρόφιμα-Αλκοολούχα Ποτά-Καπνός</w:t>
            </w:r>
          </w:p>
        </w:tc>
        <w:tc>
          <w:tcPr>
            <w:tcW w:w="1047" w:type="pct"/>
            <w:tcBorders>
              <w:top w:val="nil"/>
              <w:bottom w:val="nil"/>
            </w:tcBorders>
            <w:shd w:val="clear" w:color="FFFFFF" w:fill="FFFFFF"/>
            <w:noWrap/>
            <w:vAlign w:val="center"/>
            <w:hideMark/>
          </w:tcPr>
          <w:p w14:paraId="7907B1CD" w14:textId="48400471" w:rsidR="00317625" w:rsidRPr="00903866" w:rsidRDefault="00317625" w:rsidP="00317625">
            <w:pPr>
              <w:ind w:right="680"/>
              <w:jc w:val="right"/>
              <w:rPr>
                <w:rFonts w:ascii="Verdana" w:eastAsia="Times New Roman" w:hAnsi="Verdana" w:cs="Arial"/>
                <w:color w:val="365F91"/>
                <w:sz w:val="18"/>
                <w:szCs w:val="18"/>
              </w:rPr>
            </w:pPr>
            <w:r w:rsidRPr="00B736A4">
              <w:rPr>
                <w:rFonts w:ascii="Verdana" w:hAnsi="Verdana"/>
                <w:color w:val="365F91"/>
                <w:sz w:val="18"/>
                <w:szCs w:val="18"/>
              </w:rPr>
              <w:t>222</w:t>
            </w:r>
            <w:r>
              <w:rPr>
                <w:rFonts w:ascii="Verdana" w:hAnsi="Verdana"/>
                <w:color w:val="365F91"/>
                <w:sz w:val="18"/>
                <w:szCs w:val="18"/>
              </w:rPr>
              <w:t>,</w:t>
            </w:r>
            <w:r w:rsidRPr="00B736A4">
              <w:rPr>
                <w:rFonts w:ascii="Verdana" w:hAnsi="Verdana"/>
                <w:color w:val="365F91"/>
                <w:sz w:val="18"/>
                <w:szCs w:val="18"/>
              </w:rPr>
              <w:t>41</w:t>
            </w:r>
          </w:p>
        </w:tc>
        <w:tc>
          <w:tcPr>
            <w:tcW w:w="1176" w:type="pct"/>
            <w:tcBorders>
              <w:top w:val="nil"/>
              <w:bottom w:val="nil"/>
            </w:tcBorders>
            <w:shd w:val="clear" w:color="FFFFFF" w:fill="FFFFFF"/>
            <w:noWrap/>
            <w:vAlign w:val="center"/>
          </w:tcPr>
          <w:p w14:paraId="373CF33E" w14:textId="010456E1" w:rsidR="00317625" w:rsidRPr="00317625" w:rsidRDefault="00317625" w:rsidP="00317625">
            <w:pPr>
              <w:tabs>
                <w:tab w:val="left" w:pos="2001"/>
              </w:tabs>
              <w:ind w:right="907"/>
              <w:jc w:val="right"/>
              <w:rPr>
                <w:rFonts w:ascii="Verdana" w:hAnsi="Verdana"/>
                <w:color w:val="365F91"/>
                <w:sz w:val="18"/>
                <w:szCs w:val="18"/>
                <w:lang w:val="el-GR"/>
              </w:rPr>
            </w:pPr>
            <w:r w:rsidRPr="00317625">
              <w:rPr>
                <w:rFonts w:ascii="Verdana" w:hAnsi="Verdana"/>
                <w:color w:val="365F91"/>
                <w:sz w:val="18"/>
                <w:szCs w:val="18"/>
                <w:lang w:val="el-GR"/>
              </w:rPr>
              <w:t>5</w:t>
            </w:r>
            <w:r>
              <w:rPr>
                <w:rFonts w:ascii="Verdana" w:hAnsi="Verdana"/>
                <w:color w:val="365F91"/>
                <w:sz w:val="18"/>
                <w:szCs w:val="18"/>
                <w:lang w:val="el-GR"/>
              </w:rPr>
              <w:t>,</w:t>
            </w:r>
            <w:r w:rsidRPr="00317625">
              <w:rPr>
                <w:rFonts w:ascii="Verdana" w:hAnsi="Verdana"/>
                <w:color w:val="365F91"/>
                <w:sz w:val="18"/>
                <w:szCs w:val="18"/>
                <w:lang w:val="el-GR"/>
              </w:rPr>
              <w:t>9</w:t>
            </w:r>
          </w:p>
        </w:tc>
        <w:tc>
          <w:tcPr>
            <w:tcW w:w="1137" w:type="pct"/>
            <w:tcBorders>
              <w:top w:val="nil"/>
              <w:bottom w:val="nil"/>
              <w:right w:val="nil"/>
            </w:tcBorders>
            <w:shd w:val="clear" w:color="FFFFFF" w:fill="FFFFFF"/>
            <w:noWrap/>
            <w:tcMar>
              <w:left w:w="28" w:type="dxa"/>
              <w:right w:w="0" w:type="dxa"/>
            </w:tcMar>
            <w:vAlign w:val="center"/>
          </w:tcPr>
          <w:p w14:paraId="384C6F69" w14:textId="06D96A41" w:rsidR="00317625" w:rsidRPr="00317625" w:rsidRDefault="00317625" w:rsidP="00317625">
            <w:pPr>
              <w:tabs>
                <w:tab w:val="left" w:pos="2001"/>
              </w:tabs>
              <w:ind w:right="907"/>
              <w:jc w:val="right"/>
              <w:rPr>
                <w:rFonts w:ascii="Verdana" w:hAnsi="Verdana"/>
                <w:color w:val="365F91"/>
                <w:sz w:val="18"/>
                <w:szCs w:val="18"/>
                <w:lang w:val="el-GR"/>
              </w:rPr>
            </w:pPr>
            <w:r w:rsidRPr="00317625">
              <w:rPr>
                <w:rFonts w:ascii="Verdana" w:hAnsi="Verdana"/>
                <w:color w:val="365F91"/>
                <w:sz w:val="18"/>
                <w:szCs w:val="18"/>
                <w:lang w:val="el-GR"/>
              </w:rPr>
              <w:t>0</w:t>
            </w:r>
            <w:r>
              <w:rPr>
                <w:rFonts w:ascii="Verdana" w:hAnsi="Verdana"/>
                <w:color w:val="365F91"/>
                <w:sz w:val="18"/>
                <w:szCs w:val="18"/>
                <w:lang w:val="el-GR"/>
              </w:rPr>
              <w:t>,</w:t>
            </w:r>
            <w:r w:rsidRPr="00317625">
              <w:rPr>
                <w:rFonts w:ascii="Verdana" w:hAnsi="Verdana"/>
                <w:color w:val="365F91"/>
                <w:sz w:val="18"/>
                <w:szCs w:val="18"/>
                <w:lang w:val="el-GR"/>
              </w:rPr>
              <w:t>5</w:t>
            </w:r>
          </w:p>
        </w:tc>
      </w:tr>
      <w:tr w:rsidR="00317625" w:rsidRPr="000E24B1" w14:paraId="1C369CAC" w14:textId="77777777" w:rsidTr="00317625">
        <w:trPr>
          <w:trHeight w:val="351"/>
          <w:jc w:val="center"/>
        </w:trPr>
        <w:tc>
          <w:tcPr>
            <w:tcW w:w="1640" w:type="pct"/>
            <w:tcBorders>
              <w:top w:val="nil"/>
              <w:left w:val="nil"/>
              <w:bottom w:val="nil"/>
            </w:tcBorders>
            <w:shd w:val="clear" w:color="FFFFFF" w:fill="FFFFFF"/>
            <w:noWrap/>
            <w:vAlign w:val="center"/>
            <w:hideMark/>
          </w:tcPr>
          <w:p w14:paraId="2355D7FE" w14:textId="77777777" w:rsidR="00317625" w:rsidRPr="00234087" w:rsidRDefault="00317625" w:rsidP="00317625">
            <w:pPr>
              <w:ind w:left="2"/>
              <w:rPr>
                <w:rFonts w:ascii="Verdana" w:eastAsia="Times New Roman" w:hAnsi="Verdana" w:cs="Arial"/>
                <w:color w:val="365F91"/>
                <w:sz w:val="18"/>
                <w:szCs w:val="18"/>
              </w:rPr>
            </w:pPr>
            <w:bookmarkStart w:id="4" w:name="_Hlk159486445"/>
            <w:r w:rsidRPr="00234087">
              <w:rPr>
                <w:rFonts w:ascii="Verdana" w:eastAsia="Times New Roman" w:hAnsi="Verdana" w:cs="Arial"/>
                <w:color w:val="365F91"/>
                <w:sz w:val="18"/>
                <w:szCs w:val="18"/>
              </w:rPr>
              <w:t>Μη ενεργειακά βιομηχανικά προϊόντα</w:t>
            </w:r>
            <w:bookmarkEnd w:id="4"/>
          </w:p>
        </w:tc>
        <w:tc>
          <w:tcPr>
            <w:tcW w:w="1047" w:type="pct"/>
            <w:tcBorders>
              <w:top w:val="nil"/>
              <w:bottom w:val="nil"/>
            </w:tcBorders>
            <w:shd w:val="clear" w:color="FFFFFF" w:fill="FFFFFF"/>
            <w:noWrap/>
            <w:vAlign w:val="center"/>
            <w:hideMark/>
          </w:tcPr>
          <w:p w14:paraId="2F4BE75E" w14:textId="5B3259A0" w:rsidR="00317625" w:rsidRPr="00234087" w:rsidRDefault="00317625" w:rsidP="00317625">
            <w:pPr>
              <w:ind w:right="680"/>
              <w:jc w:val="right"/>
              <w:rPr>
                <w:rFonts w:ascii="Verdana" w:eastAsia="Times New Roman" w:hAnsi="Verdana" w:cs="Arial"/>
                <w:color w:val="365F91"/>
                <w:sz w:val="18"/>
                <w:szCs w:val="18"/>
                <w:lang w:val="el-GR"/>
              </w:rPr>
            </w:pPr>
            <w:r w:rsidRPr="00B736A4">
              <w:rPr>
                <w:rFonts w:ascii="Verdana" w:hAnsi="Verdana"/>
                <w:color w:val="365F91"/>
                <w:sz w:val="18"/>
                <w:szCs w:val="18"/>
              </w:rPr>
              <w:t>231</w:t>
            </w:r>
            <w:r>
              <w:rPr>
                <w:rFonts w:ascii="Verdana" w:hAnsi="Verdana"/>
                <w:color w:val="365F91"/>
                <w:sz w:val="18"/>
                <w:szCs w:val="18"/>
              </w:rPr>
              <w:t>,</w:t>
            </w:r>
            <w:r w:rsidRPr="00B736A4">
              <w:rPr>
                <w:rFonts w:ascii="Verdana" w:hAnsi="Verdana"/>
                <w:color w:val="365F91"/>
                <w:sz w:val="18"/>
                <w:szCs w:val="18"/>
              </w:rPr>
              <w:t>47</w:t>
            </w:r>
          </w:p>
        </w:tc>
        <w:tc>
          <w:tcPr>
            <w:tcW w:w="1176" w:type="pct"/>
            <w:tcBorders>
              <w:top w:val="nil"/>
              <w:bottom w:val="nil"/>
            </w:tcBorders>
            <w:shd w:val="clear" w:color="FFFFFF" w:fill="FFFFFF"/>
            <w:noWrap/>
            <w:vAlign w:val="center"/>
          </w:tcPr>
          <w:p w14:paraId="0DF7CE8E" w14:textId="42426BF6" w:rsidR="00317625" w:rsidRPr="00317625" w:rsidRDefault="00317625" w:rsidP="00317625">
            <w:pPr>
              <w:tabs>
                <w:tab w:val="left" w:pos="2001"/>
              </w:tabs>
              <w:ind w:right="907"/>
              <w:jc w:val="right"/>
              <w:rPr>
                <w:rFonts w:ascii="Verdana" w:hAnsi="Verdana"/>
                <w:color w:val="365F91"/>
                <w:sz w:val="18"/>
                <w:szCs w:val="18"/>
                <w:lang w:val="el-GR"/>
              </w:rPr>
            </w:pPr>
            <w:r w:rsidRPr="00317625">
              <w:rPr>
                <w:rFonts w:ascii="Verdana" w:hAnsi="Verdana"/>
                <w:color w:val="365F91"/>
                <w:sz w:val="18"/>
                <w:szCs w:val="18"/>
                <w:lang w:val="el-GR"/>
              </w:rPr>
              <w:t>-0</w:t>
            </w:r>
            <w:r>
              <w:rPr>
                <w:rFonts w:ascii="Verdana" w:hAnsi="Verdana"/>
                <w:color w:val="365F91"/>
                <w:sz w:val="18"/>
                <w:szCs w:val="18"/>
                <w:lang w:val="el-GR"/>
              </w:rPr>
              <w:t>,</w:t>
            </w:r>
            <w:r w:rsidRPr="00317625">
              <w:rPr>
                <w:rFonts w:ascii="Verdana" w:hAnsi="Verdana"/>
                <w:color w:val="365F91"/>
                <w:sz w:val="18"/>
                <w:szCs w:val="18"/>
                <w:lang w:val="el-GR"/>
              </w:rPr>
              <w:t>9</w:t>
            </w:r>
          </w:p>
        </w:tc>
        <w:tc>
          <w:tcPr>
            <w:tcW w:w="1137" w:type="pct"/>
            <w:tcBorders>
              <w:top w:val="nil"/>
              <w:bottom w:val="nil"/>
              <w:right w:val="nil"/>
            </w:tcBorders>
            <w:shd w:val="clear" w:color="FFFFFF" w:fill="FFFFFF"/>
            <w:noWrap/>
            <w:tcMar>
              <w:left w:w="28" w:type="dxa"/>
              <w:right w:w="0" w:type="dxa"/>
            </w:tcMar>
            <w:vAlign w:val="center"/>
          </w:tcPr>
          <w:p w14:paraId="76BBC30C" w14:textId="414DE29B" w:rsidR="00317625" w:rsidRPr="00317625" w:rsidRDefault="00317625" w:rsidP="00317625">
            <w:pPr>
              <w:tabs>
                <w:tab w:val="left" w:pos="2001"/>
              </w:tabs>
              <w:ind w:right="907"/>
              <w:jc w:val="right"/>
              <w:rPr>
                <w:rFonts w:ascii="Verdana" w:hAnsi="Verdana"/>
                <w:color w:val="365F91"/>
                <w:sz w:val="18"/>
                <w:szCs w:val="18"/>
                <w:lang w:val="el-GR"/>
              </w:rPr>
            </w:pPr>
            <w:r w:rsidRPr="00317625">
              <w:rPr>
                <w:rFonts w:ascii="Verdana" w:hAnsi="Verdana"/>
                <w:color w:val="365F91"/>
                <w:sz w:val="18"/>
                <w:szCs w:val="18"/>
                <w:lang w:val="el-GR"/>
              </w:rPr>
              <w:t>-0</w:t>
            </w:r>
            <w:r>
              <w:rPr>
                <w:rFonts w:ascii="Verdana" w:hAnsi="Verdana"/>
                <w:color w:val="365F91"/>
                <w:sz w:val="18"/>
                <w:szCs w:val="18"/>
                <w:lang w:val="el-GR"/>
              </w:rPr>
              <w:t>,</w:t>
            </w:r>
            <w:r w:rsidRPr="00317625">
              <w:rPr>
                <w:rFonts w:ascii="Verdana" w:hAnsi="Verdana"/>
                <w:color w:val="365F91"/>
                <w:sz w:val="18"/>
                <w:szCs w:val="18"/>
                <w:lang w:val="el-GR"/>
              </w:rPr>
              <w:t>4</w:t>
            </w:r>
          </w:p>
        </w:tc>
      </w:tr>
      <w:tr w:rsidR="00317625" w:rsidRPr="000E24B1" w14:paraId="365CC113" w14:textId="77777777" w:rsidTr="00317625">
        <w:trPr>
          <w:trHeight w:val="351"/>
          <w:jc w:val="center"/>
        </w:trPr>
        <w:tc>
          <w:tcPr>
            <w:tcW w:w="1640" w:type="pct"/>
            <w:tcBorders>
              <w:top w:val="nil"/>
              <w:left w:val="nil"/>
              <w:bottom w:val="single" w:sz="4" w:space="0" w:color="366092"/>
            </w:tcBorders>
            <w:shd w:val="clear" w:color="FFFFFF" w:fill="FFFFFF"/>
            <w:noWrap/>
            <w:vAlign w:val="center"/>
            <w:hideMark/>
          </w:tcPr>
          <w:p w14:paraId="762528F4" w14:textId="77777777" w:rsidR="00317625" w:rsidRPr="00234087" w:rsidRDefault="00317625" w:rsidP="00317625">
            <w:pPr>
              <w:ind w:left="2"/>
              <w:rPr>
                <w:rFonts w:ascii="Verdana" w:eastAsia="Times New Roman" w:hAnsi="Verdana" w:cs="Arial"/>
                <w:color w:val="365F91"/>
                <w:sz w:val="18"/>
                <w:szCs w:val="18"/>
              </w:rPr>
            </w:pPr>
            <w:bookmarkStart w:id="5" w:name="_Hlk169517282"/>
            <w:r w:rsidRPr="00234087">
              <w:rPr>
                <w:rFonts w:ascii="Verdana" w:eastAsia="Times New Roman" w:hAnsi="Verdana" w:cs="Arial"/>
                <w:color w:val="365F91"/>
                <w:sz w:val="18"/>
                <w:szCs w:val="18"/>
              </w:rPr>
              <w:t>Υπηρεσίες</w:t>
            </w:r>
          </w:p>
        </w:tc>
        <w:tc>
          <w:tcPr>
            <w:tcW w:w="1047" w:type="pct"/>
            <w:tcBorders>
              <w:top w:val="nil"/>
              <w:bottom w:val="single" w:sz="4" w:space="0" w:color="366092"/>
            </w:tcBorders>
            <w:shd w:val="clear" w:color="FFFFFF" w:fill="FFFFFF"/>
            <w:noWrap/>
            <w:vAlign w:val="center"/>
            <w:hideMark/>
          </w:tcPr>
          <w:p w14:paraId="0AA11ADF" w14:textId="1FC79360" w:rsidR="00317625" w:rsidRPr="00903866" w:rsidRDefault="00317625" w:rsidP="00317625">
            <w:pPr>
              <w:ind w:right="680"/>
              <w:jc w:val="right"/>
              <w:rPr>
                <w:rFonts w:ascii="Verdana" w:eastAsia="Times New Roman" w:hAnsi="Verdana" w:cs="Arial"/>
                <w:color w:val="365F91"/>
                <w:sz w:val="18"/>
                <w:szCs w:val="18"/>
              </w:rPr>
            </w:pPr>
            <w:r w:rsidRPr="00B736A4">
              <w:rPr>
                <w:rFonts w:ascii="Verdana" w:hAnsi="Verdana"/>
                <w:color w:val="365F91"/>
                <w:sz w:val="18"/>
                <w:szCs w:val="18"/>
              </w:rPr>
              <w:t>444</w:t>
            </w:r>
            <w:r>
              <w:rPr>
                <w:rFonts w:ascii="Verdana" w:hAnsi="Verdana"/>
                <w:color w:val="365F91"/>
                <w:sz w:val="18"/>
                <w:szCs w:val="18"/>
              </w:rPr>
              <w:t>,</w:t>
            </w:r>
            <w:r w:rsidRPr="00B736A4">
              <w:rPr>
                <w:rFonts w:ascii="Verdana" w:hAnsi="Verdana"/>
                <w:color w:val="365F91"/>
                <w:sz w:val="18"/>
                <w:szCs w:val="18"/>
              </w:rPr>
              <w:t>42</w:t>
            </w:r>
          </w:p>
        </w:tc>
        <w:tc>
          <w:tcPr>
            <w:tcW w:w="1176" w:type="pct"/>
            <w:tcBorders>
              <w:top w:val="nil"/>
              <w:bottom w:val="single" w:sz="4" w:space="0" w:color="366092"/>
            </w:tcBorders>
            <w:shd w:val="clear" w:color="FFFFFF" w:fill="FFFFFF"/>
            <w:noWrap/>
            <w:vAlign w:val="center"/>
          </w:tcPr>
          <w:p w14:paraId="619084CC" w14:textId="385C8000" w:rsidR="00317625" w:rsidRPr="00317625" w:rsidRDefault="00317625" w:rsidP="00317625">
            <w:pPr>
              <w:tabs>
                <w:tab w:val="left" w:pos="2001"/>
              </w:tabs>
              <w:ind w:right="907"/>
              <w:jc w:val="right"/>
              <w:rPr>
                <w:rFonts w:ascii="Verdana" w:hAnsi="Verdana"/>
                <w:color w:val="365F91"/>
                <w:sz w:val="18"/>
                <w:szCs w:val="18"/>
                <w:lang w:val="el-GR"/>
              </w:rPr>
            </w:pPr>
            <w:r w:rsidRPr="00317625">
              <w:rPr>
                <w:rFonts w:ascii="Verdana" w:hAnsi="Verdana"/>
                <w:color w:val="365F91"/>
                <w:sz w:val="18"/>
                <w:szCs w:val="18"/>
                <w:lang w:val="el-GR"/>
              </w:rPr>
              <w:t>4</w:t>
            </w:r>
            <w:r>
              <w:rPr>
                <w:rFonts w:ascii="Verdana" w:hAnsi="Verdana"/>
                <w:color w:val="365F91"/>
                <w:sz w:val="18"/>
                <w:szCs w:val="18"/>
                <w:lang w:val="el-GR"/>
              </w:rPr>
              <w:t>,</w:t>
            </w:r>
            <w:r w:rsidRPr="00317625">
              <w:rPr>
                <w:rFonts w:ascii="Verdana" w:hAnsi="Verdana"/>
                <w:color w:val="365F91"/>
                <w:sz w:val="18"/>
                <w:szCs w:val="18"/>
                <w:lang w:val="el-GR"/>
              </w:rPr>
              <w:t>5</w:t>
            </w:r>
          </w:p>
        </w:tc>
        <w:tc>
          <w:tcPr>
            <w:tcW w:w="1137" w:type="pct"/>
            <w:tcBorders>
              <w:top w:val="nil"/>
              <w:bottom w:val="single" w:sz="4" w:space="0" w:color="366092"/>
              <w:right w:val="nil"/>
            </w:tcBorders>
            <w:shd w:val="clear" w:color="FFFFFF" w:fill="FFFFFF"/>
            <w:noWrap/>
            <w:tcMar>
              <w:left w:w="28" w:type="dxa"/>
              <w:right w:w="0" w:type="dxa"/>
            </w:tcMar>
            <w:vAlign w:val="center"/>
          </w:tcPr>
          <w:p w14:paraId="00437143" w14:textId="612E8A49" w:rsidR="00317625" w:rsidRPr="00317625" w:rsidRDefault="00317625" w:rsidP="00317625">
            <w:pPr>
              <w:tabs>
                <w:tab w:val="left" w:pos="2001"/>
              </w:tabs>
              <w:ind w:right="907"/>
              <w:jc w:val="right"/>
              <w:rPr>
                <w:rFonts w:ascii="Verdana" w:hAnsi="Verdana"/>
                <w:color w:val="365F91"/>
                <w:sz w:val="18"/>
                <w:szCs w:val="18"/>
                <w:lang w:val="el-GR"/>
              </w:rPr>
            </w:pPr>
            <w:r w:rsidRPr="00317625">
              <w:rPr>
                <w:rFonts w:ascii="Verdana" w:hAnsi="Verdana"/>
                <w:color w:val="365F91"/>
                <w:sz w:val="18"/>
                <w:szCs w:val="18"/>
                <w:lang w:val="el-GR"/>
              </w:rPr>
              <w:t>-0</w:t>
            </w:r>
            <w:r>
              <w:rPr>
                <w:rFonts w:ascii="Verdana" w:hAnsi="Verdana"/>
                <w:color w:val="365F91"/>
                <w:sz w:val="18"/>
                <w:szCs w:val="18"/>
                <w:lang w:val="el-GR"/>
              </w:rPr>
              <w:t>,</w:t>
            </w:r>
            <w:r w:rsidRPr="00317625">
              <w:rPr>
                <w:rFonts w:ascii="Verdana" w:hAnsi="Verdana"/>
                <w:color w:val="365F91"/>
                <w:sz w:val="18"/>
                <w:szCs w:val="18"/>
                <w:lang w:val="el-GR"/>
              </w:rPr>
              <w:t>9</w:t>
            </w:r>
          </w:p>
        </w:tc>
      </w:tr>
    </w:tbl>
    <w:bookmarkEnd w:id="5"/>
    <w:p w14:paraId="1F67D66A" w14:textId="77777777" w:rsidR="007F5FBB" w:rsidRDefault="00AF5CC6" w:rsidP="007F5FBB">
      <w:pPr>
        <w:tabs>
          <w:tab w:val="left" w:pos="1080"/>
          <w:tab w:val="left" w:pos="6840"/>
        </w:tabs>
        <w:rPr>
          <w:rFonts w:ascii="Verdana" w:eastAsia="Times New Roman" w:hAnsi="Verdana" w:cs="Arial"/>
          <w:bCs/>
          <w:color w:val="365F91"/>
          <w:sz w:val="16"/>
          <w:szCs w:val="16"/>
          <w:lang w:val="el-GR"/>
        </w:rPr>
      </w:pPr>
      <w:r w:rsidRPr="009D0E97">
        <w:rPr>
          <w:rFonts w:ascii="Verdana" w:eastAsia="Times New Roman" w:hAnsi="Verdana" w:cs="Arial"/>
          <w:bCs/>
          <w:color w:val="365F91"/>
          <w:sz w:val="16"/>
          <w:szCs w:val="16"/>
          <w:lang w:val="el-GR"/>
        </w:rPr>
        <w:t xml:space="preserve">Σημείωση: </w:t>
      </w:r>
      <w:r>
        <w:rPr>
          <w:rFonts w:ascii="Verdana" w:eastAsia="Times New Roman" w:hAnsi="Verdana" w:cs="Arial"/>
          <w:bCs/>
          <w:color w:val="365F91"/>
          <w:sz w:val="16"/>
          <w:szCs w:val="16"/>
          <w:lang w:val="el-GR"/>
        </w:rPr>
        <w:t xml:space="preserve">Οι επιμέρους συντελεστές στάθμισης </w:t>
      </w:r>
      <w:r w:rsidRPr="009D0E97">
        <w:rPr>
          <w:rFonts w:ascii="Verdana" w:eastAsia="Times New Roman" w:hAnsi="Verdana" w:cs="Arial"/>
          <w:bCs/>
          <w:color w:val="365F91"/>
          <w:sz w:val="16"/>
          <w:szCs w:val="16"/>
          <w:lang w:val="el-GR"/>
        </w:rPr>
        <w:t>υπολογίζονται με άπειρα δεκαδικά και δημοσιεύονται με στρογγυλοποίηση δυο δεκαδικών</w:t>
      </w:r>
      <w:r>
        <w:rPr>
          <w:rFonts w:ascii="Verdana" w:eastAsia="Times New Roman" w:hAnsi="Verdana" w:cs="Arial"/>
          <w:bCs/>
          <w:color w:val="365F91"/>
          <w:sz w:val="16"/>
          <w:szCs w:val="16"/>
          <w:lang w:val="el-GR"/>
        </w:rPr>
        <w:t>.</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Η</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διαφορά στο άθροισμα</w:t>
      </w:r>
      <w:r w:rsidRPr="009D0E97">
        <w:rPr>
          <w:rFonts w:ascii="Verdana" w:eastAsia="Times New Roman" w:hAnsi="Verdana" w:cs="Arial"/>
          <w:bCs/>
          <w:color w:val="365F91"/>
          <w:sz w:val="16"/>
          <w:szCs w:val="16"/>
          <w:lang w:val="el-GR"/>
        </w:rPr>
        <w:t xml:space="preserve"> είναι λόγω σφάλματος στρογγυλοποίησης</w:t>
      </w:r>
      <w:r>
        <w:rPr>
          <w:rFonts w:ascii="Verdana" w:eastAsia="Times New Roman" w:hAnsi="Verdana" w:cs="Arial"/>
          <w:bCs/>
          <w:color w:val="365F91"/>
          <w:sz w:val="16"/>
          <w:szCs w:val="16"/>
          <w:lang w:val="el-GR"/>
        </w:rPr>
        <w:t>.</w:t>
      </w:r>
    </w:p>
    <w:p w14:paraId="6D996092" w14:textId="77777777" w:rsidR="00E95616" w:rsidRPr="003204B7" w:rsidRDefault="00E95616" w:rsidP="007F5FBB">
      <w:pPr>
        <w:tabs>
          <w:tab w:val="left" w:pos="1080"/>
          <w:tab w:val="left" w:pos="6840"/>
        </w:tabs>
        <w:rPr>
          <w:rFonts w:ascii="Verdana" w:eastAsia="Malgun Gothic" w:hAnsi="Verdana" w:cs="Arial"/>
          <w:bCs/>
          <w:sz w:val="18"/>
          <w:szCs w:val="18"/>
          <w:lang w:val="el-GR"/>
        </w:rPr>
      </w:pPr>
    </w:p>
    <w:p w14:paraId="55264B44" w14:textId="77777777" w:rsidR="00822B64" w:rsidRPr="003204B7" w:rsidRDefault="00822B64" w:rsidP="007F5FBB">
      <w:pPr>
        <w:tabs>
          <w:tab w:val="left" w:pos="1080"/>
          <w:tab w:val="left" w:pos="6840"/>
        </w:tabs>
        <w:rPr>
          <w:rFonts w:ascii="Verdana" w:eastAsia="Malgun Gothic" w:hAnsi="Verdana" w:cs="Arial"/>
          <w:bCs/>
          <w:sz w:val="18"/>
          <w:szCs w:val="18"/>
          <w:lang w:val="el-GR"/>
        </w:rPr>
      </w:pPr>
    </w:p>
    <w:p w14:paraId="301AA67E" w14:textId="1EFE8A85" w:rsidR="00AF5CC6" w:rsidRDefault="00AF5CC6" w:rsidP="00AF5CC6">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9720785" w14:textId="77777777" w:rsidR="00AF5CC6" w:rsidRPr="00780A62" w:rsidRDefault="00AF5CC6" w:rsidP="00AF5CC6">
      <w:pPr>
        <w:tabs>
          <w:tab w:val="left" w:pos="1080"/>
          <w:tab w:val="left" w:pos="6840"/>
        </w:tabs>
        <w:jc w:val="both"/>
        <w:rPr>
          <w:rFonts w:ascii="Verdana" w:eastAsia="Malgun Gothic" w:hAnsi="Verdana" w:cs="Arial"/>
          <w:b/>
          <w:sz w:val="20"/>
          <w:szCs w:val="20"/>
          <w:u w:val="single"/>
          <w:lang w:val="el-GR"/>
        </w:rPr>
      </w:pPr>
    </w:p>
    <w:p w14:paraId="76972153" w14:textId="77777777" w:rsidR="00AF5CC6" w:rsidRPr="00D353D1" w:rsidRDefault="00AF5CC6" w:rsidP="00AF5CC6">
      <w:pPr>
        <w:tabs>
          <w:tab w:val="left" w:pos="1080"/>
          <w:tab w:val="left" w:pos="6840"/>
        </w:tabs>
        <w:jc w:val="both"/>
        <w:rPr>
          <w:rFonts w:ascii="Verdana" w:eastAsia="Malgun Gothic" w:hAnsi="Verdana" w:cs="Arial"/>
          <w:b/>
          <w:sz w:val="18"/>
          <w:szCs w:val="18"/>
          <w:u w:val="single"/>
          <w:lang w:val="el-GR"/>
        </w:rPr>
      </w:pPr>
      <w:r w:rsidRPr="00D353D1">
        <w:rPr>
          <w:rFonts w:ascii="Verdana" w:eastAsia="Malgun Gothic" w:hAnsi="Verdana" w:cs="Arial"/>
          <w:b/>
          <w:sz w:val="18"/>
          <w:szCs w:val="18"/>
          <w:u w:val="single"/>
          <w:lang w:val="el-GR"/>
        </w:rPr>
        <w:t>Ορισμοί</w:t>
      </w:r>
    </w:p>
    <w:p w14:paraId="1EE66D35" w14:textId="77777777" w:rsidR="00AF5CC6" w:rsidRPr="00C32462" w:rsidRDefault="00AF5CC6" w:rsidP="00AF5CC6">
      <w:pPr>
        <w:tabs>
          <w:tab w:val="left" w:pos="1080"/>
          <w:tab w:val="left" w:pos="6840"/>
        </w:tabs>
        <w:jc w:val="both"/>
        <w:rPr>
          <w:rFonts w:ascii="Verdana" w:eastAsia="Malgun Gothic" w:hAnsi="Verdana" w:cs="Arial"/>
          <w:sz w:val="12"/>
          <w:szCs w:val="12"/>
          <w:lang w:val="el-GR"/>
        </w:rPr>
      </w:pPr>
    </w:p>
    <w:p w14:paraId="08F84E11" w14:textId="77777777" w:rsidR="00AF5CC6" w:rsidRPr="003D3348" w:rsidRDefault="00AF5CC6" w:rsidP="00AF5CC6">
      <w:pPr>
        <w:tabs>
          <w:tab w:val="left" w:pos="945"/>
        </w:tabs>
        <w:jc w:val="both"/>
        <w:rPr>
          <w:rFonts w:ascii="Verdana" w:eastAsia="Malgun Gothic" w:hAnsi="Verdana" w:cs="Arial"/>
          <w:sz w:val="18"/>
          <w:szCs w:val="18"/>
          <w:lang w:val="el-GR"/>
        </w:rPr>
      </w:pPr>
      <w:r w:rsidRPr="00E44FF8">
        <w:rPr>
          <w:rFonts w:ascii="Verdana" w:eastAsia="Malgun Gothic" w:hAnsi="Verdana" w:cs="Arial"/>
          <w:sz w:val="18"/>
          <w:szCs w:val="18"/>
          <w:lang w:val="el-GR"/>
        </w:rPr>
        <w:t xml:space="preserve">Ο </w:t>
      </w:r>
      <w:r w:rsidRPr="00FB02BD">
        <w:rPr>
          <w:rFonts w:ascii="Verdana" w:eastAsia="Malgun Gothic" w:hAnsi="Verdana" w:cs="Arial"/>
          <w:b/>
          <w:sz w:val="18"/>
          <w:szCs w:val="18"/>
          <w:lang w:val="el-GR"/>
        </w:rPr>
        <w:t xml:space="preserve">Εναρμονισμένος </w:t>
      </w:r>
      <w:r w:rsidRPr="00E44FF8">
        <w:rPr>
          <w:rFonts w:ascii="Verdana" w:eastAsia="Malgun Gothic" w:hAnsi="Verdana" w:cs="Arial"/>
          <w:b/>
          <w:sz w:val="18"/>
          <w:szCs w:val="18"/>
          <w:lang w:val="el-GR"/>
        </w:rPr>
        <w:t>Δείκτης Τιμών Καταναλωτή (</w:t>
      </w:r>
      <w:r>
        <w:rPr>
          <w:rFonts w:ascii="Verdana" w:eastAsia="Malgun Gothic" w:hAnsi="Verdana" w:cs="Arial"/>
          <w:b/>
          <w:sz w:val="18"/>
          <w:szCs w:val="18"/>
          <w:lang w:val="el-GR"/>
        </w:rPr>
        <w:t>Εν</w:t>
      </w:r>
      <w:r w:rsidRPr="00E44FF8">
        <w:rPr>
          <w:rFonts w:ascii="Verdana" w:eastAsia="Malgun Gothic" w:hAnsi="Verdana" w:cs="Arial"/>
          <w:b/>
          <w:sz w:val="18"/>
          <w:szCs w:val="18"/>
          <w:lang w:val="el-GR"/>
        </w:rPr>
        <w:t>ΔΤΚ)</w:t>
      </w:r>
      <w:r w:rsidRPr="00E44FF8">
        <w:rPr>
          <w:rFonts w:ascii="Verdana" w:eastAsia="Malgun Gothic" w:hAnsi="Verdana" w:cs="Arial"/>
          <w:sz w:val="18"/>
          <w:szCs w:val="18"/>
          <w:lang w:val="el-GR"/>
        </w:rPr>
        <w:t xml:space="preserve"> </w:t>
      </w:r>
      <w:r w:rsidRPr="003D3348">
        <w:rPr>
          <w:rFonts w:ascii="Verdana" w:eastAsia="Malgun Gothic" w:hAnsi="Verdana" w:cs="Arial"/>
          <w:sz w:val="18"/>
          <w:szCs w:val="18"/>
          <w:lang w:val="el-GR"/>
        </w:rPr>
        <w:t>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w:t>
      </w:r>
      <w:r>
        <w:rPr>
          <w:rFonts w:ascii="Verdana" w:eastAsia="Malgun Gothic" w:hAnsi="Verdana" w:cs="Arial"/>
          <w:sz w:val="18"/>
          <w:szCs w:val="18"/>
          <w:lang w:val="el-GR"/>
        </w:rPr>
        <w:t xml:space="preserve"> και τους τουρίστες εντός της οικονομικής επικράτειας της χώρας.</w:t>
      </w:r>
      <w:r w:rsidRPr="003D3348">
        <w:rPr>
          <w:rFonts w:ascii="Verdana" w:eastAsia="Malgun Gothic" w:hAnsi="Verdana" w:cs="Arial"/>
          <w:sz w:val="18"/>
          <w:szCs w:val="18"/>
          <w:lang w:val="el-GR"/>
        </w:rPr>
        <w:t xml:space="preserve"> Ο ΕνΔΤΚ υπολογίζεται σύμφωνα με μια εναρμονισμένη προσέγγιση και μεθοδολογία όπως καθορίστηκαν από την Ε.Ε</w:t>
      </w:r>
      <w:r>
        <w:rPr>
          <w:rFonts w:ascii="Verdana" w:eastAsia="Malgun Gothic" w:hAnsi="Verdana" w:cs="Arial"/>
          <w:sz w:val="18"/>
          <w:szCs w:val="18"/>
          <w:lang w:val="el-GR"/>
        </w:rPr>
        <w:t xml:space="preserve"> με μια σειρά σχετικών Κ</w:t>
      </w:r>
      <w:r w:rsidRPr="003D3348">
        <w:rPr>
          <w:rFonts w:ascii="Verdana" w:eastAsia="Malgun Gothic" w:hAnsi="Verdana" w:cs="Arial"/>
          <w:sz w:val="18"/>
          <w:szCs w:val="18"/>
          <w:lang w:val="el-GR"/>
        </w:rPr>
        <w:t xml:space="preserve">ανονισμών. </w:t>
      </w:r>
    </w:p>
    <w:p w14:paraId="38D7A46A"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43CB3FDD" w14:textId="77777777" w:rsidR="00AF5CC6" w:rsidRPr="00E44FF8" w:rsidRDefault="00AF5CC6" w:rsidP="00AF5CC6">
      <w:pPr>
        <w:tabs>
          <w:tab w:val="left" w:pos="945"/>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Pr="00E44FF8">
        <w:rPr>
          <w:rFonts w:ascii="Verdana" w:eastAsia="Malgun Gothic" w:hAnsi="Verdana" w:cs="Arial"/>
          <w:sz w:val="18"/>
          <w:szCs w:val="18"/>
          <w:lang w:val="el-GR"/>
        </w:rPr>
        <w:t xml:space="preserve"> </w:t>
      </w:r>
      <w:r>
        <w:rPr>
          <w:rFonts w:ascii="Verdana" w:eastAsia="Malgun Gothic" w:hAnsi="Verdana" w:cs="Arial"/>
          <w:b/>
          <w:sz w:val="18"/>
          <w:szCs w:val="18"/>
          <w:lang w:val="el-GR"/>
        </w:rPr>
        <w:t>Ετήσια μεταβολή</w:t>
      </w:r>
      <w:r w:rsidRPr="00E44FF8">
        <w:rPr>
          <w:rFonts w:ascii="Verdana" w:eastAsia="Malgun Gothic" w:hAnsi="Verdana" w:cs="Arial"/>
          <w:sz w:val="18"/>
          <w:szCs w:val="18"/>
          <w:lang w:val="el-GR"/>
        </w:rPr>
        <w:t xml:space="preserve"> δείχνει τη μεταβολή του </w:t>
      </w:r>
      <w:r>
        <w:rPr>
          <w:rFonts w:ascii="Verdana" w:eastAsia="Malgun Gothic" w:hAnsi="Verdana" w:cs="Arial"/>
          <w:sz w:val="18"/>
          <w:szCs w:val="18"/>
          <w:lang w:val="el-GR"/>
        </w:rPr>
        <w:t>Εν</w:t>
      </w:r>
      <w:r w:rsidRPr="00E44FF8">
        <w:rPr>
          <w:rFonts w:ascii="Verdana" w:eastAsia="Malgun Gothic" w:hAnsi="Verdana" w:cs="Arial"/>
          <w:sz w:val="18"/>
          <w:szCs w:val="18"/>
          <w:lang w:val="el-GR"/>
        </w:rPr>
        <w:t>ΔΤΚ σε σχέση με τον αντίστοιχο μήνα του προηγούμενου έτους.</w:t>
      </w:r>
    </w:p>
    <w:p w14:paraId="675DD474" w14:textId="77777777" w:rsidR="00AF5CC6" w:rsidRPr="00C32462" w:rsidRDefault="00AF5CC6" w:rsidP="00AF5CC6">
      <w:pPr>
        <w:tabs>
          <w:tab w:val="left" w:pos="945"/>
        </w:tabs>
        <w:jc w:val="both"/>
        <w:rPr>
          <w:rFonts w:ascii="Verdana" w:eastAsia="Malgun Gothic" w:hAnsi="Verdana" w:cs="Arial"/>
          <w:sz w:val="12"/>
          <w:szCs w:val="12"/>
          <w:lang w:val="el-GR"/>
        </w:rPr>
      </w:pPr>
    </w:p>
    <w:p w14:paraId="15AC57CF" w14:textId="77777777" w:rsidR="00AF5CC6" w:rsidRPr="002D7490" w:rsidRDefault="00AF5CC6" w:rsidP="00AF5CC6">
      <w:pPr>
        <w:pStyle w:val="Normal13pt"/>
        <w:spacing w:line="240" w:lineRule="auto"/>
        <w:ind w:left="0"/>
        <w:jc w:val="left"/>
        <w:rPr>
          <w:rFonts w:ascii="Verdana" w:eastAsia="Malgun Gothic" w:hAnsi="Verdana" w:cs="Arial"/>
          <w:b w:val="0"/>
          <w:sz w:val="18"/>
          <w:szCs w:val="18"/>
          <w:u w:val="none"/>
        </w:rPr>
      </w:pPr>
      <w:r w:rsidRPr="004D4B7C">
        <w:rPr>
          <w:rFonts w:ascii="Verdana" w:eastAsia="Malgun Gothic" w:hAnsi="Verdana" w:cs="Arial"/>
          <w:sz w:val="18"/>
          <w:szCs w:val="18"/>
        </w:rPr>
        <w:t xml:space="preserve">Προϊόντα/Υπηρεσίες </w:t>
      </w:r>
    </w:p>
    <w:p w14:paraId="0FB168BC" w14:textId="77777777" w:rsidR="00AF5CC6" w:rsidRPr="001922DC" w:rsidRDefault="00AF5CC6" w:rsidP="00AF5CC6">
      <w:pPr>
        <w:tabs>
          <w:tab w:val="left" w:pos="1080"/>
          <w:tab w:val="left" w:pos="6840"/>
        </w:tabs>
        <w:jc w:val="both"/>
        <w:rPr>
          <w:rFonts w:ascii="Verdana" w:eastAsia="Malgun Gothic" w:hAnsi="Verdana" w:cs="Arial"/>
          <w:sz w:val="18"/>
          <w:szCs w:val="18"/>
          <w:lang w:val="el-GR"/>
        </w:rPr>
      </w:pPr>
      <w:r w:rsidRPr="002D7490">
        <w:rPr>
          <w:rFonts w:ascii="Verdana" w:eastAsia="Malgun Gothic" w:hAnsi="Verdana" w:cs="Arial"/>
          <w:sz w:val="18"/>
          <w:szCs w:val="18"/>
          <w:lang w:val="el-GR"/>
        </w:rPr>
        <w:br/>
        <w:t>Με ισχύ απ</w:t>
      </w:r>
      <w:r>
        <w:rPr>
          <w:rFonts w:ascii="Verdana" w:eastAsia="Malgun Gothic" w:hAnsi="Verdana" w:cs="Arial"/>
          <w:sz w:val="18"/>
          <w:szCs w:val="18"/>
          <w:lang w:val="el-GR"/>
        </w:rPr>
        <w:t xml:space="preserve">ό τον Ιανουάριο του 2018, </w:t>
      </w:r>
      <w:r w:rsidRPr="002D7490">
        <w:rPr>
          <w:rFonts w:ascii="Verdana" w:eastAsia="Malgun Gothic" w:hAnsi="Verdana" w:cs="Arial"/>
          <w:sz w:val="18"/>
          <w:szCs w:val="18"/>
          <w:lang w:val="el-GR"/>
        </w:rPr>
        <w:t xml:space="preserve">τα προϊόντα που περιέχονται στον </w:t>
      </w:r>
      <w:r>
        <w:rPr>
          <w:rFonts w:ascii="Verdana" w:eastAsia="Malgun Gothic" w:hAnsi="Verdana" w:cs="Arial"/>
          <w:sz w:val="18"/>
          <w:szCs w:val="18"/>
          <w:lang w:val="el-GR"/>
        </w:rPr>
        <w:t>Εν</w:t>
      </w:r>
      <w:r w:rsidRPr="002D7490">
        <w:rPr>
          <w:rFonts w:ascii="Verdana" w:eastAsia="Malgun Gothic" w:hAnsi="Verdana" w:cs="Arial"/>
          <w:sz w:val="18"/>
          <w:szCs w:val="18"/>
          <w:lang w:val="el-GR"/>
        </w:rPr>
        <w:t>ΔΤΚ αναθεωρήθηκαν. Η αναθεώρηση βασίστηκε στα αποτελέσματα της Έρευνας Οικογενειακών Προϋπολογισμών 2015/2016</w:t>
      </w:r>
      <w:r>
        <w:rPr>
          <w:rFonts w:ascii="Verdana" w:eastAsia="Malgun Gothic" w:hAnsi="Verdana" w:cs="Arial"/>
          <w:sz w:val="18"/>
          <w:szCs w:val="18"/>
          <w:lang w:val="el-GR"/>
        </w:rPr>
        <w:t>. Περισσότερες πληροφορίες είναι διαθέσιμες στον ιστότοπο της Στατιστικής Υπηρεσίας στο μέρος Μεθοδολογία</w:t>
      </w:r>
      <w:r w:rsidRPr="001B25A4">
        <w:rPr>
          <w:rFonts w:ascii="Verdana" w:eastAsia="Malgun Gothic" w:hAnsi="Verdana" w:cs="Arial"/>
          <w:sz w:val="18"/>
          <w:szCs w:val="18"/>
          <w:lang w:val="el-GR"/>
        </w:rPr>
        <w:t xml:space="preserve">, </w:t>
      </w:r>
      <w:r>
        <w:rPr>
          <w:rFonts w:ascii="Verdana" w:eastAsia="Malgun Gothic" w:hAnsi="Verdana" w:cs="Arial"/>
          <w:sz w:val="18"/>
          <w:szCs w:val="18"/>
          <w:lang w:val="el-GR"/>
        </w:rPr>
        <w:t>στο στατιστικό υπόθεμα Οικονομία/ Δείκτες Τιμών/ Εναρμονισμένος Δείκτης Τιμών Καταναλωτή.</w:t>
      </w:r>
    </w:p>
    <w:p w14:paraId="240BA12E" w14:textId="77777777" w:rsidR="00AF5CC6" w:rsidRPr="00C32462" w:rsidRDefault="00AF5CC6" w:rsidP="00AF5CC6">
      <w:pPr>
        <w:tabs>
          <w:tab w:val="left" w:pos="945"/>
        </w:tabs>
        <w:jc w:val="both"/>
        <w:rPr>
          <w:rFonts w:ascii="Verdana" w:eastAsia="Malgun Gothic" w:hAnsi="Verdana" w:cs="Arial"/>
          <w:sz w:val="12"/>
          <w:szCs w:val="12"/>
          <w:lang w:val="el-GR"/>
        </w:rPr>
      </w:pPr>
    </w:p>
    <w:p w14:paraId="6D3333FB" w14:textId="77777777" w:rsidR="00AF5CC6" w:rsidRPr="003D3348" w:rsidRDefault="00AF5CC6" w:rsidP="00AF5CC6">
      <w:pPr>
        <w:tabs>
          <w:tab w:val="left" w:pos="1080"/>
          <w:tab w:val="left" w:pos="6840"/>
        </w:tabs>
        <w:jc w:val="both"/>
        <w:rPr>
          <w:rFonts w:ascii="Verdana" w:eastAsia="Malgun Gothic" w:hAnsi="Verdana" w:cs="Arial"/>
          <w:b/>
          <w:sz w:val="18"/>
          <w:szCs w:val="18"/>
          <w:u w:val="single"/>
          <w:lang w:val="el-GR"/>
        </w:rPr>
      </w:pPr>
      <w:r w:rsidRPr="003D3348">
        <w:rPr>
          <w:rFonts w:ascii="Verdana" w:eastAsia="Malgun Gothic" w:hAnsi="Verdana" w:cs="Arial"/>
          <w:b/>
          <w:sz w:val="18"/>
          <w:szCs w:val="18"/>
          <w:u w:val="single"/>
          <w:lang w:val="el-GR"/>
        </w:rPr>
        <w:t>Τιμοληψία</w:t>
      </w:r>
    </w:p>
    <w:p w14:paraId="605E0EF4"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1370A0B4" w14:textId="77777777" w:rsidR="00AF5CC6" w:rsidRPr="003D3348"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Η τιμοληψία διενεργείται μόνο στις αστικές περιοχές των επαρχιών Λευκωσίας, Λάρνακας, Λεμεσού και Πάφου. Για κάθε πόλη οι αυξομειώσεις των τιμών κατά προϊόν κάθε μήνα σταθμίζονται ανάλογα με τον πληθυσμό. Συγκεκριμένα οι συντελεστές στάθμισης για τις τέσσερις επαρχίες είναι οι ακόλουθες: Λευκωσία 42%, Λεμεσός 30%, Λάρνακα 18% και Πάφος 10%. </w:t>
      </w:r>
    </w:p>
    <w:p w14:paraId="62D1C8BE"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250F196F" w14:textId="77777777" w:rsidR="00AF5CC6"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Οι τιμές των </w:t>
      </w:r>
      <w:r>
        <w:rPr>
          <w:rFonts w:ascii="Verdana" w:eastAsia="Malgun Gothic" w:hAnsi="Verdana" w:cs="Arial"/>
          <w:sz w:val="18"/>
          <w:szCs w:val="18"/>
          <w:lang w:val="el-GR"/>
        </w:rPr>
        <w:t xml:space="preserve">805 ειδών (αγαθών και υπηρεσιών) </w:t>
      </w:r>
      <w:r w:rsidRPr="003D3348">
        <w:rPr>
          <w:rFonts w:ascii="Verdana" w:eastAsia="Malgun Gothic" w:hAnsi="Verdana" w:cs="Arial"/>
          <w:sz w:val="18"/>
          <w:szCs w:val="18"/>
          <w:lang w:val="el-GR"/>
        </w:rPr>
        <w:t>καταγράφονται μια φορά κάθε μήνα, εκτός από κάποια εποχικά προϊόντα (π.χ. λαχανικά και φρούτα), τα κρέατα και τα καύσιμα, των οποίων οι τιμές συλλέγονται κάθε βδομάδα (κάθε Πέμπτη).</w:t>
      </w:r>
      <w:r>
        <w:rPr>
          <w:rFonts w:ascii="Verdana" w:eastAsia="Malgun Gothic" w:hAnsi="Verdana" w:cs="Arial"/>
          <w:sz w:val="18"/>
          <w:szCs w:val="18"/>
          <w:lang w:val="el-GR"/>
        </w:rPr>
        <w:t xml:space="preserve"> </w:t>
      </w:r>
      <w:r w:rsidRPr="004929C2">
        <w:rPr>
          <w:rFonts w:ascii="Verdana" w:eastAsia="Malgun Gothic" w:hAnsi="Verdana" w:cs="Arial"/>
          <w:sz w:val="18"/>
          <w:szCs w:val="18"/>
          <w:lang w:val="el-GR"/>
        </w:rPr>
        <w:t xml:space="preserve">Οι </w:t>
      </w:r>
      <w:r>
        <w:rPr>
          <w:rFonts w:ascii="Verdana" w:eastAsia="Malgun Gothic" w:hAnsi="Verdana" w:cs="Arial"/>
          <w:sz w:val="18"/>
          <w:szCs w:val="18"/>
          <w:lang w:val="el-GR"/>
        </w:rPr>
        <w:t xml:space="preserve">συλλεγόμενες τιμές είναι πραγματικά καταβαλλόμενες τιμές από τους καταναλωτές, συμπεριλαμβανομένων και των διάφορων φόρων (ΦΠΑ, </w:t>
      </w:r>
      <w:r w:rsidRPr="004929C2">
        <w:rPr>
          <w:rFonts w:ascii="Verdana" w:eastAsia="Malgun Gothic" w:hAnsi="Verdana" w:cs="Arial"/>
          <w:sz w:val="18"/>
          <w:szCs w:val="18"/>
          <w:lang w:val="el-GR"/>
        </w:rPr>
        <w:t>φόρο</w:t>
      </w:r>
      <w:r>
        <w:rPr>
          <w:rFonts w:ascii="Verdana" w:eastAsia="Malgun Gothic" w:hAnsi="Verdana" w:cs="Arial"/>
          <w:sz w:val="18"/>
          <w:szCs w:val="18"/>
          <w:lang w:val="el-GR"/>
        </w:rPr>
        <w:t>ι</w:t>
      </w:r>
      <w:r w:rsidRPr="004929C2">
        <w:rPr>
          <w:rFonts w:ascii="Verdana" w:eastAsia="Malgun Gothic" w:hAnsi="Verdana" w:cs="Arial"/>
          <w:sz w:val="18"/>
          <w:szCs w:val="18"/>
          <w:lang w:val="el-GR"/>
        </w:rPr>
        <w:t xml:space="preserve"> κατανάλωσης</w:t>
      </w:r>
      <w:r>
        <w:rPr>
          <w:rFonts w:ascii="Verdana" w:eastAsia="Malgun Gothic" w:hAnsi="Verdana" w:cs="Arial"/>
          <w:sz w:val="18"/>
          <w:szCs w:val="18"/>
          <w:lang w:val="el-GR"/>
        </w:rPr>
        <w:t>)</w:t>
      </w:r>
      <w:r w:rsidRPr="004929C2">
        <w:rPr>
          <w:rFonts w:ascii="Verdana" w:eastAsia="Malgun Gothic" w:hAnsi="Verdana" w:cs="Arial"/>
          <w:sz w:val="18"/>
          <w:szCs w:val="18"/>
          <w:lang w:val="el-GR"/>
        </w:rPr>
        <w:t>.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w:t>
      </w:r>
    </w:p>
    <w:p w14:paraId="4F4F8D31" w14:textId="77777777" w:rsidR="00AF5CC6" w:rsidRPr="00C32462" w:rsidRDefault="00AF5CC6" w:rsidP="00AF5CC6">
      <w:pPr>
        <w:tabs>
          <w:tab w:val="left" w:pos="945"/>
        </w:tabs>
        <w:jc w:val="both"/>
        <w:rPr>
          <w:rFonts w:ascii="Verdana" w:eastAsia="Malgun Gothic" w:hAnsi="Verdana" w:cs="Arial"/>
          <w:sz w:val="12"/>
          <w:szCs w:val="12"/>
          <w:lang w:val="el-GR"/>
        </w:rPr>
      </w:pPr>
    </w:p>
    <w:p w14:paraId="39E870C9" w14:textId="77777777" w:rsidR="00AF5CC6" w:rsidRPr="00B75AE5" w:rsidRDefault="00AF5CC6" w:rsidP="00AF5CC6">
      <w:pPr>
        <w:tabs>
          <w:tab w:val="left" w:pos="360"/>
          <w:tab w:val="left" w:pos="6840"/>
        </w:tabs>
        <w:ind w:right="-79"/>
        <w:jc w:val="both"/>
        <w:rPr>
          <w:rFonts w:ascii="Verdana" w:eastAsia="Malgun Gothic" w:hAnsi="Verdana" w:cs="Arial"/>
          <w:b/>
          <w:sz w:val="18"/>
          <w:szCs w:val="18"/>
          <w:u w:val="single"/>
          <w:lang w:val="el-GR"/>
        </w:rPr>
      </w:pPr>
      <w:r w:rsidRPr="00B75AE5">
        <w:rPr>
          <w:rFonts w:ascii="Verdana" w:eastAsia="Malgun Gothic" w:hAnsi="Verdana" w:cs="Arial"/>
          <w:b/>
          <w:sz w:val="18"/>
          <w:szCs w:val="18"/>
          <w:u w:val="single"/>
          <w:lang w:val="el-GR"/>
        </w:rPr>
        <w:t xml:space="preserve">Συντελεστές </w:t>
      </w:r>
      <w:r w:rsidR="007F5FBB">
        <w:rPr>
          <w:rFonts w:ascii="Verdana" w:eastAsia="Malgun Gothic" w:hAnsi="Verdana" w:cs="Arial"/>
          <w:b/>
          <w:sz w:val="18"/>
          <w:szCs w:val="18"/>
          <w:u w:val="single"/>
          <w:lang w:val="el-GR"/>
        </w:rPr>
        <w:t>Σ</w:t>
      </w:r>
      <w:r w:rsidRPr="00B75AE5">
        <w:rPr>
          <w:rFonts w:ascii="Verdana" w:eastAsia="Malgun Gothic" w:hAnsi="Verdana" w:cs="Arial"/>
          <w:b/>
          <w:sz w:val="18"/>
          <w:szCs w:val="18"/>
          <w:u w:val="single"/>
          <w:lang w:val="el-GR"/>
        </w:rPr>
        <w:t xml:space="preserve">τάθμισης των </w:t>
      </w:r>
      <w:r w:rsidR="007F5FBB">
        <w:rPr>
          <w:rFonts w:ascii="Verdana" w:eastAsia="Malgun Gothic" w:hAnsi="Verdana" w:cs="Arial"/>
          <w:b/>
          <w:sz w:val="18"/>
          <w:szCs w:val="18"/>
          <w:u w:val="single"/>
          <w:lang w:val="el-GR"/>
        </w:rPr>
        <w:t>Ε</w:t>
      </w:r>
      <w:r w:rsidRPr="00B75AE5">
        <w:rPr>
          <w:rFonts w:ascii="Verdana" w:eastAsia="Malgun Gothic" w:hAnsi="Verdana" w:cs="Arial"/>
          <w:b/>
          <w:sz w:val="18"/>
          <w:szCs w:val="18"/>
          <w:u w:val="single"/>
          <w:lang w:val="el-GR"/>
        </w:rPr>
        <w:t xml:space="preserve">ιδών </w:t>
      </w:r>
    </w:p>
    <w:p w14:paraId="253B9CA6" w14:textId="77777777" w:rsidR="00AF5CC6" w:rsidRPr="00C32462" w:rsidRDefault="00AF5CC6" w:rsidP="00AF5CC6">
      <w:pPr>
        <w:tabs>
          <w:tab w:val="left" w:pos="360"/>
          <w:tab w:val="left" w:pos="6840"/>
        </w:tabs>
        <w:ind w:right="-79"/>
        <w:jc w:val="both"/>
        <w:rPr>
          <w:rFonts w:ascii="Verdana" w:eastAsia="Malgun Gothic" w:hAnsi="Verdana" w:cs="Arial"/>
          <w:b/>
          <w:i/>
          <w:sz w:val="12"/>
          <w:szCs w:val="12"/>
          <w:lang w:val="el-GR"/>
        </w:rPr>
      </w:pPr>
    </w:p>
    <w:p w14:paraId="7AF546AC" w14:textId="77777777" w:rsidR="00AF5CC6" w:rsidRDefault="00AF5CC6" w:rsidP="00AF5CC6">
      <w:pPr>
        <w:tabs>
          <w:tab w:val="left" w:pos="360"/>
          <w:tab w:val="left" w:pos="6840"/>
        </w:tabs>
        <w:ind w:right="-79"/>
        <w:jc w:val="both"/>
        <w:rPr>
          <w:rFonts w:ascii="Verdana" w:eastAsia="Malgun Gothic" w:hAnsi="Verdana" w:cs="Arial"/>
          <w:b/>
          <w:i/>
          <w:sz w:val="20"/>
          <w:szCs w:val="20"/>
          <w:lang w:val="el-GR"/>
        </w:rPr>
      </w:pPr>
      <w:r>
        <w:rPr>
          <w:rFonts w:ascii="Verdana" w:eastAsia="Malgun Gothic" w:hAnsi="Verdana" w:cs="Arial"/>
          <w:sz w:val="18"/>
          <w:szCs w:val="18"/>
          <w:lang w:val="el-GR"/>
        </w:rPr>
        <w:t xml:space="preserve">Οι συντελεστές στάθμισης των ειδών του ΕνΔΤΚ υπολογίζονται βάσει των καταναλωτικών δαπανών (των νοικοκυριών και τουριστών), που πραγματοποιούνται στην οικονομική επικράτεια της χώρας. </w:t>
      </w:r>
      <w:r w:rsidRPr="00B75AE5">
        <w:rPr>
          <w:rFonts w:ascii="Verdana" w:eastAsia="Malgun Gothic" w:hAnsi="Verdana" w:cs="Arial"/>
          <w:sz w:val="18"/>
          <w:szCs w:val="18"/>
          <w:lang w:val="el-GR"/>
        </w:rPr>
        <w:t xml:space="preserve">Μέχρι το 2011 </w:t>
      </w:r>
      <w:r>
        <w:rPr>
          <w:rFonts w:ascii="Verdana" w:eastAsia="Malgun Gothic" w:hAnsi="Verdana" w:cs="Arial"/>
          <w:sz w:val="18"/>
          <w:szCs w:val="18"/>
          <w:lang w:val="el-GR"/>
        </w:rPr>
        <w:t>η κύρια πηγή</w:t>
      </w:r>
      <w:r w:rsidRPr="00B75AE5">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για τις καταναλωτικές δαπάνες αποτελούσε η </w:t>
      </w:r>
      <w:r w:rsidRPr="00B75AE5">
        <w:rPr>
          <w:rFonts w:ascii="Verdana" w:eastAsia="Malgun Gothic" w:hAnsi="Verdana" w:cs="Arial"/>
          <w:sz w:val="18"/>
          <w:szCs w:val="18"/>
          <w:lang w:val="el-GR"/>
        </w:rPr>
        <w:t>Έρευνα Οικογενειακού Προϋπολογισμού, ενώ από το 2012 και με βάση κανονισμό της Ευρωπαϊκής Στατιστικής Υπηρεσίας (No 1</w:t>
      </w:r>
      <w:r>
        <w:rPr>
          <w:rFonts w:ascii="Verdana" w:eastAsia="Malgun Gothic" w:hAnsi="Verdana" w:cs="Arial"/>
          <w:sz w:val="18"/>
          <w:szCs w:val="18"/>
          <w:lang w:val="el-GR"/>
        </w:rPr>
        <w:t>148</w:t>
      </w:r>
      <w:r w:rsidRPr="00B75AE5">
        <w:rPr>
          <w:rFonts w:ascii="Verdana" w:eastAsia="Malgun Gothic" w:hAnsi="Verdana" w:cs="Arial"/>
          <w:sz w:val="18"/>
          <w:szCs w:val="18"/>
          <w:lang w:val="el-GR"/>
        </w:rPr>
        <w:t>/20</w:t>
      </w:r>
      <w:r>
        <w:rPr>
          <w:rFonts w:ascii="Verdana" w:eastAsia="Malgun Gothic" w:hAnsi="Verdana" w:cs="Arial"/>
          <w:sz w:val="18"/>
          <w:szCs w:val="18"/>
          <w:lang w:val="el-GR"/>
        </w:rPr>
        <w:t>2</w:t>
      </w:r>
      <w:r w:rsidRPr="00B75AE5">
        <w:rPr>
          <w:rFonts w:ascii="Verdana" w:eastAsia="Malgun Gothic" w:hAnsi="Verdana" w:cs="Arial"/>
          <w:sz w:val="18"/>
          <w:szCs w:val="18"/>
          <w:lang w:val="el-GR"/>
        </w:rPr>
        <w:t xml:space="preserve">0) </w:t>
      </w:r>
      <w:r>
        <w:rPr>
          <w:rFonts w:ascii="Verdana" w:eastAsia="Malgun Gothic" w:hAnsi="Verdana" w:cs="Arial"/>
          <w:sz w:val="18"/>
          <w:szCs w:val="18"/>
          <w:lang w:val="el-GR"/>
        </w:rPr>
        <w:t>αξιοποιούνται κυρίως</w:t>
      </w:r>
      <w:r w:rsidRPr="00B75AE5">
        <w:rPr>
          <w:rFonts w:ascii="Verdana" w:eastAsia="Malgun Gothic" w:hAnsi="Verdana" w:cs="Arial"/>
          <w:sz w:val="18"/>
          <w:szCs w:val="18"/>
          <w:lang w:val="el-GR"/>
        </w:rPr>
        <w:t xml:space="preserve"> στοιχεία </w:t>
      </w:r>
      <w:r>
        <w:rPr>
          <w:rFonts w:ascii="Verdana" w:eastAsia="Malgun Gothic" w:hAnsi="Verdana" w:cs="Arial"/>
          <w:sz w:val="18"/>
          <w:szCs w:val="18"/>
          <w:lang w:val="el-GR"/>
        </w:rPr>
        <w:t xml:space="preserve">από τους </w:t>
      </w:r>
      <w:r w:rsidRPr="00B75AE5">
        <w:rPr>
          <w:rFonts w:ascii="Verdana" w:eastAsia="Malgun Gothic" w:hAnsi="Verdana" w:cs="Arial"/>
          <w:sz w:val="18"/>
          <w:szCs w:val="18"/>
          <w:lang w:val="el-GR"/>
        </w:rPr>
        <w:t>Εθνικ</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Λογαριασμ</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w:t>
      </w:r>
    </w:p>
    <w:p w14:paraId="2EA5216E" w14:textId="77777777" w:rsidR="00AF5CC6" w:rsidRPr="00C32462" w:rsidRDefault="00AF5CC6" w:rsidP="00AF5CC6">
      <w:pPr>
        <w:tabs>
          <w:tab w:val="left" w:pos="945"/>
        </w:tabs>
        <w:jc w:val="both"/>
        <w:rPr>
          <w:rFonts w:ascii="Verdana" w:eastAsia="Malgun Gothic" w:hAnsi="Verdana" w:cs="Arial"/>
          <w:sz w:val="12"/>
          <w:szCs w:val="12"/>
          <w:lang w:val="el-GR"/>
        </w:rPr>
      </w:pPr>
    </w:p>
    <w:p w14:paraId="10005700" w14:textId="77777777" w:rsidR="00AF5CC6" w:rsidRPr="0080014B" w:rsidRDefault="00AF5CC6" w:rsidP="00AF5CC6">
      <w:pPr>
        <w:pStyle w:val="Normal13pt"/>
        <w:spacing w:line="240" w:lineRule="auto"/>
        <w:ind w:left="0"/>
        <w:rPr>
          <w:rFonts w:ascii="Verdana" w:eastAsia="Malgun Gothic" w:hAnsi="Verdana" w:cs="Arial"/>
          <w:sz w:val="18"/>
          <w:szCs w:val="18"/>
        </w:rPr>
      </w:pPr>
      <w:r w:rsidRPr="0080014B">
        <w:rPr>
          <w:rFonts w:ascii="Verdana" w:eastAsia="Malgun Gothic" w:hAnsi="Verdana" w:cs="Arial"/>
          <w:sz w:val="18"/>
          <w:szCs w:val="18"/>
        </w:rPr>
        <w:t xml:space="preserve">Έτος </w:t>
      </w:r>
      <w:r w:rsidR="00634639">
        <w:rPr>
          <w:rFonts w:ascii="Verdana" w:eastAsia="Malgun Gothic" w:hAnsi="Verdana" w:cs="Arial"/>
          <w:sz w:val="18"/>
          <w:szCs w:val="18"/>
        </w:rPr>
        <w:t>Β</w:t>
      </w:r>
      <w:r w:rsidRPr="0080014B">
        <w:rPr>
          <w:rFonts w:ascii="Verdana" w:eastAsia="Malgun Gothic" w:hAnsi="Verdana" w:cs="Arial"/>
          <w:sz w:val="18"/>
          <w:szCs w:val="18"/>
        </w:rPr>
        <w:t>άσης</w:t>
      </w:r>
    </w:p>
    <w:p w14:paraId="78164CE6" w14:textId="77777777" w:rsidR="00AF5CC6" w:rsidRPr="00C32462" w:rsidRDefault="00AF5CC6" w:rsidP="00AF5CC6">
      <w:pPr>
        <w:tabs>
          <w:tab w:val="left" w:pos="945"/>
        </w:tabs>
        <w:jc w:val="both"/>
        <w:rPr>
          <w:rFonts w:ascii="Verdana" w:eastAsia="Malgun Gothic" w:hAnsi="Verdana" w:cs="Arial"/>
          <w:sz w:val="12"/>
          <w:szCs w:val="12"/>
          <w:lang w:val="el-GR"/>
        </w:rPr>
      </w:pPr>
    </w:p>
    <w:p w14:paraId="0A9112B6" w14:textId="77777777" w:rsidR="00AF5CC6" w:rsidRPr="00E44FF8" w:rsidRDefault="00AF5CC6" w:rsidP="00AF5CC6">
      <w:pPr>
        <w:jc w:val="both"/>
        <w:rPr>
          <w:rFonts w:ascii="Verdana" w:eastAsia="Malgun Gothic" w:hAnsi="Verdana" w:cs="Arial"/>
          <w:sz w:val="18"/>
          <w:szCs w:val="18"/>
          <w:lang w:val="el-GR"/>
        </w:rPr>
      </w:pPr>
      <w:r w:rsidRPr="00E44FF8">
        <w:rPr>
          <w:rFonts w:ascii="Verdana" w:eastAsia="Malgun Gothic" w:hAnsi="Verdana" w:cs="Arial"/>
          <w:sz w:val="18"/>
          <w:szCs w:val="18"/>
          <w:lang w:val="el-GR"/>
        </w:rPr>
        <w:t>Το έτος βάσης από τον Ιανουάριο του 2006 μέχρι το Δεκέμβριο του 2015 ήταν το 2005=100. Από τον Ιανουάριο του 2016 έτος αναφοράς είναι το 2015=100.</w:t>
      </w:r>
    </w:p>
    <w:p w14:paraId="7A878D08" w14:textId="77777777" w:rsidR="00AF5CC6" w:rsidRPr="00C32462" w:rsidRDefault="00AF5CC6" w:rsidP="00AF5CC6">
      <w:pPr>
        <w:pStyle w:val="Normal13pt"/>
        <w:spacing w:line="240" w:lineRule="auto"/>
        <w:ind w:left="0"/>
        <w:rPr>
          <w:rFonts w:ascii="Verdana" w:eastAsia="Malgun Gothic" w:hAnsi="Verdana" w:cs="Arial"/>
          <w:i/>
          <w:sz w:val="12"/>
          <w:szCs w:val="12"/>
          <w:u w:val="none"/>
        </w:rPr>
      </w:pPr>
    </w:p>
    <w:p w14:paraId="3D3A5F99" w14:textId="77777777" w:rsidR="00AF5CC6" w:rsidRPr="0080014B" w:rsidRDefault="00AF5CC6" w:rsidP="00AF5CC6">
      <w:pPr>
        <w:pStyle w:val="Normal13pt"/>
        <w:spacing w:line="240" w:lineRule="auto"/>
        <w:ind w:left="0"/>
        <w:rPr>
          <w:rFonts w:ascii="Verdana" w:eastAsia="Malgun Gothic" w:hAnsi="Verdana" w:cs="Arial"/>
          <w:sz w:val="18"/>
          <w:szCs w:val="18"/>
        </w:rPr>
      </w:pPr>
      <w:r>
        <w:rPr>
          <w:rFonts w:ascii="Verdana" w:eastAsia="Malgun Gothic" w:hAnsi="Verdana" w:cs="Arial"/>
          <w:sz w:val="18"/>
          <w:szCs w:val="18"/>
        </w:rPr>
        <w:t>Ταξινόμηση</w:t>
      </w:r>
      <w:r w:rsidRPr="0080014B">
        <w:rPr>
          <w:rFonts w:ascii="Verdana" w:eastAsia="Malgun Gothic" w:hAnsi="Verdana" w:cs="Arial"/>
          <w:sz w:val="18"/>
          <w:szCs w:val="18"/>
        </w:rPr>
        <w:t xml:space="preserve">                                                                                                                  </w:t>
      </w:r>
    </w:p>
    <w:p w14:paraId="03723572" w14:textId="77777777" w:rsidR="00AF5CC6" w:rsidRPr="00E44FF8" w:rsidRDefault="00AF5CC6" w:rsidP="00AF5CC6">
      <w:pPr>
        <w:tabs>
          <w:tab w:val="left" w:pos="360"/>
          <w:tab w:val="left" w:pos="6840"/>
        </w:tabs>
        <w:ind w:right="-79"/>
        <w:jc w:val="both"/>
        <w:rPr>
          <w:rFonts w:ascii="Verdana" w:eastAsia="Malgun Gothic" w:hAnsi="Verdana" w:cs="Arial"/>
          <w:sz w:val="18"/>
          <w:szCs w:val="18"/>
          <w:lang w:val="el-GR"/>
        </w:rPr>
      </w:pPr>
    </w:p>
    <w:p w14:paraId="4F79071E" w14:textId="77777777" w:rsidR="00AF5CC6" w:rsidRPr="00C23701" w:rsidRDefault="00AF5CC6" w:rsidP="00AF5CC6">
      <w:pPr>
        <w:pStyle w:val="Normal13pt"/>
        <w:spacing w:line="240" w:lineRule="auto"/>
        <w:ind w:left="0"/>
        <w:rPr>
          <w:rFonts w:ascii="Verdana" w:eastAsia="Malgun Gothic" w:hAnsi="Verdana" w:cs="Arial"/>
          <w:b w:val="0"/>
          <w:sz w:val="18"/>
          <w:szCs w:val="18"/>
          <w:u w:val="none"/>
        </w:rPr>
      </w:pPr>
      <w:r w:rsidRPr="00E44FF8">
        <w:rPr>
          <w:rFonts w:ascii="Verdana" w:eastAsia="Malgun Gothic" w:hAnsi="Verdana" w:cs="Arial"/>
          <w:b w:val="0"/>
          <w:sz w:val="18"/>
          <w:szCs w:val="18"/>
          <w:u w:val="none"/>
        </w:rPr>
        <w:t xml:space="preserve">Μέχρι το Δεκέμβριο του 2015, ο </w:t>
      </w:r>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 υπ</w:t>
      </w:r>
      <w:r>
        <w:rPr>
          <w:rFonts w:ascii="Verdana" w:eastAsia="Malgun Gothic" w:hAnsi="Verdana" w:cs="Arial"/>
          <w:b w:val="0"/>
          <w:sz w:val="18"/>
          <w:szCs w:val="18"/>
          <w:u w:val="none"/>
        </w:rPr>
        <w:t>ολογιζόταν και δημοσιευόταν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COICOP4 </w:t>
      </w:r>
      <w:r>
        <w:rPr>
          <w:rFonts w:ascii="Verdana" w:eastAsia="Malgun Gothic" w:hAnsi="Verdana" w:cs="Arial"/>
          <w:b w:val="0"/>
          <w:sz w:val="18"/>
          <w:szCs w:val="18"/>
          <w:u w:val="none"/>
        </w:rPr>
        <w:t>με την ο</w:t>
      </w:r>
      <w:r w:rsidRPr="00E44FF8">
        <w:rPr>
          <w:rFonts w:ascii="Verdana" w:eastAsia="Malgun Gothic" w:hAnsi="Verdana" w:cs="Arial"/>
          <w:b w:val="0"/>
          <w:sz w:val="18"/>
          <w:szCs w:val="18"/>
          <w:u w:val="none"/>
        </w:rPr>
        <w:t xml:space="preserve">ποία </w:t>
      </w:r>
      <w:r>
        <w:rPr>
          <w:rFonts w:ascii="Verdana" w:eastAsia="Malgun Gothic" w:hAnsi="Verdana" w:cs="Arial"/>
          <w:b w:val="0"/>
          <w:sz w:val="18"/>
          <w:szCs w:val="18"/>
          <w:u w:val="none"/>
        </w:rPr>
        <w:t>η κατηγορία</w:t>
      </w:r>
      <w:r w:rsidRPr="00E44FF8">
        <w:rPr>
          <w:rFonts w:ascii="Verdana" w:eastAsia="Malgun Gothic" w:hAnsi="Verdana" w:cs="Arial"/>
          <w:b w:val="0"/>
          <w:sz w:val="18"/>
          <w:szCs w:val="18"/>
          <w:u w:val="none"/>
        </w:rPr>
        <w:t xml:space="preserve"> των προϊόντων  </w:t>
      </w:r>
      <w:r>
        <w:rPr>
          <w:rFonts w:ascii="Verdana" w:eastAsia="Malgun Gothic" w:hAnsi="Verdana" w:cs="Arial"/>
          <w:b w:val="0"/>
          <w:sz w:val="18"/>
          <w:szCs w:val="18"/>
          <w:u w:val="none"/>
        </w:rPr>
        <w:t>καθορίζεται μέχρι τα</w:t>
      </w:r>
      <w:r w:rsidRPr="00E44FF8">
        <w:rPr>
          <w:rFonts w:ascii="Verdana" w:eastAsia="Malgun Gothic" w:hAnsi="Verdana" w:cs="Arial"/>
          <w:b w:val="0"/>
          <w:sz w:val="18"/>
          <w:szCs w:val="18"/>
          <w:u w:val="none"/>
        </w:rPr>
        <w:t xml:space="preserve"> </w:t>
      </w:r>
      <w:r>
        <w:rPr>
          <w:rFonts w:ascii="Verdana" w:eastAsia="Malgun Gothic" w:hAnsi="Verdana" w:cs="Arial"/>
          <w:b w:val="0"/>
          <w:sz w:val="18"/>
          <w:szCs w:val="18"/>
          <w:u w:val="none"/>
        </w:rPr>
        <w:t>τέσσερα ψηφία</w:t>
      </w:r>
      <w:r w:rsidRPr="00E44FF8">
        <w:rPr>
          <w:rFonts w:ascii="Verdana" w:eastAsia="Malgun Gothic" w:hAnsi="Verdana" w:cs="Arial"/>
          <w:b w:val="0"/>
          <w:sz w:val="18"/>
          <w:szCs w:val="18"/>
          <w:u w:val="none"/>
        </w:rPr>
        <w:t xml:space="preserve">. Από τον Ιανουάριο του 2016, ο </w:t>
      </w:r>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 υπ</w:t>
      </w:r>
      <w:r>
        <w:rPr>
          <w:rFonts w:ascii="Verdana" w:eastAsia="Malgun Gothic" w:hAnsi="Verdana" w:cs="Arial"/>
          <w:b w:val="0"/>
          <w:sz w:val="18"/>
          <w:szCs w:val="18"/>
          <w:u w:val="none"/>
        </w:rPr>
        <w:t>ολογίζεται και δημοσιεύεται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ECOICOP ακολουθώντας σχετικό κανονισμό της Ευρωπαϊκής Στατιστικής Υπηρεσίας. Ως εκ τούτου, το χαμηλότερο επίπεδο λεπτομέρειας για την ταξινόμηση που χρησιμοποιείται είναι τα πέντε ψηφία.</w:t>
      </w:r>
    </w:p>
    <w:p w14:paraId="7112E648" w14:textId="77777777" w:rsidR="00AF5CC6" w:rsidRDefault="00AF5CC6" w:rsidP="00AF5CC6">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Από τον Φ</w:t>
      </w:r>
      <w:r w:rsidRPr="008430B2">
        <w:rPr>
          <w:rFonts w:ascii="Verdana" w:eastAsia="Malgun Gothic" w:hAnsi="Verdana" w:cs="Arial"/>
          <w:sz w:val="18"/>
          <w:szCs w:val="18"/>
          <w:lang w:val="el-GR"/>
        </w:rPr>
        <w:t>εβρου</w:t>
      </w:r>
      <w:r>
        <w:rPr>
          <w:rFonts w:ascii="Verdana" w:eastAsia="Malgun Gothic" w:hAnsi="Verdana" w:cs="Arial"/>
          <w:sz w:val="18"/>
          <w:szCs w:val="18"/>
          <w:lang w:val="el-GR"/>
        </w:rPr>
        <w:t>άριο</w:t>
      </w:r>
      <w:r w:rsidRPr="008430B2">
        <w:rPr>
          <w:rFonts w:ascii="Verdana" w:eastAsia="Malgun Gothic" w:hAnsi="Verdana" w:cs="Arial"/>
          <w:sz w:val="18"/>
          <w:szCs w:val="18"/>
          <w:lang w:val="el-GR"/>
        </w:rPr>
        <w:t xml:space="preserve"> 2019, η Στατιστική Υπηρεσία Κύπρου δημοσιεύει τις οικονομικές κατηγορίες του ΕνΔΤΚ όπως υπολογίστηκαν από πιο λεπτομερή δεδομένα. </w:t>
      </w:r>
    </w:p>
    <w:p w14:paraId="5028F58D" w14:textId="77777777" w:rsidR="00AF5CC6" w:rsidRPr="00BE4A4D" w:rsidRDefault="00AF5CC6" w:rsidP="00AF5CC6">
      <w:pPr>
        <w:tabs>
          <w:tab w:val="left" w:pos="360"/>
          <w:tab w:val="left" w:pos="6840"/>
        </w:tabs>
        <w:ind w:right="-79"/>
        <w:jc w:val="both"/>
        <w:rPr>
          <w:rFonts w:ascii="Verdana" w:eastAsia="Malgun Gothic" w:hAnsi="Verdana" w:cs="Arial"/>
          <w:sz w:val="20"/>
          <w:szCs w:val="20"/>
          <w:lang w:val="el-GR"/>
        </w:rPr>
      </w:pPr>
    </w:p>
    <w:p w14:paraId="4E60FD43" w14:textId="77777777" w:rsidR="00AF5CC6" w:rsidRPr="004E3745" w:rsidRDefault="00AF5CC6" w:rsidP="00AF5CC6">
      <w:pPr>
        <w:tabs>
          <w:tab w:val="left" w:pos="360"/>
          <w:tab w:val="left" w:pos="6840"/>
        </w:tabs>
        <w:ind w:right="-79"/>
        <w:jc w:val="both"/>
        <w:rPr>
          <w:rFonts w:ascii="Verdana" w:eastAsia="Malgun Gothic" w:hAnsi="Verdana" w:cs="Arial"/>
          <w:b/>
          <w:i/>
          <w:sz w:val="18"/>
          <w:szCs w:val="18"/>
          <w:lang w:val="el-GR"/>
        </w:rPr>
      </w:pPr>
      <w:r w:rsidRPr="00780A62">
        <w:rPr>
          <w:rFonts w:ascii="Verdana" w:eastAsia="Malgun Gothic" w:hAnsi="Verdana" w:cs="Arial"/>
          <w:b/>
          <w:i/>
          <w:sz w:val="18"/>
          <w:szCs w:val="18"/>
          <w:lang w:val="el-GR"/>
        </w:rPr>
        <w:t>Για περισσότερες πληροφορίες</w:t>
      </w:r>
      <w:r w:rsidRPr="002D7D4A">
        <w:rPr>
          <w:rFonts w:ascii="Verdana" w:eastAsia="Malgun Gothic" w:hAnsi="Verdana" w:cs="Arial"/>
          <w:b/>
          <w:i/>
          <w:sz w:val="18"/>
          <w:szCs w:val="18"/>
          <w:lang w:val="el-GR"/>
        </w:rPr>
        <w:t>:</w:t>
      </w:r>
    </w:p>
    <w:p w14:paraId="79E0C169" w14:textId="77777777" w:rsidR="00AF5CC6" w:rsidRPr="0050785A" w:rsidRDefault="00AF5CC6" w:rsidP="00AF5CC6">
      <w:pPr>
        <w:rPr>
          <w:rFonts w:ascii="Verdana" w:hAnsi="Verdana"/>
          <w:sz w:val="18"/>
          <w:szCs w:val="18"/>
          <w:lang w:val="el-GR"/>
        </w:rPr>
      </w:pPr>
      <w:r w:rsidRPr="0050785A">
        <w:rPr>
          <w:rFonts w:ascii="Verdana" w:hAnsi="Verdana"/>
          <w:sz w:val="18"/>
          <w:szCs w:val="18"/>
          <w:lang w:val="el-GR"/>
        </w:rPr>
        <w:t xml:space="preserve">Πύλη Στατιστικής Υπηρεσίας, υπόθεμα </w:t>
      </w:r>
      <w:hyperlink r:id="rId9" w:history="1">
        <w:r w:rsidRPr="0050785A">
          <w:rPr>
            <w:rStyle w:val="Hyperlink"/>
            <w:rFonts w:ascii="Verdana" w:hAnsi="Verdana"/>
            <w:sz w:val="18"/>
            <w:szCs w:val="18"/>
            <w:lang w:val="el-GR"/>
          </w:rPr>
          <w:t>Δείκτες Τιμών</w:t>
        </w:r>
      </w:hyperlink>
    </w:p>
    <w:p w14:paraId="3E68E3B0" w14:textId="77777777" w:rsidR="00AF5CC6" w:rsidRPr="0050785A" w:rsidRDefault="00AF5CC6" w:rsidP="00AF5CC6">
      <w:pPr>
        <w:rPr>
          <w:rFonts w:ascii="Verdana" w:hAnsi="Verdana"/>
          <w:sz w:val="18"/>
          <w:szCs w:val="18"/>
          <w:lang w:val="el-GR"/>
        </w:rPr>
      </w:pPr>
      <w:hyperlink r:id="rId10" w:history="1">
        <w:r w:rsidRPr="00966C90">
          <w:rPr>
            <w:rStyle w:val="Hyperlink"/>
            <w:rFonts w:ascii="Verdana" w:hAnsi="Verdana"/>
            <w:sz w:val="18"/>
            <w:szCs w:val="18"/>
          </w:rPr>
          <w:t>CYSTAT</w:t>
        </w:r>
        <w:r w:rsidRPr="0050785A">
          <w:rPr>
            <w:rStyle w:val="Hyperlink"/>
            <w:rFonts w:ascii="Verdana" w:hAnsi="Verdana"/>
            <w:sz w:val="18"/>
            <w:szCs w:val="18"/>
            <w:lang w:val="el-GR"/>
          </w:rPr>
          <w:t>-</w:t>
        </w:r>
        <w:r w:rsidRPr="00966C90">
          <w:rPr>
            <w:rStyle w:val="Hyperlink"/>
            <w:rFonts w:ascii="Verdana" w:hAnsi="Verdana"/>
            <w:sz w:val="18"/>
            <w:szCs w:val="18"/>
          </w:rPr>
          <w:t>DB</w:t>
        </w:r>
      </w:hyperlink>
      <w:r w:rsidRPr="0050785A">
        <w:rPr>
          <w:rFonts w:ascii="Verdana" w:hAnsi="Verdana"/>
          <w:sz w:val="18"/>
          <w:szCs w:val="18"/>
          <w:lang w:val="el-GR"/>
        </w:rPr>
        <w:t xml:space="preserve"> (Βάση Δεδομένων)</w:t>
      </w:r>
    </w:p>
    <w:p w14:paraId="58F3AB3B" w14:textId="77777777" w:rsidR="00AF5CC6" w:rsidRPr="0050785A" w:rsidRDefault="00AF5CC6" w:rsidP="00AF5CC6">
      <w:pPr>
        <w:rPr>
          <w:rFonts w:ascii="Verdana" w:hAnsi="Verdana"/>
          <w:sz w:val="18"/>
          <w:szCs w:val="18"/>
          <w:lang w:val="el-GR"/>
        </w:rPr>
      </w:pPr>
      <w:hyperlink r:id="rId11" w:history="1">
        <w:r w:rsidRPr="0050785A">
          <w:rPr>
            <w:rStyle w:val="Hyperlink"/>
            <w:rFonts w:ascii="Verdana" w:hAnsi="Verdana"/>
            <w:sz w:val="18"/>
            <w:szCs w:val="18"/>
            <w:lang w:val="el-GR"/>
          </w:rPr>
          <w:t>Προκαθορισμένοι Πίνακες</w:t>
        </w:r>
      </w:hyperlink>
      <w:r w:rsidRPr="0050785A">
        <w:rPr>
          <w:rFonts w:ascii="Verdana" w:hAnsi="Verdana"/>
          <w:sz w:val="18"/>
          <w:szCs w:val="18"/>
          <w:lang w:val="el-GR"/>
        </w:rPr>
        <w:t xml:space="preserve"> (</w:t>
      </w:r>
      <w:r w:rsidRPr="00040F97">
        <w:rPr>
          <w:rFonts w:ascii="Verdana" w:hAnsi="Verdana"/>
          <w:sz w:val="18"/>
          <w:szCs w:val="18"/>
        </w:rPr>
        <w:t>Excel</w:t>
      </w:r>
      <w:r w:rsidRPr="0050785A">
        <w:rPr>
          <w:rFonts w:ascii="Verdana" w:hAnsi="Verdana"/>
          <w:sz w:val="18"/>
          <w:szCs w:val="18"/>
          <w:lang w:val="el-GR"/>
        </w:rPr>
        <w:t>)</w:t>
      </w:r>
    </w:p>
    <w:p w14:paraId="16FCDD8A" w14:textId="77777777" w:rsidR="00B536D6" w:rsidRPr="00B536D6" w:rsidRDefault="00B536D6" w:rsidP="00B536D6">
      <w:pPr>
        <w:jc w:val="both"/>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"https://www.cystat.gov.cy/el/MethodologicalDetails?m=2091" \o "Μεθοδολογικές Πληροφορίες" </w:instrText>
      </w:r>
      <w:r>
        <w:rPr>
          <w:rFonts w:ascii="Verdana" w:hAnsi="Verdana"/>
          <w:sz w:val="18"/>
          <w:szCs w:val="18"/>
          <w:lang w:val="el-GR"/>
        </w:rPr>
      </w:r>
      <w:r>
        <w:rPr>
          <w:rFonts w:ascii="Verdana" w:hAnsi="Verdana"/>
          <w:sz w:val="18"/>
          <w:szCs w:val="18"/>
          <w:lang w:val="el-GR"/>
        </w:rPr>
        <w:fldChar w:fldCharType="separate"/>
      </w:r>
      <w:r w:rsidRPr="00B536D6">
        <w:rPr>
          <w:rStyle w:val="Hyperlink"/>
          <w:rFonts w:ascii="Verdana" w:hAnsi="Verdana"/>
          <w:sz w:val="18"/>
          <w:szCs w:val="18"/>
          <w:lang w:val="el-GR"/>
        </w:rPr>
        <w:t>Μεθοδολογικές Πληροφορίες</w:t>
      </w:r>
    </w:p>
    <w:p w14:paraId="0900F87C" w14:textId="3F979881" w:rsidR="008774AA" w:rsidRPr="003204B7" w:rsidRDefault="00B536D6" w:rsidP="00AF5CC6">
      <w:pPr>
        <w:ind w:right="-79"/>
        <w:jc w:val="both"/>
        <w:rPr>
          <w:rFonts w:ascii="Verdana" w:hAnsi="Verdana"/>
          <w:sz w:val="18"/>
          <w:szCs w:val="18"/>
          <w:lang w:val="el-GR"/>
        </w:rPr>
      </w:pPr>
      <w:r>
        <w:rPr>
          <w:rFonts w:ascii="Verdana" w:hAnsi="Verdana"/>
          <w:sz w:val="18"/>
          <w:szCs w:val="18"/>
          <w:lang w:val="el-GR"/>
        </w:rPr>
        <w:fldChar w:fldCharType="end"/>
      </w:r>
    </w:p>
    <w:p w14:paraId="05497103" w14:textId="77777777" w:rsidR="00AF5CC6" w:rsidRDefault="00AF5CC6" w:rsidP="00AF5CC6">
      <w:pPr>
        <w:jc w:val="both"/>
        <w:rPr>
          <w:rFonts w:ascii="Verdana" w:hAnsi="Verdana"/>
          <w:b/>
          <w:bCs/>
          <w:sz w:val="18"/>
          <w:szCs w:val="18"/>
          <w:lang w:val="el-GR"/>
        </w:rPr>
      </w:pPr>
      <w:r>
        <w:rPr>
          <w:rFonts w:ascii="Verdana" w:hAnsi="Verdana"/>
          <w:b/>
          <w:bCs/>
          <w:sz w:val="18"/>
          <w:szCs w:val="18"/>
          <w:lang w:val="el-GR"/>
        </w:rPr>
        <w:t xml:space="preserve">Οι </w:t>
      </w:r>
      <w:r>
        <w:rPr>
          <w:rFonts w:ascii="Verdana" w:hAnsi="Verdana"/>
          <w:b/>
          <w:bCs/>
          <w:sz w:val="18"/>
          <w:szCs w:val="18"/>
          <w:u w:val="single"/>
          <w:lang w:val="el-GR"/>
        </w:rPr>
        <w:t>Προκαθορισμένοι Πίνακες</w:t>
      </w:r>
      <w:r>
        <w:rPr>
          <w:rFonts w:ascii="Verdana" w:hAnsi="Verdana"/>
          <w:b/>
          <w:bCs/>
          <w:sz w:val="18"/>
          <w:szCs w:val="18"/>
          <w:lang w:val="el-GR"/>
        </w:rPr>
        <w:t xml:space="preserve"> σε μορφή </w:t>
      </w:r>
      <w:r>
        <w:rPr>
          <w:rFonts w:ascii="Verdana" w:hAnsi="Verdana"/>
          <w:b/>
          <w:bCs/>
          <w:sz w:val="18"/>
          <w:szCs w:val="18"/>
        </w:rPr>
        <w:t>Excel</w:t>
      </w:r>
      <w:r w:rsidRPr="002403FC">
        <w:rPr>
          <w:rFonts w:ascii="Verdana" w:hAnsi="Verdana"/>
          <w:b/>
          <w:bCs/>
          <w:sz w:val="18"/>
          <w:szCs w:val="18"/>
          <w:lang w:val="el-GR"/>
        </w:rPr>
        <w:t xml:space="preserve"> </w:t>
      </w:r>
      <w:r>
        <w:rPr>
          <w:rFonts w:ascii="Verdana" w:hAnsi="Verdana"/>
          <w:b/>
          <w:bCs/>
          <w:sz w:val="18"/>
          <w:szCs w:val="18"/>
          <w:lang w:val="el-GR"/>
        </w:rPr>
        <w:t xml:space="preserve">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Pr>
          <w:rFonts w:ascii="Verdana" w:hAnsi="Verdana"/>
          <w:b/>
          <w:bCs/>
          <w:sz w:val="18"/>
          <w:szCs w:val="18"/>
          <w:lang w:val="el-GR"/>
        </w:rPr>
        <w:t>-</w:t>
      </w:r>
      <w:r>
        <w:rPr>
          <w:rFonts w:ascii="Verdana" w:hAnsi="Verdana"/>
          <w:b/>
          <w:bCs/>
          <w:sz w:val="18"/>
          <w:szCs w:val="18"/>
        </w:rPr>
        <w:t>DB</w:t>
      </w:r>
      <w:r>
        <w:rPr>
          <w:rFonts w:ascii="Verdana" w:hAnsi="Verdana"/>
          <w:b/>
          <w:bCs/>
          <w:sz w:val="18"/>
          <w:szCs w:val="18"/>
          <w:lang w:val="el-GR"/>
        </w:rPr>
        <w:t>.</w:t>
      </w:r>
    </w:p>
    <w:p w14:paraId="6D8129E6" w14:textId="77777777" w:rsidR="00AF5CC6" w:rsidRPr="003735F9" w:rsidRDefault="00AF5CC6" w:rsidP="00AF5CC6">
      <w:pPr>
        <w:ind w:right="-79"/>
        <w:jc w:val="both"/>
        <w:rPr>
          <w:rFonts w:ascii="Verdana" w:eastAsia="Malgun Gothic" w:hAnsi="Verdana" w:cs="Arial"/>
          <w:sz w:val="18"/>
          <w:szCs w:val="18"/>
          <w:lang w:val="el-GR"/>
        </w:rPr>
      </w:pPr>
    </w:p>
    <w:p w14:paraId="0F314409" w14:textId="77777777" w:rsidR="00AF5CC6" w:rsidRDefault="00AF5CC6" w:rsidP="00AF5CC6">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61425284" w14:textId="77777777" w:rsidR="00AF2BC9" w:rsidRPr="004C6ABF" w:rsidRDefault="00AF2BC9" w:rsidP="00AF2BC9">
      <w:pPr>
        <w:tabs>
          <w:tab w:val="left" w:pos="360"/>
          <w:tab w:val="left" w:pos="6840"/>
        </w:tabs>
        <w:ind w:right="-79"/>
        <w:jc w:val="both"/>
        <w:rPr>
          <w:rFonts w:ascii="Verdana" w:eastAsia="Malgun Gothic" w:hAnsi="Verdana" w:cs="Arial"/>
          <w:sz w:val="18"/>
          <w:szCs w:val="18"/>
          <w:lang w:val="el-GR"/>
        </w:rPr>
      </w:pPr>
      <w:bookmarkStart w:id="6" w:name="_Hlk176173046"/>
      <w:r>
        <w:rPr>
          <w:rFonts w:ascii="Verdana" w:eastAsia="Malgun Gothic" w:hAnsi="Verdana" w:cs="Arial"/>
          <w:sz w:val="18"/>
          <w:szCs w:val="18"/>
          <w:lang w:val="el-GR"/>
        </w:rPr>
        <w:t>Σωφρόνης Βίκης</w:t>
      </w:r>
      <w:r w:rsidRPr="00E21D72">
        <w:rPr>
          <w:rFonts w:ascii="Verdana" w:eastAsia="Malgun Gothic" w:hAnsi="Verdana" w:cs="Arial"/>
          <w:sz w:val="18"/>
          <w:szCs w:val="18"/>
          <w:lang w:val="el-GR"/>
        </w:rPr>
        <w:t>: Τηλ:+3572</w:t>
      </w:r>
      <w:r w:rsidRPr="004C6ABF">
        <w:rPr>
          <w:rFonts w:ascii="Verdana" w:eastAsia="Malgun Gothic" w:hAnsi="Verdana" w:cs="Arial"/>
          <w:sz w:val="18"/>
          <w:szCs w:val="18"/>
          <w:lang w:val="el-GR"/>
        </w:rPr>
        <w:t>2602206</w:t>
      </w:r>
      <w:r w:rsidRPr="00E21D72">
        <w:rPr>
          <w:rFonts w:ascii="Verdana" w:eastAsia="Malgun Gothic" w:hAnsi="Verdana" w:cs="Arial"/>
          <w:sz w:val="18"/>
          <w:szCs w:val="18"/>
          <w:lang w:val="el-GR"/>
        </w:rPr>
        <w:t xml:space="preserve">, Ηλ. Ταχ.: </w:t>
      </w:r>
      <w:hyperlink r:id="rId12" w:history="1">
        <w:r w:rsidRPr="00442F24">
          <w:rPr>
            <w:rStyle w:val="Hyperlink"/>
            <w:rFonts w:ascii="Verdana" w:eastAsia="Malgun Gothic" w:hAnsi="Verdana" w:cs="Arial"/>
            <w:sz w:val="18"/>
            <w:szCs w:val="18"/>
          </w:rPr>
          <w:t>svikis</w:t>
        </w:r>
        <w:r w:rsidRPr="00442F24">
          <w:rPr>
            <w:rStyle w:val="Hyperlink"/>
            <w:rFonts w:ascii="Verdana" w:eastAsia="Malgun Gothic" w:hAnsi="Verdana" w:cs="Arial"/>
            <w:sz w:val="18"/>
            <w:szCs w:val="18"/>
            <w:lang w:val="el-GR"/>
          </w:rPr>
          <w:t>@cystat.mof.gov.cy</w:t>
        </w:r>
      </w:hyperlink>
    </w:p>
    <w:p w14:paraId="486488A4" w14:textId="77777777" w:rsidR="00AF2BC9" w:rsidRPr="00E21D72" w:rsidRDefault="00AF2BC9" w:rsidP="00AF2BC9">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Κυριάκος Βουτουρής</w:t>
      </w:r>
      <w:r w:rsidRPr="00E21D72">
        <w:rPr>
          <w:rFonts w:ascii="Verdana" w:eastAsia="Malgun Gothic" w:hAnsi="Verdana" w:cs="Arial"/>
          <w:sz w:val="18"/>
          <w:szCs w:val="18"/>
          <w:lang w:val="el-GR"/>
        </w:rPr>
        <w:t>: Τηλ:+3572260</w:t>
      </w:r>
      <w:r>
        <w:rPr>
          <w:rFonts w:ascii="Verdana" w:eastAsia="Malgun Gothic" w:hAnsi="Verdana" w:cs="Arial"/>
          <w:sz w:val="18"/>
          <w:szCs w:val="18"/>
          <w:lang w:val="el-GR"/>
        </w:rPr>
        <w:t>5132</w:t>
      </w:r>
      <w:r w:rsidRPr="00E21D72">
        <w:rPr>
          <w:rFonts w:ascii="Verdana" w:eastAsia="Malgun Gothic" w:hAnsi="Verdana" w:cs="Arial"/>
          <w:sz w:val="18"/>
          <w:szCs w:val="18"/>
          <w:lang w:val="el-GR"/>
        </w:rPr>
        <w:t xml:space="preserve">, Ηλ. Ταχ.: </w:t>
      </w:r>
      <w:hyperlink r:id="rId13" w:history="1">
        <w:r w:rsidRPr="00442F24">
          <w:rPr>
            <w:rStyle w:val="Hyperlink"/>
            <w:rFonts w:ascii="Verdana" w:eastAsia="Malgun Gothic" w:hAnsi="Verdana" w:cs="Arial"/>
            <w:sz w:val="18"/>
            <w:szCs w:val="18"/>
          </w:rPr>
          <w:t>kvoutouris</w:t>
        </w:r>
        <w:r w:rsidRPr="00442F24">
          <w:rPr>
            <w:rStyle w:val="Hyperlink"/>
            <w:rFonts w:ascii="Verdana" w:eastAsia="Malgun Gothic" w:hAnsi="Verdana" w:cs="Arial"/>
            <w:sz w:val="18"/>
            <w:szCs w:val="18"/>
            <w:lang w:val="el-GR"/>
          </w:rPr>
          <w:t>@cystat.mof.gov.cy</w:t>
        </w:r>
      </w:hyperlink>
    </w:p>
    <w:p w14:paraId="0529C785" w14:textId="3D736C83" w:rsidR="001712CF" w:rsidRPr="00AF2BC9" w:rsidRDefault="00AF2BC9" w:rsidP="00AF2BC9">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Φίλιππος Κακούτσης</w:t>
      </w:r>
      <w:r w:rsidRPr="00E21D72">
        <w:rPr>
          <w:rFonts w:ascii="Verdana" w:eastAsia="Malgun Gothic" w:hAnsi="Verdana" w:cs="Arial"/>
          <w:sz w:val="18"/>
          <w:szCs w:val="18"/>
          <w:lang w:val="el-GR"/>
        </w:rPr>
        <w:t>: Τηλ:+3572260</w:t>
      </w:r>
      <w:r>
        <w:rPr>
          <w:rFonts w:ascii="Verdana" w:eastAsia="Malgun Gothic" w:hAnsi="Verdana" w:cs="Arial"/>
          <w:sz w:val="18"/>
          <w:szCs w:val="18"/>
          <w:lang w:val="el-GR"/>
        </w:rPr>
        <w:t>5149</w:t>
      </w:r>
      <w:r w:rsidRPr="00E21D72">
        <w:rPr>
          <w:rFonts w:ascii="Verdana" w:eastAsia="Malgun Gothic" w:hAnsi="Verdana" w:cs="Arial"/>
          <w:sz w:val="18"/>
          <w:szCs w:val="18"/>
          <w:lang w:val="el-GR"/>
        </w:rPr>
        <w:t xml:space="preserve">, Ηλ. Ταχ.: </w:t>
      </w:r>
      <w:hyperlink r:id="rId14" w:history="1">
        <w:r w:rsidRPr="00442F24">
          <w:rPr>
            <w:rStyle w:val="Hyperlink"/>
            <w:rFonts w:ascii="Verdana" w:eastAsia="Malgun Gothic" w:hAnsi="Verdana" w:cs="Arial"/>
            <w:sz w:val="18"/>
            <w:szCs w:val="18"/>
          </w:rPr>
          <w:t>fkakoutsis</w:t>
        </w:r>
        <w:r w:rsidRPr="00442F24">
          <w:rPr>
            <w:rStyle w:val="Hyperlink"/>
            <w:rFonts w:ascii="Verdana" w:eastAsia="Malgun Gothic" w:hAnsi="Verdana" w:cs="Arial"/>
            <w:sz w:val="18"/>
            <w:szCs w:val="18"/>
            <w:lang w:val="el-GR"/>
          </w:rPr>
          <w:t>@cystat.mof.gov.cy</w:t>
        </w:r>
      </w:hyperlink>
      <w:bookmarkEnd w:id="6"/>
    </w:p>
    <w:sectPr w:rsidR="001712CF" w:rsidRPr="00AF2BC9" w:rsidSect="00104370">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10BE" w14:textId="77777777" w:rsidR="003C31EF" w:rsidRDefault="003C31EF" w:rsidP="00FB398F">
      <w:r>
        <w:separator/>
      </w:r>
    </w:p>
  </w:endnote>
  <w:endnote w:type="continuationSeparator" w:id="0">
    <w:p w14:paraId="433B79B8" w14:textId="77777777" w:rsidR="003C31EF" w:rsidRDefault="003C31E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7853"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CF96"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16E06551" w14:textId="32ACC22B"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171AFE">
      <w:rPr>
        <w:rFonts w:ascii="Arial" w:hAnsi="Arial" w:cs="Arial"/>
        <w:i/>
        <w:iCs/>
        <w:sz w:val="16"/>
        <w:szCs w:val="16"/>
        <w:lang w:val="el-GR"/>
      </w:rPr>
      <w:t>.:  22 602129,</w:t>
    </w:r>
    <w:r w:rsidRPr="00233FBF">
      <w:rPr>
        <w:rFonts w:ascii="Arial" w:hAnsi="Arial" w:cs="Arial"/>
        <w:i/>
        <w:iCs/>
        <w:sz w:val="16"/>
        <w:szCs w:val="16"/>
        <w:lang w:val="de-DE"/>
      </w:rPr>
      <w:t xml:space="preserve">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399B9444"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F5AB9" w14:textId="77777777" w:rsidR="003C31EF" w:rsidRDefault="003C31EF" w:rsidP="00FB398F">
      <w:r>
        <w:separator/>
      </w:r>
    </w:p>
  </w:footnote>
  <w:footnote w:type="continuationSeparator" w:id="0">
    <w:p w14:paraId="6133BFCA" w14:textId="77777777" w:rsidR="003C31EF" w:rsidRDefault="003C31E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3F4F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C038" w14:textId="77777777" w:rsidR="004E4F42" w:rsidRDefault="003D05B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6FF80C91" wp14:editId="1A07032D">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A11896D" wp14:editId="2DD1D74A">
              <wp:simplePos x="0" y="0"/>
              <wp:positionH relativeFrom="column">
                <wp:posOffset>4772660</wp:posOffset>
              </wp:positionH>
              <wp:positionV relativeFrom="paragraph">
                <wp:posOffset>-69215</wp:posOffset>
              </wp:positionV>
              <wp:extent cx="1287780" cy="1047750"/>
              <wp:effectExtent l="0" t="0" r="8255" b="0"/>
              <wp:wrapNone/>
              <wp:docPr id="836920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1896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63D10AA" wp14:editId="4FB54158">
              <wp:simplePos x="0" y="0"/>
              <wp:positionH relativeFrom="column">
                <wp:posOffset>3439160</wp:posOffset>
              </wp:positionH>
              <wp:positionV relativeFrom="paragraph">
                <wp:posOffset>-221615</wp:posOffset>
              </wp:positionV>
              <wp:extent cx="1468755" cy="1200150"/>
              <wp:effectExtent l="0" t="0" r="0" b="0"/>
              <wp:wrapNone/>
              <wp:docPr id="113424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10AA"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99F204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8A6080E"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8FC6C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AC94A8F" w14:textId="77777777" w:rsidR="004E4F42" w:rsidRDefault="003D05B3"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7798A2E9" wp14:editId="35AEAB99">
              <wp:simplePos x="0" y="0"/>
              <wp:positionH relativeFrom="column">
                <wp:posOffset>4159250</wp:posOffset>
              </wp:positionH>
              <wp:positionV relativeFrom="paragraph">
                <wp:posOffset>104140</wp:posOffset>
              </wp:positionV>
              <wp:extent cx="1828800" cy="438150"/>
              <wp:effectExtent l="0" t="0" r="0" b="0"/>
              <wp:wrapNone/>
              <wp:docPr id="20545448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8A2E9"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073E255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762C63A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1FF916EE"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78391563">
    <w:abstractNumId w:val="4"/>
  </w:num>
  <w:num w:numId="2" w16cid:durableId="1074477141">
    <w:abstractNumId w:val="1"/>
  </w:num>
  <w:num w:numId="3" w16cid:durableId="1361249385">
    <w:abstractNumId w:val="2"/>
  </w:num>
  <w:num w:numId="4" w16cid:durableId="1440567803">
    <w:abstractNumId w:val="3"/>
  </w:num>
  <w:num w:numId="5" w16cid:durableId="1455489493">
    <w:abstractNumId w:val="0"/>
  </w:num>
  <w:num w:numId="6" w16cid:durableId="1710445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9A3"/>
    <w:rsid w:val="0000542E"/>
    <w:rsid w:val="00007254"/>
    <w:rsid w:val="00013E40"/>
    <w:rsid w:val="000161B1"/>
    <w:rsid w:val="0002032F"/>
    <w:rsid w:val="000241BB"/>
    <w:rsid w:val="00025A39"/>
    <w:rsid w:val="00027853"/>
    <w:rsid w:val="00027D7D"/>
    <w:rsid w:val="00030E18"/>
    <w:rsid w:val="00031D32"/>
    <w:rsid w:val="0003603D"/>
    <w:rsid w:val="00045088"/>
    <w:rsid w:val="00045A06"/>
    <w:rsid w:val="00047520"/>
    <w:rsid w:val="00050391"/>
    <w:rsid w:val="00051C7D"/>
    <w:rsid w:val="00054D3C"/>
    <w:rsid w:val="00055291"/>
    <w:rsid w:val="00055734"/>
    <w:rsid w:val="0005631A"/>
    <w:rsid w:val="000563D3"/>
    <w:rsid w:val="00057B87"/>
    <w:rsid w:val="00057E44"/>
    <w:rsid w:val="00061299"/>
    <w:rsid w:val="00070576"/>
    <w:rsid w:val="000723AD"/>
    <w:rsid w:val="00074798"/>
    <w:rsid w:val="000752BB"/>
    <w:rsid w:val="00081ADF"/>
    <w:rsid w:val="00084A02"/>
    <w:rsid w:val="00084BF7"/>
    <w:rsid w:val="0008561E"/>
    <w:rsid w:val="000870E9"/>
    <w:rsid w:val="00090717"/>
    <w:rsid w:val="000916C7"/>
    <w:rsid w:val="000932CF"/>
    <w:rsid w:val="00096ED8"/>
    <w:rsid w:val="000A1A88"/>
    <w:rsid w:val="000A2B5C"/>
    <w:rsid w:val="000A3601"/>
    <w:rsid w:val="000A47D3"/>
    <w:rsid w:val="000A615B"/>
    <w:rsid w:val="000A6FA8"/>
    <w:rsid w:val="000B37AC"/>
    <w:rsid w:val="000C1070"/>
    <w:rsid w:val="000C4E72"/>
    <w:rsid w:val="000C73E0"/>
    <w:rsid w:val="000D1E7A"/>
    <w:rsid w:val="000D314F"/>
    <w:rsid w:val="000D33FB"/>
    <w:rsid w:val="000D3914"/>
    <w:rsid w:val="000E1C04"/>
    <w:rsid w:val="000E24B1"/>
    <w:rsid w:val="000E2735"/>
    <w:rsid w:val="000E32D6"/>
    <w:rsid w:val="000E3759"/>
    <w:rsid w:val="000E4CB0"/>
    <w:rsid w:val="000E57F2"/>
    <w:rsid w:val="000E7206"/>
    <w:rsid w:val="000E72A7"/>
    <w:rsid w:val="000E7FF2"/>
    <w:rsid w:val="000F1162"/>
    <w:rsid w:val="000F1F6D"/>
    <w:rsid w:val="000F2415"/>
    <w:rsid w:val="000F3467"/>
    <w:rsid w:val="000F38DE"/>
    <w:rsid w:val="000F532A"/>
    <w:rsid w:val="000F5D6C"/>
    <w:rsid w:val="000F756B"/>
    <w:rsid w:val="00103851"/>
    <w:rsid w:val="00104370"/>
    <w:rsid w:val="00106852"/>
    <w:rsid w:val="00110F9D"/>
    <w:rsid w:val="001116EA"/>
    <w:rsid w:val="00114A67"/>
    <w:rsid w:val="00114DB4"/>
    <w:rsid w:val="00121E69"/>
    <w:rsid w:val="001253B6"/>
    <w:rsid w:val="00125E06"/>
    <w:rsid w:val="001262AC"/>
    <w:rsid w:val="001262C3"/>
    <w:rsid w:val="00127320"/>
    <w:rsid w:val="00127456"/>
    <w:rsid w:val="001312D8"/>
    <w:rsid w:val="0013137B"/>
    <w:rsid w:val="00137F0E"/>
    <w:rsid w:val="0015118B"/>
    <w:rsid w:val="001519CE"/>
    <w:rsid w:val="0015494E"/>
    <w:rsid w:val="00160B48"/>
    <w:rsid w:val="00161CF3"/>
    <w:rsid w:val="00162C00"/>
    <w:rsid w:val="001639EF"/>
    <w:rsid w:val="00163D60"/>
    <w:rsid w:val="00164C83"/>
    <w:rsid w:val="0016589F"/>
    <w:rsid w:val="001712CF"/>
    <w:rsid w:val="00171AFE"/>
    <w:rsid w:val="0017769A"/>
    <w:rsid w:val="00183C7C"/>
    <w:rsid w:val="00183DFC"/>
    <w:rsid w:val="00184384"/>
    <w:rsid w:val="00186717"/>
    <w:rsid w:val="00187FFC"/>
    <w:rsid w:val="001916AD"/>
    <w:rsid w:val="00192F2F"/>
    <w:rsid w:val="0019391C"/>
    <w:rsid w:val="00194C5D"/>
    <w:rsid w:val="001A2018"/>
    <w:rsid w:val="001A34BF"/>
    <w:rsid w:val="001A3EE4"/>
    <w:rsid w:val="001B25A4"/>
    <w:rsid w:val="001B2C39"/>
    <w:rsid w:val="001B3675"/>
    <w:rsid w:val="001B5E10"/>
    <w:rsid w:val="001B6AB3"/>
    <w:rsid w:val="001B73D5"/>
    <w:rsid w:val="001C0681"/>
    <w:rsid w:val="001C62B3"/>
    <w:rsid w:val="001C7C8C"/>
    <w:rsid w:val="001D0D6A"/>
    <w:rsid w:val="001D20A4"/>
    <w:rsid w:val="001E00D1"/>
    <w:rsid w:val="001E0E26"/>
    <w:rsid w:val="001E0E58"/>
    <w:rsid w:val="001E14F3"/>
    <w:rsid w:val="001E15ED"/>
    <w:rsid w:val="001E35EF"/>
    <w:rsid w:val="001E61AA"/>
    <w:rsid w:val="001E7F26"/>
    <w:rsid w:val="001F3FAD"/>
    <w:rsid w:val="00200657"/>
    <w:rsid w:val="002024AD"/>
    <w:rsid w:val="0020309E"/>
    <w:rsid w:val="0020684A"/>
    <w:rsid w:val="00210B58"/>
    <w:rsid w:val="00222423"/>
    <w:rsid w:val="00225B28"/>
    <w:rsid w:val="00226891"/>
    <w:rsid w:val="00230D9B"/>
    <w:rsid w:val="002313AC"/>
    <w:rsid w:val="00235FB2"/>
    <w:rsid w:val="00237B98"/>
    <w:rsid w:val="00237BC1"/>
    <w:rsid w:val="0024027B"/>
    <w:rsid w:val="002430B4"/>
    <w:rsid w:val="002443EB"/>
    <w:rsid w:val="002447D0"/>
    <w:rsid w:val="002454C5"/>
    <w:rsid w:val="00245E19"/>
    <w:rsid w:val="0024658B"/>
    <w:rsid w:val="00246AEB"/>
    <w:rsid w:val="00250005"/>
    <w:rsid w:val="0025254F"/>
    <w:rsid w:val="0025566D"/>
    <w:rsid w:val="0025595C"/>
    <w:rsid w:val="00257149"/>
    <w:rsid w:val="002576E7"/>
    <w:rsid w:val="00260357"/>
    <w:rsid w:val="00264F04"/>
    <w:rsid w:val="002658FA"/>
    <w:rsid w:val="00267554"/>
    <w:rsid w:val="002819EF"/>
    <w:rsid w:val="0028338F"/>
    <w:rsid w:val="002915C4"/>
    <w:rsid w:val="00297E6B"/>
    <w:rsid w:val="002A1D1C"/>
    <w:rsid w:val="002A4D64"/>
    <w:rsid w:val="002B3BC7"/>
    <w:rsid w:val="002B4969"/>
    <w:rsid w:val="002B6500"/>
    <w:rsid w:val="002B6554"/>
    <w:rsid w:val="002B7A07"/>
    <w:rsid w:val="002C21CB"/>
    <w:rsid w:val="002D05F0"/>
    <w:rsid w:val="002D2829"/>
    <w:rsid w:val="002D3EE7"/>
    <w:rsid w:val="002D59F0"/>
    <w:rsid w:val="002D71B3"/>
    <w:rsid w:val="002D7D4A"/>
    <w:rsid w:val="002E3846"/>
    <w:rsid w:val="002E3F78"/>
    <w:rsid w:val="002F400C"/>
    <w:rsid w:val="002F4D76"/>
    <w:rsid w:val="002F6D26"/>
    <w:rsid w:val="002F72E9"/>
    <w:rsid w:val="0030231E"/>
    <w:rsid w:val="003042C4"/>
    <w:rsid w:val="00304CB4"/>
    <w:rsid w:val="00307F8E"/>
    <w:rsid w:val="003104F0"/>
    <w:rsid w:val="00311522"/>
    <w:rsid w:val="00311704"/>
    <w:rsid w:val="00313F37"/>
    <w:rsid w:val="003141D0"/>
    <w:rsid w:val="003168C1"/>
    <w:rsid w:val="00317625"/>
    <w:rsid w:val="003204B7"/>
    <w:rsid w:val="00322FBE"/>
    <w:rsid w:val="00325632"/>
    <w:rsid w:val="00327549"/>
    <w:rsid w:val="003342A5"/>
    <w:rsid w:val="00334616"/>
    <w:rsid w:val="00336C36"/>
    <w:rsid w:val="00343815"/>
    <w:rsid w:val="003439A8"/>
    <w:rsid w:val="00351BEC"/>
    <w:rsid w:val="003522BB"/>
    <w:rsid w:val="00352F6C"/>
    <w:rsid w:val="00354B70"/>
    <w:rsid w:val="003556EA"/>
    <w:rsid w:val="00360B86"/>
    <w:rsid w:val="00361290"/>
    <w:rsid w:val="00370333"/>
    <w:rsid w:val="00386FC7"/>
    <w:rsid w:val="00390A32"/>
    <w:rsid w:val="003A1359"/>
    <w:rsid w:val="003A1E91"/>
    <w:rsid w:val="003A40F2"/>
    <w:rsid w:val="003A50D1"/>
    <w:rsid w:val="003B196D"/>
    <w:rsid w:val="003B2710"/>
    <w:rsid w:val="003B4608"/>
    <w:rsid w:val="003B6FD8"/>
    <w:rsid w:val="003C2392"/>
    <w:rsid w:val="003C31EF"/>
    <w:rsid w:val="003C5174"/>
    <w:rsid w:val="003C5240"/>
    <w:rsid w:val="003C64E8"/>
    <w:rsid w:val="003C76E6"/>
    <w:rsid w:val="003D05B3"/>
    <w:rsid w:val="003D14E0"/>
    <w:rsid w:val="003D17AA"/>
    <w:rsid w:val="003D1EA5"/>
    <w:rsid w:val="003D2DCC"/>
    <w:rsid w:val="003D3348"/>
    <w:rsid w:val="003D4E63"/>
    <w:rsid w:val="003D6822"/>
    <w:rsid w:val="003D724C"/>
    <w:rsid w:val="003E0CE2"/>
    <w:rsid w:val="003E5657"/>
    <w:rsid w:val="003E6210"/>
    <w:rsid w:val="003F49E4"/>
    <w:rsid w:val="003F4D2F"/>
    <w:rsid w:val="003F5E32"/>
    <w:rsid w:val="003F6F93"/>
    <w:rsid w:val="003F75F6"/>
    <w:rsid w:val="00404670"/>
    <w:rsid w:val="00414CA0"/>
    <w:rsid w:val="004164CC"/>
    <w:rsid w:val="00422F54"/>
    <w:rsid w:val="00431516"/>
    <w:rsid w:val="004361B3"/>
    <w:rsid w:val="0044249D"/>
    <w:rsid w:val="0044379F"/>
    <w:rsid w:val="00444FCC"/>
    <w:rsid w:val="00446FB1"/>
    <w:rsid w:val="004472D6"/>
    <w:rsid w:val="00452753"/>
    <w:rsid w:val="0046078F"/>
    <w:rsid w:val="00463214"/>
    <w:rsid w:val="00463269"/>
    <w:rsid w:val="00463461"/>
    <w:rsid w:val="00463551"/>
    <w:rsid w:val="0046434D"/>
    <w:rsid w:val="004656FA"/>
    <w:rsid w:val="00465D5F"/>
    <w:rsid w:val="00470FF1"/>
    <w:rsid w:val="00471D77"/>
    <w:rsid w:val="00475587"/>
    <w:rsid w:val="00476CB0"/>
    <w:rsid w:val="00480BC2"/>
    <w:rsid w:val="00482EDC"/>
    <w:rsid w:val="004845C3"/>
    <w:rsid w:val="004929C2"/>
    <w:rsid w:val="00493FDD"/>
    <w:rsid w:val="0049586B"/>
    <w:rsid w:val="004A3E44"/>
    <w:rsid w:val="004B2018"/>
    <w:rsid w:val="004B2896"/>
    <w:rsid w:val="004B326A"/>
    <w:rsid w:val="004B38E9"/>
    <w:rsid w:val="004B3FBA"/>
    <w:rsid w:val="004B6599"/>
    <w:rsid w:val="004C2B79"/>
    <w:rsid w:val="004C5A97"/>
    <w:rsid w:val="004C6CA7"/>
    <w:rsid w:val="004D133A"/>
    <w:rsid w:val="004D30FD"/>
    <w:rsid w:val="004D4357"/>
    <w:rsid w:val="004D4950"/>
    <w:rsid w:val="004D6F6C"/>
    <w:rsid w:val="004D7614"/>
    <w:rsid w:val="004E0E32"/>
    <w:rsid w:val="004E2393"/>
    <w:rsid w:val="004E258E"/>
    <w:rsid w:val="004E3630"/>
    <w:rsid w:val="004E3745"/>
    <w:rsid w:val="004E42BE"/>
    <w:rsid w:val="004E4F42"/>
    <w:rsid w:val="004E63D5"/>
    <w:rsid w:val="004F03FD"/>
    <w:rsid w:val="004F172C"/>
    <w:rsid w:val="004F52F0"/>
    <w:rsid w:val="004F5E3B"/>
    <w:rsid w:val="004F6250"/>
    <w:rsid w:val="004F677C"/>
    <w:rsid w:val="004F6D8F"/>
    <w:rsid w:val="00505503"/>
    <w:rsid w:val="0051107B"/>
    <w:rsid w:val="00512F9C"/>
    <w:rsid w:val="00513EA9"/>
    <w:rsid w:val="00526BFC"/>
    <w:rsid w:val="00527CDB"/>
    <w:rsid w:val="005341C9"/>
    <w:rsid w:val="00534CD1"/>
    <w:rsid w:val="00535D01"/>
    <w:rsid w:val="005369CA"/>
    <w:rsid w:val="00536DE9"/>
    <w:rsid w:val="00541E08"/>
    <w:rsid w:val="005425F7"/>
    <w:rsid w:val="00550824"/>
    <w:rsid w:val="00551328"/>
    <w:rsid w:val="005544D8"/>
    <w:rsid w:val="00554FE0"/>
    <w:rsid w:val="00556564"/>
    <w:rsid w:val="0055789A"/>
    <w:rsid w:val="00560952"/>
    <w:rsid w:val="00565109"/>
    <w:rsid w:val="005652D1"/>
    <w:rsid w:val="005653F5"/>
    <w:rsid w:val="005660A0"/>
    <w:rsid w:val="00566A4F"/>
    <w:rsid w:val="00566ACF"/>
    <w:rsid w:val="00567D64"/>
    <w:rsid w:val="005923C4"/>
    <w:rsid w:val="00594A83"/>
    <w:rsid w:val="0059552E"/>
    <w:rsid w:val="005978D4"/>
    <w:rsid w:val="005A0A20"/>
    <w:rsid w:val="005A23FA"/>
    <w:rsid w:val="005A27EE"/>
    <w:rsid w:val="005A55DC"/>
    <w:rsid w:val="005A587B"/>
    <w:rsid w:val="005B2A67"/>
    <w:rsid w:val="005B3DCD"/>
    <w:rsid w:val="005B4AD4"/>
    <w:rsid w:val="005C2798"/>
    <w:rsid w:val="005C2ECE"/>
    <w:rsid w:val="005C36C3"/>
    <w:rsid w:val="005C380F"/>
    <w:rsid w:val="005C4C32"/>
    <w:rsid w:val="005C56EE"/>
    <w:rsid w:val="005C6EC7"/>
    <w:rsid w:val="005D11D5"/>
    <w:rsid w:val="005D1714"/>
    <w:rsid w:val="005D4AD8"/>
    <w:rsid w:val="005D7638"/>
    <w:rsid w:val="005E7DDA"/>
    <w:rsid w:val="005F0361"/>
    <w:rsid w:val="005F12F5"/>
    <w:rsid w:val="005F3056"/>
    <w:rsid w:val="005F486D"/>
    <w:rsid w:val="005F7C7D"/>
    <w:rsid w:val="00601542"/>
    <w:rsid w:val="006044B7"/>
    <w:rsid w:val="00604A62"/>
    <w:rsid w:val="00606644"/>
    <w:rsid w:val="006071CE"/>
    <w:rsid w:val="006075B5"/>
    <w:rsid w:val="0061018C"/>
    <w:rsid w:val="0061094E"/>
    <w:rsid w:val="006127C1"/>
    <w:rsid w:val="00613440"/>
    <w:rsid w:val="00613BE3"/>
    <w:rsid w:val="00617316"/>
    <w:rsid w:val="0062327B"/>
    <w:rsid w:val="00632777"/>
    <w:rsid w:val="00633750"/>
    <w:rsid w:val="00634491"/>
    <w:rsid w:val="00634639"/>
    <w:rsid w:val="0063546B"/>
    <w:rsid w:val="0063679C"/>
    <w:rsid w:val="00637055"/>
    <w:rsid w:val="006418B6"/>
    <w:rsid w:val="00641D59"/>
    <w:rsid w:val="00644507"/>
    <w:rsid w:val="00646880"/>
    <w:rsid w:val="00647D2A"/>
    <w:rsid w:val="0065263A"/>
    <w:rsid w:val="006537BB"/>
    <w:rsid w:val="0065643E"/>
    <w:rsid w:val="0066103D"/>
    <w:rsid w:val="006625B2"/>
    <w:rsid w:val="00663CA9"/>
    <w:rsid w:val="00667E07"/>
    <w:rsid w:val="006706E8"/>
    <w:rsid w:val="00671785"/>
    <w:rsid w:val="00672BA9"/>
    <w:rsid w:val="00673005"/>
    <w:rsid w:val="00674681"/>
    <w:rsid w:val="006804BE"/>
    <w:rsid w:val="006813A4"/>
    <w:rsid w:val="0068434A"/>
    <w:rsid w:val="0069008E"/>
    <w:rsid w:val="0069087E"/>
    <w:rsid w:val="006925C4"/>
    <w:rsid w:val="006A02B7"/>
    <w:rsid w:val="006A46B9"/>
    <w:rsid w:val="006A7019"/>
    <w:rsid w:val="006B2083"/>
    <w:rsid w:val="006B46D5"/>
    <w:rsid w:val="006B46F4"/>
    <w:rsid w:val="006C3D86"/>
    <w:rsid w:val="006C7AF3"/>
    <w:rsid w:val="006D0B9D"/>
    <w:rsid w:val="006D6548"/>
    <w:rsid w:val="006E0E20"/>
    <w:rsid w:val="006E4256"/>
    <w:rsid w:val="006E4BBA"/>
    <w:rsid w:val="006E5F43"/>
    <w:rsid w:val="006E60A6"/>
    <w:rsid w:val="006F0F69"/>
    <w:rsid w:val="006F116B"/>
    <w:rsid w:val="006F117F"/>
    <w:rsid w:val="006F13DF"/>
    <w:rsid w:val="006F2780"/>
    <w:rsid w:val="006F3E09"/>
    <w:rsid w:val="006F5486"/>
    <w:rsid w:val="006F64F6"/>
    <w:rsid w:val="007012C2"/>
    <w:rsid w:val="00702F26"/>
    <w:rsid w:val="0070313E"/>
    <w:rsid w:val="00703799"/>
    <w:rsid w:val="00704AF7"/>
    <w:rsid w:val="00705C5C"/>
    <w:rsid w:val="007108E9"/>
    <w:rsid w:val="00711475"/>
    <w:rsid w:val="00712F06"/>
    <w:rsid w:val="00716DC7"/>
    <w:rsid w:val="00721C1B"/>
    <w:rsid w:val="0072548A"/>
    <w:rsid w:val="00726473"/>
    <w:rsid w:val="007273B3"/>
    <w:rsid w:val="007277A6"/>
    <w:rsid w:val="0074243C"/>
    <w:rsid w:val="007437AB"/>
    <w:rsid w:val="00745425"/>
    <w:rsid w:val="007534F8"/>
    <w:rsid w:val="007545AD"/>
    <w:rsid w:val="00762DA1"/>
    <w:rsid w:val="00763722"/>
    <w:rsid w:val="007645E4"/>
    <w:rsid w:val="00764BC1"/>
    <w:rsid w:val="00770869"/>
    <w:rsid w:val="007738AA"/>
    <w:rsid w:val="007776A8"/>
    <w:rsid w:val="00780A62"/>
    <w:rsid w:val="00783241"/>
    <w:rsid w:val="007840E5"/>
    <w:rsid w:val="00784BDC"/>
    <w:rsid w:val="007863D6"/>
    <w:rsid w:val="007903FF"/>
    <w:rsid w:val="00791479"/>
    <w:rsid w:val="00792F28"/>
    <w:rsid w:val="007935CA"/>
    <w:rsid w:val="0079543F"/>
    <w:rsid w:val="00795880"/>
    <w:rsid w:val="007A3035"/>
    <w:rsid w:val="007A4367"/>
    <w:rsid w:val="007A722C"/>
    <w:rsid w:val="007A78CD"/>
    <w:rsid w:val="007B0867"/>
    <w:rsid w:val="007B1AC1"/>
    <w:rsid w:val="007B20DD"/>
    <w:rsid w:val="007B24C1"/>
    <w:rsid w:val="007B2DD9"/>
    <w:rsid w:val="007B536B"/>
    <w:rsid w:val="007B5424"/>
    <w:rsid w:val="007B5A08"/>
    <w:rsid w:val="007B693D"/>
    <w:rsid w:val="007B7C1B"/>
    <w:rsid w:val="007C4CDC"/>
    <w:rsid w:val="007C70C9"/>
    <w:rsid w:val="007E041B"/>
    <w:rsid w:val="007E189D"/>
    <w:rsid w:val="007E199A"/>
    <w:rsid w:val="007E1AED"/>
    <w:rsid w:val="007E2415"/>
    <w:rsid w:val="007E39F3"/>
    <w:rsid w:val="007E3B04"/>
    <w:rsid w:val="007E405E"/>
    <w:rsid w:val="007E68F4"/>
    <w:rsid w:val="007E6DE2"/>
    <w:rsid w:val="007F0964"/>
    <w:rsid w:val="007F1828"/>
    <w:rsid w:val="007F31BA"/>
    <w:rsid w:val="007F4078"/>
    <w:rsid w:val="007F5FBB"/>
    <w:rsid w:val="007F68DD"/>
    <w:rsid w:val="0080014B"/>
    <w:rsid w:val="008013F2"/>
    <w:rsid w:val="00801793"/>
    <w:rsid w:val="00803642"/>
    <w:rsid w:val="00803D1C"/>
    <w:rsid w:val="00806EA2"/>
    <w:rsid w:val="00810419"/>
    <w:rsid w:val="00812A2B"/>
    <w:rsid w:val="00813A56"/>
    <w:rsid w:val="00814A4C"/>
    <w:rsid w:val="00822B64"/>
    <w:rsid w:val="00825D66"/>
    <w:rsid w:val="00831AAB"/>
    <w:rsid w:val="00832B42"/>
    <w:rsid w:val="00833BCD"/>
    <w:rsid w:val="00834B82"/>
    <w:rsid w:val="0083574E"/>
    <w:rsid w:val="0083640C"/>
    <w:rsid w:val="008374B7"/>
    <w:rsid w:val="008374E3"/>
    <w:rsid w:val="008402B0"/>
    <w:rsid w:val="0084090A"/>
    <w:rsid w:val="0084157B"/>
    <w:rsid w:val="00842BFB"/>
    <w:rsid w:val="008432B2"/>
    <w:rsid w:val="00846B85"/>
    <w:rsid w:val="00847DC3"/>
    <w:rsid w:val="00847F49"/>
    <w:rsid w:val="00850F43"/>
    <w:rsid w:val="0085234C"/>
    <w:rsid w:val="008535C5"/>
    <w:rsid w:val="00853765"/>
    <w:rsid w:val="0085516F"/>
    <w:rsid w:val="00856A74"/>
    <w:rsid w:val="008629A4"/>
    <w:rsid w:val="00864F80"/>
    <w:rsid w:val="00867186"/>
    <w:rsid w:val="00870AF6"/>
    <w:rsid w:val="00871E9E"/>
    <w:rsid w:val="00875215"/>
    <w:rsid w:val="0087652F"/>
    <w:rsid w:val="00877452"/>
    <w:rsid w:val="008774AA"/>
    <w:rsid w:val="00881268"/>
    <w:rsid w:val="00881779"/>
    <w:rsid w:val="0088394A"/>
    <w:rsid w:val="00884DBA"/>
    <w:rsid w:val="008860BD"/>
    <w:rsid w:val="00887399"/>
    <w:rsid w:val="0088779E"/>
    <w:rsid w:val="008912AF"/>
    <w:rsid w:val="00892114"/>
    <w:rsid w:val="00892CB9"/>
    <w:rsid w:val="008935CB"/>
    <w:rsid w:val="00895B41"/>
    <w:rsid w:val="008A0596"/>
    <w:rsid w:val="008A2050"/>
    <w:rsid w:val="008B0E7E"/>
    <w:rsid w:val="008B1B73"/>
    <w:rsid w:val="008B65BD"/>
    <w:rsid w:val="008B75DE"/>
    <w:rsid w:val="008B7900"/>
    <w:rsid w:val="008C03B7"/>
    <w:rsid w:val="008C71BF"/>
    <w:rsid w:val="008C7FE0"/>
    <w:rsid w:val="008D37BC"/>
    <w:rsid w:val="008D4005"/>
    <w:rsid w:val="008D5717"/>
    <w:rsid w:val="008D5DDD"/>
    <w:rsid w:val="008E44A9"/>
    <w:rsid w:val="008E5324"/>
    <w:rsid w:val="008E6B4D"/>
    <w:rsid w:val="008E6BFF"/>
    <w:rsid w:val="008F21AF"/>
    <w:rsid w:val="008F2400"/>
    <w:rsid w:val="008F61BA"/>
    <w:rsid w:val="008F6E3C"/>
    <w:rsid w:val="008F7C55"/>
    <w:rsid w:val="0090115E"/>
    <w:rsid w:val="009014B1"/>
    <w:rsid w:val="00914A23"/>
    <w:rsid w:val="00917621"/>
    <w:rsid w:val="009177FE"/>
    <w:rsid w:val="00922253"/>
    <w:rsid w:val="0092530F"/>
    <w:rsid w:val="00930754"/>
    <w:rsid w:val="0093325D"/>
    <w:rsid w:val="00934F68"/>
    <w:rsid w:val="009355AC"/>
    <w:rsid w:val="00935F38"/>
    <w:rsid w:val="00937586"/>
    <w:rsid w:val="009375B8"/>
    <w:rsid w:val="0094203D"/>
    <w:rsid w:val="00947889"/>
    <w:rsid w:val="009478BD"/>
    <w:rsid w:val="00954469"/>
    <w:rsid w:val="00957563"/>
    <w:rsid w:val="00960E98"/>
    <w:rsid w:val="00961BFB"/>
    <w:rsid w:val="00963A82"/>
    <w:rsid w:val="00966AC3"/>
    <w:rsid w:val="00970822"/>
    <w:rsid w:val="00972912"/>
    <w:rsid w:val="00974090"/>
    <w:rsid w:val="00976D1F"/>
    <w:rsid w:val="00981C81"/>
    <w:rsid w:val="00984322"/>
    <w:rsid w:val="00997147"/>
    <w:rsid w:val="009A2D24"/>
    <w:rsid w:val="009A456C"/>
    <w:rsid w:val="009A459F"/>
    <w:rsid w:val="009B00E0"/>
    <w:rsid w:val="009B292A"/>
    <w:rsid w:val="009B76D5"/>
    <w:rsid w:val="009C165D"/>
    <w:rsid w:val="009C3CEA"/>
    <w:rsid w:val="009C583D"/>
    <w:rsid w:val="009D2611"/>
    <w:rsid w:val="009D79D2"/>
    <w:rsid w:val="009E247C"/>
    <w:rsid w:val="009E31BA"/>
    <w:rsid w:val="009E502E"/>
    <w:rsid w:val="009F0528"/>
    <w:rsid w:val="009F06C6"/>
    <w:rsid w:val="009F0806"/>
    <w:rsid w:val="009F1B07"/>
    <w:rsid w:val="009F233B"/>
    <w:rsid w:val="00A05D16"/>
    <w:rsid w:val="00A0659F"/>
    <w:rsid w:val="00A079BA"/>
    <w:rsid w:val="00A10486"/>
    <w:rsid w:val="00A10B0D"/>
    <w:rsid w:val="00A14E8C"/>
    <w:rsid w:val="00A20C70"/>
    <w:rsid w:val="00A33875"/>
    <w:rsid w:val="00A360A1"/>
    <w:rsid w:val="00A402B3"/>
    <w:rsid w:val="00A40C14"/>
    <w:rsid w:val="00A5268A"/>
    <w:rsid w:val="00A544B7"/>
    <w:rsid w:val="00A5497B"/>
    <w:rsid w:val="00A5508D"/>
    <w:rsid w:val="00A618CF"/>
    <w:rsid w:val="00A62770"/>
    <w:rsid w:val="00A62EEB"/>
    <w:rsid w:val="00A660FF"/>
    <w:rsid w:val="00A6685F"/>
    <w:rsid w:val="00A73395"/>
    <w:rsid w:val="00A771E3"/>
    <w:rsid w:val="00A77C83"/>
    <w:rsid w:val="00A81C4F"/>
    <w:rsid w:val="00A823EA"/>
    <w:rsid w:val="00A82B4C"/>
    <w:rsid w:val="00A863B5"/>
    <w:rsid w:val="00A86D38"/>
    <w:rsid w:val="00A877A7"/>
    <w:rsid w:val="00A92E04"/>
    <w:rsid w:val="00A93A4C"/>
    <w:rsid w:val="00A94D5D"/>
    <w:rsid w:val="00A95C76"/>
    <w:rsid w:val="00AA1D9B"/>
    <w:rsid w:val="00AA2543"/>
    <w:rsid w:val="00AA3804"/>
    <w:rsid w:val="00AA53EE"/>
    <w:rsid w:val="00AA55C2"/>
    <w:rsid w:val="00AB0ACA"/>
    <w:rsid w:val="00AB1D41"/>
    <w:rsid w:val="00AB58B3"/>
    <w:rsid w:val="00AB60B5"/>
    <w:rsid w:val="00AC27A7"/>
    <w:rsid w:val="00AC5E9A"/>
    <w:rsid w:val="00AC704B"/>
    <w:rsid w:val="00AD553E"/>
    <w:rsid w:val="00AD5848"/>
    <w:rsid w:val="00AD77F9"/>
    <w:rsid w:val="00AD7FDB"/>
    <w:rsid w:val="00AE5ADA"/>
    <w:rsid w:val="00AF2BC9"/>
    <w:rsid w:val="00AF5CC6"/>
    <w:rsid w:val="00AF6145"/>
    <w:rsid w:val="00AF7168"/>
    <w:rsid w:val="00AF71CF"/>
    <w:rsid w:val="00B01386"/>
    <w:rsid w:val="00B016F3"/>
    <w:rsid w:val="00B01915"/>
    <w:rsid w:val="00B01BB5"/>
    <w:rsid w:val="00B026CC"/>
    <w:rsid w:val="00B032BE"/>
    <w:rsid w:val="00B04AF4"/>
    <w:rsid w:val="00B05214"/>
    <w:rsid w:val="00B12E20"/>
    <w:rsid w:val="00B14E17"/>
    <w:rsid w:val="00B233A8"/>
    <w:rsid w:val="00B30D97"/>
    <w:rsid w:val="00B31074"/>
    <w:rsid w:val="00B3181A"/>
    <w:rsid w:val="00B33515"/>
    <w:rsid w:val="00B35A7C"/>
    <w:rsid w:val="00B44ECD"/>
    <w:rsid w:val="00B450D1"/>
    <w:rsid w:val="00B526A7"/>
    <w:rsid w:val="00B536D6"/>
    <w:rsid w:val="00B53D47"/>
    <w:rsid w:val="00B54A25"/>
    <w:rsid w:val="00B54B8E"/>
    <w:rsid w:val="00B552F8"/>
    <w:rsid w:val="00B60326"/>
    <w:rsid w:val="00B6077B"/>
    <w:rsid w:val="00B618C3"/>
    <w:rsid w:val="00B622B2"/>
    <w:rsid w:val="00B63652"/>
    <w:rsid w:val="00B668B0"/>
    <w:rsid w:val="00B70F5C"/>
    <w:rsid w:val="00B71873"/>
    <w:rsid w:val="00B736B8"/>
    <w:rsid w:val="00B75AE5"/>
    <w:rsid w:val="00B800C0"/>
    <w:rsid w:val="00B8132B"/>
    <w:rsid w:val="00B8295C"/>
    <w:rsid w:val="00B84C5A"/>
    <w:rsid w:val="00B858F5"/>
    <w:rsid w:val="00B876BD"/>
    <w:rsid w:val="00B93668"/>
    <w:rsid w:val="00B94428"/>
    <w:rsid w:val="00B94A8F"/>
    <w:rsid w:val="00B9580C"/>
    <w:rsid w:val="00B97650"/>
    <w:rsid w:val="00BA68C6"/>
    <w:rsid w:val="00BB12F1"/>
    <w:rsid w:val="00BB15BC"/>
    <w:rsid w:val="00BB276E"/>
    <w:rsid w:val="00BB3FEE"/>
    <w:rsid w:val="00BB5EB0"/>
    <w:rsid w:val="00BC08F1"/>
    <w:rsid w:val="00BC245A"/>
    <w:rsid w:val="00BD16FA"/>
    <w:rsid w:val="00BD41C3"/>
    <w:rsid w:val="00BD488B"/>
    <w:rsid w:val="00BD5F9B"/>
    <w:rsid w:val="00BD654A"/>
    <w:rsid w:val="00BD7CCC"/>
    <w:rsid w:val="00BE002A"/>
    <w:rsid w:val="00BE0283"/>
    <w:rsid w:val="00BE1BC9"/>
    <w:rsid w:val="00BE5CDA"/>
    <w:rsid w:val="00BE608F"/>
    <w:rsid w:val="00BF23BB"/>
    <w:rsid w:val="00BF33DD"/>
    <w:rsid w:val="00BF5755"/>
    <w:rsid w:val="00BF684B"/>
    <w:rsid w:val="00C016F3"/>
    <w:rsid w:val="00C07136"/>
    <w:rsid w:val="00C10683"/>
    <w:rsid w:val="00C15193"/>
    <w:rsid w:val="00C15609"/>
    <w:rsid w:val="00C15F6A"/>
    <w:rsid w:val="00C217A7"/>
    <w:rsid w:val="00C23EA7"/>
    <w:rsid w:val="00C256F3"/>
    <w:rsid w:val="00C270A2"/>
    <w:rsid w:val="00C276D0"/>
    <w:rsid w:val="00C315B5"/>
    <w:rsid w:val="00C316ED"/>
    <w:rsid w:val="00C32462"/>
    <w:rsid w:val="00C35E28"/>
    <w:rsid w:val="00C426AF"/>
    <w:rsid w:val="00C469C1"/>
    <w:rsid w:val="00C47973"/>
    <w:rsid w:val="00C50659"/>
    <w:rsid w:val="00C51B39"/>
    <w:rsid w:val="00C52963"/>
    <w:rsid w:val="00C5338A"/>
    <w:rsid w:val="00C54EF9"/>
    <w:rsid w:val="00C55087"/>
    <w:rsid w:val="00C56BBF"/>
    <w:rsid w:val="00C572AA"/>
    <w:rsid w:val="00C575E6"/>
    <w:rsid w:val="00C57A9A"/>
    <w:rsid w:val="00C6016A"/>
    <w:rsid w:val="00C60B3F"/>
    <w:rsid w:val="00C61711"/>
    <w:rsid w:val="00C623EB"/>
    <w:rsid w:val="00C63D0D"/>
    <w:rsid w:val="00C64C6B"/>
    <w:rsid w:val="00C6588D"/>
    <w:rsid w:val="00C66F2E"/>
    <w:rsid w:val="00C6785C"/>
    <w:rsid w:val="00C7028B"/>
    <w:rsid w:val="00C70FD1"/>
    <w:rsid w:val="00C72B76"/>
    <w:rsid w:val="00C733AA"/>
    <w:rsid w:val="00C7637F"/>
    <w:rsid w:val="00C83027"/>
    <w:rsid w:val="00C84B8A"/>
    <w:rsid w:val="00C85E65"/>
    <w:rsid w:val="00C87CA1"/>
    <w:rsid w:val="00C911B4"/>
    <w:rsid w:val="00C91B3B"/>
    <w:rsid w:val="00C94262"/>
    <w:rsid w:val="00C9461D"/>
    <w:rsid w:val="00C95A92"/>
    <w:rsid w:val="00C976E1"/>
    <w:rsid w:val="00CA148E"/>
    <w:rsid w:val="00CA3A9A"/>
    <w:rsid w:val="00CA61C5"/>
    <w:rsid w:val="00CB1CFC"/>
    <w:rsid w:val="00CB6855"/>
    <w:rsid w:val="00CB6BC1"/>
    <w:rsid w:val="00CB7021"/>
    <w:rsid w:val="00CD2498"/>
    <w:rsid w:val="00CD305D"/>
    <w:rsid w:val="00CD3294"/>
    <w:rsid w:val="00CD3630"/>
    <w:rsid w:val="00CD4524"/>
    <w:rsid w:val="00CD784D"/>
    <w:rsid w:val="00CF3A1C"/>
    <w:rsid w:val="00CF40F8"/>
    <w:rsid w:val="00CF544B"/>
    <w:rsid w:val="00CF6799"/>
    <w:rsid w:val="00D008DA"/>
    <w:rsid w:val="00D019EE"/>
    <w:rsid w:val="00D0416F"/>
    <w:rsid w:val="00D05517"/>
    <w:rsid w:val="00D055D6"/>
    <w:rsid w:val="00D05851"/>
    <w:rsid w:val="00D10FED"/>
    <w:rsid w:val="00D11736"/>
    <w:rsid w:val="00D12EE8"/>
    <w:rsid w:val="00D14CDF"/>
    <w:rsid w:val="00D15FF1"/>
    <w:rsid w:val="00D167F4"/>
    <w:rsid w:val="00D2092A"/>
    <w:rsid w:val="00D2216D"/>
    <w:rsid w:val="00D23079"/>
    <w:rsid w:val="00D25352"/>
    <w:rsid w:val="00D3063B"/>
    <w:rsid w:val="00D31A6F"/>
    <w:rsid w:val="00D35328"/>
    <w:rsid w:val="00D353D1"/>
    <w:rsid w:val="00D367DB"/>
    <w:rsid w:val="00D36E05"/>
    <w:rsid w:val="00D408F4"/>
    <w:rsid w:val="00D413D6"/>
    <w:rsid w:val="00D43977"/>
    <w:rsid w:val="00D44AC9"/>
    <w:rsid w:val="00D44F27"/>
    <w:rsid w:val="00D45304"/>
    <w:rsid w:val="00D46165"/>
    <w:rsid w:val="00D461C7"/>
    <w:rsid w:val="00D50424"/>
    <w:rsid w:val="00D5081E"/>
    <w:rsid w:val="00D525C9"/>
    <w:rsid w:val="00D53105"/>
    <w:rsid w:val="00D57C9A"/>
    <w:rsid w:val="00D57D3E"/>
    <w:rsid w:val="00D633F7"/>
    <w:rsid w:val="00D76249"/>
    <w:rsid w:val="00D849D4"/>
    <w:rsid w:val="00D90284"/>
    <w:rsid w:val="00D95D17"/>
    <w:rsid w:val="00D977FD"/>
    <w:rsid w:val="00DA1633"/>
    <w:rsid w:val="00DA1B90"/>
    <w:rsid w:val="00DA38A7"/>
    <w:rsid w:val="00DA7D12"/>
    <w:rsid w:val="00DB1B7A"/>
    <w:rsid w:val="00DB23ED"/>
    <w:rsid w:val="00DB51F3"/>
    <w:rsid w:val="00DB7BEB"/>
    <w:rsid w:val="00DC23CF"/>
    <w:rsid w:val="00DC3E25"/>
    <w:rsid w:val="00DC6562"/>
    <w:rsid w:val="00DD40E1"/>
    <w:rsid w:val="00DD6455"/>
    <w:rsid w:val="00DE1263"/>
    <w:rsid w:val="00DE130D"/>
    <w:rsid w:val="00DE24CF"/>
    <w:rsid w:val="00DE407C"/>
    <w:rsid w:val="00DE7C7D"/>
    <w:rsid w:val="00DF2992"/>
    <w:rsid w:val="00DF2D0C"/>
    <w:rsid w:val="00E00058"/>
    <w:rsid w:val="00E01B9D"/>
    <w:rsid w:val="00E0468F"/>
    <w:rsid w:val="00E04F5E"/>
    <w:rsid w:val="00E050AF"/>
    <w:rsid w:val="00E0522E"/>
    <w:rsid w:val="00E114B9"/>
    <w:rsid w:val="00E120F4"/>
    <w:rsid w:val="00E17172"/>
    <w:rsid w:val="00E24491"/>
    <w:rsid w:val="00E3181C"/>
    <w:rsid w:val="00E3280A"/>
    <w:rsid w:val="00E372AF"/>
    <w:rsid w:val="00E37D68"/>
    <w:rsid w:val="00E40EAE"/>
    <w:rsid w:val="00E41C80"/>
    <w:rsid w:val="00E436AC"/>
    <w:rsid w:val="00E44F7A"/>
    <w:rsid w:val="00E44FF8"/>
    <w:rsid w:val="00E470FA"/>
    <w:rsid w:val="00E5066A"/>
    <w:rsid w:val="00E52CF9"/>
    <w:rsid w:val="00E63F34"/>
    <w:rsid w:val="00E63FEA"/>
    <w:rsid w:val="00E6644A"/>
    <w:rsid w:val="00E66F21"/>
    <w:rsid w:val="00E6715A"/>
    <w:rsid w:val="00E749E5"/>
    <w:rsid w:val="00E74ACD"/>
    <w:rsid w:val="00E75DC9"/>
    <w:rsid w:val="00E7685F"/>
    <w:rsid w:val="00E81610"/>
    <w:rsid w:val="00E83B6C"/>
    <w:rsid w:val="00E84910"/>
    <w:rsid w:val="00E85B28"/>
    <w:rsid w:val="00E91976"/>
    <w:rsid w:val="00E93D88"/>
    <w:rsid w:val="00E947A6"/>
    <w:rsid w:val="00E94F43"/>
    <w:rsid w:val="00E95616"/>
    <w:rsid w:val="00E97A4A"/>
    <w:rsid w:val="00E97FC7"/>
    <w:rsid w:val="00EA0690"/>
    <w:rsid w:val="00EA38A7"/>
    <w:rsid w:val="00EA3956"/>
    <w:rsid w:val="00EA7136"/>
    <w:rsid w:val="00EB0D30"/>
    <w:rsid w:val="00EB2259"/>
    <w:rsid w:val="00EB28BF"/>
    <w:rsid w:val="00EB3000"/>
    <w:rsid w:val="00EB325A"/>
    <w:rsid w:val="00EC02A5"/>
    <w:rsid w:val="00EC176B"/>
    <w:rsid w:val="00EC2793"/>
    <w:rsid w:val="00EC33CD"/>
    <w:rsid w:val="00EC5BE5"/>
    <w:rsid w:val="00EC6904"/>
    <w:rsid w:val="00ED1261"/>
    <w:rsid w:val="00ED2650"/>
    <w:rsid w:val="00ED396A"/>
    <w:rsid w:val="00ED6DF8"/>
    <w:rsid w:val="00ED721A"/>
    <w:rsid w:val="00EE393D"/>
    <w:rsid w:val="00EF01CF"/>
    <w:rsid w:val="00EF5E63"/>
    <w:rsid w:val="00EF65D3"/>
    <w:rsid w:val="00EF6A47"/>
    <w:rsid w:val="00EF7AF9"/>
    <w:rsid w:val="00F00952"/>
    <w:rsid w:val="00F01495"/>
    <w:rsid w:val="00F10138"/>
    <w:rsid w:val="00F10E2C"/>
    <w:rsid w:val="00F13F92"/>
    <w:rsid w:val="00F21EA5"/>
    <w:rsid w:val="00F22ECA"/>
    <w:rsid w:val="00F240E8"/>
    <w:rsid w:val="00F244FA"/>
    <w:rsid w:val="00F31593"/>
    <w:rsid w:val="00F338E7"/>
    <w:rsid w:val="00F366A2"/>
    <w:rsid w:val="00F37418"/>
    <w:rsid w:val="00F44F43"/>
    <w:rsid w:val="00F450E1"/>
    <w:rsid w:val="00F50DF4"/>
    <w:rsid w:val="00F555BC"/>
    <w:rsid w:val="00F57AFE"/>
    <w:rsid w:val="00F6278E"/>
    <w:rsid w:val="00F63C41"/>
    <w:rsid w:val="00F63CD1"/>
    <w:rsid w:val="00F63E96"/>
    <w:rsid w:val="00F64CC8"/>
    <w:rsid w:val="00F65DEC"/>
    <w:rsid w:val="00F701E3"/>
    <w:rsid w:val="00F71008"/>
    <w:rsid w:val="00F71F8C"/>
    <w:rsid w:val="00F80821"/>
    <w:rsid w:val="00F82FA6"/>
    <w:rsid w:val="00F86AD4"/>
    <w:rsid w:val="00F935CA"/>
    <w:rsid w:val="00FA0113"/>
    <w:rsid w:val="00FA02B6"/>
    <w:rsid w:val="00FA12B2"/>
    <w:rsid w:val="00FA25D8"/>
    <w:rsid w:val="00FA5F4A"/>
    <w:rsid w:val="00FA7610"/>
    <w:rsid w:val="00FB02BD"/>
    <w:rsid w:val="00FB398F"/>
    <w:rsid w:val="00FB4EF8"/>
    <w:rsid w:val="00FB54AE"/>
    <w:rsid w:val="00FB56EB"/>
    <w:rsid w:val="00FB709A"/>
    <w:rsid w:val="00FB78DD"/>
    <w:rsid w:val="00FC3EF3"/>
    <w:rsid w:val="00FC5D35"/>
    <w:rsid w:val="00FD09CB"/>
    <w:rsid w:val="00FD2049"/>
    <w:rsid w:val="00FD2140"/>
    <w:rsid w:val="00FD4869"/>
    <w:rsid w:val="00FD5B5F"/>
    <w:rsid w:val="00FD5BDE"/>
    <w:rsid w:val="00FD68EC"/>
    <w:rsid w:val="00FE24A5"/>
    <w:rsid w:val="00FE2B32"/>
    <w:rsid w:val="00FE3076"/>
    <w:rsid w:val="00FE31E5"/>
    <w:rsid w:val="00FE412B"/>
    <w:rsid w:val="00FE5DDC"/>
    <w:rsid w:val="00FE6C7B"/>
    <w:rsid w:val="00FF19AD"/>
    <w:rsid w:val="00FF1EB5"/>
    <w:rsid w:val="00FF292D"/>
    <w:rsid w:val="00FF298D"/>
    <w:rsid w:val="00FF4B55"/>
    <w:rsid w:val="00FF6287"/>
    <w:rsid w:val="00FF6A74"/>
    <w:rsid w:val="00FF73A3"/>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7F914"/>
  <w15:chartTrackingRefBased/>
  <w15:docId w15:val="{23F8D366-2F20-47CE-A254-0C17E6D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536D6"/>
    <w:rPr>
      <w:color w:val="954F72"/>
      <w:u w:val="single"/>
    </w:rPr>
  </w:style>
  <w:style w:type="character" w:styleId="UnresolvedMention">
    <w:name w:val="Unresolved Mention"/>
    <w:uiPriority w:val="99"/>
    <w:semiHidden/>
    <w:unhideWhenUsed/>
    <w:rsid w:val="00B536D6"/>
    <w:rPr>
      <w:color w:val="605E5C"/>
      <w:shd w:val="clear" w:color="auto" w:fill="E1DFDD"/>
    </w:rPr>
  </w:style>
  <w:style w:type="table" w:styleId="GridTable1Light-Accent1">
    <w:name w:val="Grid Table 1 Light Accent 1"/>
    <w:basedOn w:val="TableNormal"/>
    <w:uiPriority w:val="46"/>
    <w:rsid w:val="00A92E0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3772358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91086239">
      <w:bodyDiv w:val="1"/>
      <w:marLeft w:val="0"/>
      <w:marRight w:val="0"/>
      <w:marTop w:val="0"/>
      <w:marBottom w:val="0"/>
      <w:divBdr>
        <w:top w:val="none" w:sz="0" w:space="0" w:color="auto"/>
        <w:left w:val="none" w:sz="0" w:space="0" w:color="auto"/>
        <w:bottom w:val="none" w:sz="0" w:space="0" w:color="auto"/>
        <w:right w:val="none" w:sz="0" w:space="0" w:color="auto"/>
      </w:divBdr>
    </w:div>
    <w:div w:id="132986833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97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kvoutouri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ikis@cystat.mof.gov.c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l/8.CYSTAT-DB/8.CYSTAT-DB__Price%20Indices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47" TargetMode="External"/><Relationship Id="rId14" Type="http://schemas.openxmlformats.org/officeDocument/2006/relationships/hyperlink" Target="mailto:fkakouts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sz="1100">
                <a:solidFill>
                  <a:sysClr val="windowText" lastClr="000000"/>
                </a:solidFill>
                <a:latin typeface="Verdana" panose="020B0604030504040204" pitchFamily="34" charset="0"/>
                <a:ea typeface="Verdana" panose="020B0604030504040204" pitchFamily="34" charset="0"/>
              </a:rPr>
              <a:t>Εναρμονισμένος Δείκτης Τιμών Καταναλωτή</a:t>
            </a:r>
            <a:endParaRPr lang="en-US" sz="1100">
              <a:solidFill>
                <a:sysClr val="windowText" lastClr="000000"/>
              </a:solidFill>
              <a:latin typeface="Verdana" panose="020B0604030504040204" pitchFamily="34" charset="0"/>
              <a:ea typeface="Verdana" panose="020B0604030504040204" pitchFamily="34" charset="0"/>
            </a:endParaRPr>
          </a:p>
        </c:rich>
      </c:tx>
      <c:layout>
        <c:manualLayout>
          <c:xMode val="edge"/>
          <c:yMode val="edge"/>
          <c:x val="0.21630611961181404"/>
          <c:y val="2.5477707006369428E-2"/>
        </c:manualLayout>
      </c:layout>
      <c:overlay val="0"/>
    </c:title>
    <c:autoTitleDeleted val="0"/>
    <c:plotArea>
      <c:layout>
        <c:manualLayout>
          <c:layoutTarget val="inner"/>
          <c:xMode val="edge"/>
          <c:yMode val="edge"/>
          <c:x val="0.10470783369561508"/>
          <c:y val="0.1214531749964822"/>
          <c:w val="0.87319747073944176"/>
          <c:h val="0.63560615432625067"/>
        </c:manualLayout>
      </c:layout>
      <c:lineChart>
        <c:grouping val="standard"/>
        <c:varyColors val="0"/>
        <c:ser>
          <c:idx val="0"/>
          <c:order val="0"/>
          <c:tx>
            <c:strRef>
              <c:f>μεταβολη!$I$5</c:f>
              <c:strCache>
                <c:ptCount val="1"/>
                <c:pt idx="0">
                  <c:v> ΕνΔΤΚ Κύπρου</c:v>
                </c:pt>
              </c:strCache>
            </c:strRef>
          </c:tx>
          <c:spPr>
            <a:ln>
              <a:solidFill>
                <a:srgbClr val="E9933A"/>
              </a:solidFill>
              <a:prstDash val="solid"/>
            </a:ln>
          </c:spPr>
          <c:marker>
            <c:symbol val="none"/>
          </c:marker>
          <c:cat>
            <c:multiLvlStrRef>
              <c:f>μεταβολη!$G$134:$H$158</c:f>
              <c:multiLvlStrCache>
                <c:ptCount val="25"/>
                <c:lvl>
                  <c:pt idx="0">
                    <c:v>ΔΕΚ</c:v>
                  </c:pt>
                  <c:pt idx="1">
                    <c:v>ΙΑΝ</c:v>
                  </c:pt>
                  <c:pt idx="2">
                    <c:v>ΦΕΒ</c:v>
                  </c:pt>
                  <c:pt idx="3">
                    <c:v>ΜΑΡ</c:v>
                  </c:pt>
                  <c:pt idx="4">
                    <c:v>ΑΠΡ</c:v>
                  </c:pt>
                  <c:pt idx="5">
                    <c:v>ΜΑΪΟΣ</c:v>
                  </c:pt>
                  <c:pt idx="6">
                    <c:v>ΙΟΥΝ</c:v>
                  </c:pt>
                  <c:pt idx="7">
                    <c:v>ΙΟΥΛ</c:v>
                  </c:pt>
                  <c:pt idx="8">
                    <c:v>ΑΥΓ</c:v>
                  </c:pt>
                  <c:pt idx="9">
                    <c:v>ΣΕΠ</c:v>
                  </c:pt>
                  <c:pt idx="10">
                    <c:v>ΟΚΤ</c:v>
                  </c:pt>
                  <c:pt idx="11">
                    <c:v>ΝΟΕ</c:v>
                  </c:pt>
                  <c:pt idx="12">
                    <c:v>ΔΕΚ</c:v>
                  </c:pt>
                  <c:pt idx="13">
                    <c:v>ΙΑΝ</c:v>
                  </c:pt>
                  <c:pt idx="14">
                    <c:v>ΦΕΒ</c:v>
                  </c:pt>
                  <c:pt idx="15">
                    <c:v>ΜΑΡ</c:v>
                  </c:pt>
                  <c:pt idx="16">
                    <c:v>ΑΠΡ</c:v>
                  </c:pt>
                  <c:pt idx="17">
                    <c:v>ΜΑΪΟΣ</c:v>
                  </c:pt>
                  <c:pt idx="18">
                    <c:v>ΙΟΥΝ</c:v>
                  </c:pt>
                  <c:pt idx="19">
                    <c:v>ΙΟΥΛ</c:v>
                  </c:pt>
                  <c:pt idx="20">
                    <c:v>ΑΥΓ</c:v>
                  </c:pt>
                  <c:pt idx="21">
                    <c:v>ΣΕΠ</c:v>
                  </c:pt>
                  <c:pt idx="22">
                    <c:v>ΟΚΤ</c:v>
                  </c:pt>
                  <c:pt idx="23">
                    <c:v>ΝΟΕ</c:v>
                  </c:pt>
                  <c:pt idx="24">
                    <c:v>ΔΕΚ</c:v>
                  </c:pt>
                </c:lvl>
                <c:lvl>
                  <c:pt idx="1">
                    <c:v>2023</c:v>
                  </c:pt>
                  <c:pt idx="13">
                    <c:v>2024</c:v>
                  </c:pt>
                </c:lvl>
              </c:multiLvlStrCache>
              <c:extLst/>
            </c:multiLvlStrRef>
          </c:cat>
          <c:val>
            <c:numRef>
              <c:f>μεταβολη!$I$134:$I$158</c:f>
              <c:numCache>
                <c:formatCode>General</c:formatCode>
                <c:ptCount val="25"/>
                <c:pt idx="0">
                  <c:v>7.6</c:v>
                </c:pt>
                <c:pt idx="1">
                  <c:v>6.8</c:v>
                </c:pt>
                <c:pt idx="2">
                  <c:v>6.7</c:v>
                </c:pt>
                <c:pt idx="3">
                  <c:v>6.1</c:v>
                </c:pt>
                <c:pt idx="4">
                  <c:v>3.9</c:v>
                </c:pt>
                <c:pt idx="5">
                  <c:v>3.6</c:v>
                </c:pt>
                <c:pt idx="6">
                  <c:v>2.8</c:v>
                </c:pt>
                <c:pt idx="7">
                  <c:v>2.4</c:v>
                </c:pt>
                <c:pt idx="8">
                  <c:v>3.1</c:v>
                </c:pt>
                <c:pt idx="9">
                  <c:v>4.3</c:v>
                </c:pt>
                <c:pt idx="10">
                  <c:v>3.6</c:v>
                </c:pt>
                <c:pt idx="11">
                  <c:v>2.4</c:v>
                </c:pt>
                <c:pt idx="12">
                  <c:v>1.9</c:v>
                </c:pt>
                <c:pt idx="13">
                  <c:v>2.1</c:v>
                </c:pt>
                <c:pt idx="14">
                  <c:v>2.1</c:v>
                </c:pt>
                <c:pt idx="15">
                  <c:v>1.6</c:v>
                </c:pt>
                <c:pt idx="16">
                  <c:v>2.1</c:v>
                </c:pt>
                <c:pt idx="17">
                  <c:v>3</c:v>
                </c:pt>
                <c:pt idx="18">
                  <c:v>3</c:v>
                </c:pt>
                <c:pt idx="19">
                  <c:v>2.4</c:v>
                </c:pt>
                <c:pt idx="20">
                  <c:v>2.2000000000000002</c:v>
                </c:pt>
                <c:pt idx="21">
                  <c:v>1.6</c:v>
                </c:pt>
                <c:pt idx="22">
                  <c:v>1.6</c:v>
                </c:pt>
                <c:pt idx="23">
                  <c:v>2.2000000000000002</c:v>
                </c:pt>
                <c:pt idx="24">
                  <c:v>3.1</c:v>
                </c:pt>
              </c:numCache>
              <c:extLst/>
            </c:numRef>
          </c:val>
          <c:smooth val="1"/>
          <c:extLst>
            <c:ext xmlns:c16="http://schemas.microsoft.com/office/drawing/2014/chart" uri="{C3380CC4-5D6E-409C-BE32-E72D297353CC}">
              <c16:uniqueId val="{00000000-C6CA-4ABF-B625-118D4245D3CA}"/>
            </c:ext>
          </c:extLst>
        </c:ser>
        <c:ser>
          <c:idx val="1"/>
          <c:order val="1"/>
          <c:tx>
            <c:strRef>
              <c:f>μεταβολη!$M$2</c:f>
              <c:strCache>
                <c:ptCount val="1"/>
                <c:pt idx="0">
                  <c:v> ΕνΔΤΚ Ευρωζώνης</c:v>
                </c:pt>
              </c:strCache>
            </c:strRef>
          </c:tx>
          <c:spPr>
            <a:ln cmpd="sng">
              <a:solidFill>
                <a:srgbClr val="558ED5"/>
              </a:solidFill>
              <a:prstDash val="sysDash"/>
            </a:ln>
          </c:spPr>
          <c:marker>
            <c:symbol val="none"/>
          </c:marker>
          <c:cat>
            <c:multiLvlStrRef>
              <c:f>μεταβολη!$G$134:$H$158</c:f>
              <c:multiLvlStrCache>
                <c:ptCount val="25"/>
                <c:lvl>
                  <c:pt idx="0">
                    <c:v>ΔΕΚ</c:v>
                  </c:pt>
                  <c:pt idx="1">
                    <c:v>ΙΑΝ</c:v>
                  </c:pt>
                  <c:pt idx="2">
                    <c:v>ΦΕΒ</c:v>
                  </c:pt>
                  <c:pt idx="3">
                    <c:v>ΜΑΡ</c:v>
                  </c:pt>
                  <c:pt idx="4">
                    <c:v>ΑΠΡ</c:v>
                  </c:pt>
                  <c:pt idx="5">
                    <c:v>ΜΑΪΟΣ</c:v>
                  </c:pt>
                  <c:pt idx="6">
                    <c:v>ΙΟΥΝ</c:v>
                  </c:pt>
                  <c:pt idx="7">
                    <c:v>ΙΟΥΛ</c:v>
                  </c:pt>
                  <c:pt idx="8">
                    <c:v>ΑΥΓ</c:v>
                  </c:pt>
                  <c:pt idx="9">
                    <c:v>ΣΕΠ</c:v>
                  </c:pt>
                  <c:pt idx="10">
                    <c:v>ΟΚΤ</c:v>
                  </c:pt>
                  <c:pt idx="11">
                    <c:v>ΝΟΕ</c:v>
                  </c:pt>
                  <c:pt idx="12">
                    <c:v>ΔΕΚ</c:v>
                  </c:pt>
                  <c:pt idx="13">
                    <c:v>ΙΑΝ</c:v>
                  </c:pt>
                  <c:pt idx="14">
                    <c:v>ΦΕΒ</c:v>
                  </c:pt>
                  <c:pt idx="15">
                    <c:v>ΜΑΡ</c:v>
                  </c:pt>
                  <c:pt idx="16">
                    <c:v>ΑΠΡ</c:v>
                  </c:pt>
                  <c:pt idx="17">
                    <c:v>ΜΑΪΟΣ</c:v>
                  </c:pt>
                  <c:pt idx="18">
                    <c:v>ΙΟΥΝ</c:v>
                  </c:pt>
                  <c:pt idx="19">
                    <c:v>ΙΟΥΛ</c:v>
                  </c:pt>
                  <c:pt idx="20">
                    <c:v>ΑΥΓ</c:v>
                  </c:pt>
                  <c:pt idx="21">
                    <c:v>ΣΕΠ</c:v>
                  </c:pt>
                  <c:pt idx="22">
                    <c:v>ΟΚΤ</c:v>
                  </c:pt>
                  <c:pt idx="23">
                    <c:v>ΝΟΕ</c:v>
                  </c:pt>
                  <c:pt idx="24">
                    <c:v>ΔΕΚ</c:v>
                  </c:pt>
                </c:lvl>
                <c:lvl>
                  <c:pt idx="1">
                    <c:v>2023</c:v>
                  </c:pt>
                  <c:pt idx="13">
                    <c:v>2024</c:v>
                  </c:pt>
                </c:lvl>
              </c:multiLvlStrCache>
              <c:extLst/>
            </c:multiLvlStrRef>
          </c:cat>
          <c:val>
            <c:numRef>
              <c:f>μεταβολη!$M$134:$M$158</c:f>
              <c:numCache>
                <c:formatCode>General</c:formatCode>
                <c:ptCount val="25"/>
                <c:pt idx="0" formatCode="#,##0.0">
                  <c:v>9.1999999999999993</c:v>
                </c:pt>
                <c:pt idx="1">
                  <c:v>8.6</c:v>
                </c:pt>
                <c:pt idx="2" formatCode="#,##0.0">
                  <c:v>8.5</c:v>
                </c:pt>
                <c:pt idx="3">
                  <c:v>6.9</c:v>
                </c:pt>
                <c:pt idx="4" formatCode="#,##0.0">
                  <c:v>6.9</c:v>
                </c:pt>
                <c:pt idx="5">
                  <c:v>6.1</c:v>
                </c:pt>
                <c:pt idx="6" formatCode="#,##0.0">
                  <c:v>5.5</c:v>
                </c:pt>
                <c:pt idx="7">
                  <c:v>5.3</c:v>
                </c:pt>
                <c:pt idx="8" formatCode="#,##0.0">
                  <c:v>5.2</c:v>
                </c:pt>
                <c:pt idx="9">
                  <c:v>4.3</c:v>
                </c:pt>
                <c:pt idx="10" formatCode="#,##0.0">
                  <c:v>2.9</c:v>
                </c:pt>
                <c:pt idx="11">
                  <c:v>2.4</c:v>
                </c:pt>
                <c:pt idx="12" formatCode="#,##0.0">
                  <c:v>2.9</c:v>
                </c:pt>
                <c:pt idx="13">
                  <c:v>2.8</c:v>
                </c:pt>
                <c:pt idx="14" formatCode="#,##0.0">
                  <c:v>2.6</c:v>
                </c:pt>
                <c:pt idx="15">
                  <c:v>2.4</c:v>
                </c:pt>
                <c:pt idx="16" formatCode="#,##0.0">
                  <c:v>2.4</c:v>
                </c:pt>
                <c:pt idx="17">
                  <c:v>2.5</c:v>
                </c:pt>
                <c:pt idx="18" formatCode="#,##0.0">
                  <c:v>2.5</c:v>
                </c:pt>
                <c:pt idx="19">
                  <c:v>2.6</c:v>
                </c:pt>
                <c:pt idx="20" formatCode="#,##0.0">
                  <c:v>2.2000000000000002</c:v>
                </c:pt>
                <c:pt idx="21" formatCode="#,##0.0">
                  <c:v>1.7</c:v>
                </c:pt>
                <c:pt idx="22" formatCode="#,##0.0">
                  <c:v>2</c:v>
                </c:pt>
                <c:pt idx="23" formatCode="#,##0.0">
                  <c:v>2.2000000000000002</c:v>
                </c:pt>
                <c:pt idx="24" formatCode="#,##0.0">
                  <c:v>2.4</c:v>
                </c:pt>
              </c:numCache>
              <c:extLst/>
            </c:numRef>
          </c:val>
          <c:smooth val="1"/>
          <c:extLst>
            <c:ext xmlns:c16="http://schemas.microsoft.com/office/drawing/2014/chart" uri="{C3380CC4-5D6E-409C-BE32-E72D297353CC}">
              <c16:uniqueId val="{00000001-C6CA-4ABF-B625-118D4245D3CA}"/>
            </c:ext>
          </c:extLst>
        </c:ser>
        <c:dLbls>
          <c:showLegendKey val="0"/>
          <c:showVal val="0"/>
          <c:showCatName val="0"/>
          <c:showSerName val="0"/>
          <c:showPercent val="0"/>
          <c:showBubbleSize val="0"/>
        </c:dLbls>
        <c:smooth val="0"/>
        <c:axId val="344415616"/>
        <c:axId val="344419328"/>
      </c:lineChart>
      <c:catAx>
        <c:axId val="344415616"/>
        <c:scaling>
          <c:orientation val="minMax"/>
        </c:scaling>
        <c:delete val="0"/>
        <c:axPos val="b"/>
        <c:numFmt formatCode="General" sourceLinked="1"/>
        <c:majorTickMark val="none"/>
        <c:minorTickMark val="none"/>
        <c:tickLblPos val="low"/>
        <c:txPr>
          <a:bodyPr rot="-5400000" vert="horz" anchor="ctr" anchorCtr="0"/>
          <a:lstStyle/>
          <a:p>
            <a:pPr>
              <a:defRPr sz="900">
                <a:solidFill>
                  <a:sysClr val="windowText" lastClr="000000"/>
                </a:solidFill>
                <a:latin typeface="Verdana" panose="020B0604030504040204" pitchFamily="34" charset="0"/>
                <a:ea typeface="Verdana" panose="020B0604030504040204" pitchFamily="34" charset="0"/>
              </a:defRPr>
            </a:pPr>
            <a:endParaRPr lang="en-CY"/>
          </a:p>
        </c:txPr>
        <c:crossAx val="344419328"/>
        <c:crosses val="autoZero"/>
        <c:auto val="1"/>
        <c:lblAlgn val="ctr"/>
        <c:lblOffset val="100"/>
        <c:noMultiLvlLbl val="0"/>
      </c:catAx>
      <c:valAx>
        <c:axId val="344419328"/>
        <c:scaling>
          <c:orientation val="minMax"/>
          <c:min val="0"/>
        </c:scaling>
        <c:delete val="0"/>
        <c:axPos val="l"/>
        <c:majorGridlines>
          <c:spPr>
            <a:ln>
              <a:solidFill>
                <a:schemeClr val="bg1">
                  <a:lumMod val="85000"/>
                </a:schemeClr>
              </a:solidFill>
              <a:prstDash val="solid"/>
            </a:ln>
          </c:spPr>
        </c:majorGridlines>
        <c:title>
          <c:tx>
            <c:rich>
              <a:bodyPr/>
              <a:lstStyle/>
              <a:p>
                <a:pPr>
                  <a:defRPr sz="900" b="1"/>
                </a:pPr>
                <a:r>
                  <a:rPr lang="el-GR" sz="900" b="1" i="0" u="none" strike="noStrike" kern="1200" baseline="0">
                    <a:solidFill>
                      <a:sysClr val="windowText" lastClr="000000"/>
                    </a:solidFill>
                    <a:latin typeface="Verdana" panose="020B0604030504040204" pitchFamily="34" charset="0"/>
                    <a:ea typeface="Verdana" panose="020B0604030504040204" pitchFamily="34" charset="0"/>
                  </a:rPr>
                  <a:t>Ετήσια Μεταβολή (%) </a:t>
                </a:r>
                <a:endParaRPr lang="en-US" sz="900" b="1"/>
              </a:p>
            </c:rich>
          </c:tx>
          <c:overlay val="0"/>
        </c:title>
        <c:numFmt formatCode="0.0" sourceLinked="0"/>
        <c:majorTickMark val="none"/>
        <c:minorTickMark val="none"/>
        <c:tickLblPos val="nextTo"/>
        <c:spPr>
          <a:ln w="9525">
            <a:noFill/>
          </a:ln>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en-CY"/>
          </a:p>
        </c:txPr>
        <c:crossAx val="344415616"/>
        <c:crosses val="autoZero"/>
        <c:crossBetween val="between"/>
        <c:majorUnit val="1"/>
      </c:valAx>
    </c:plotArea>
    <c:legend>
      <c:legendPos val="b"/>
      <c:layout>
        <c:manualLayout>
          <c:xMode val="edge"/>
          <c:yMode val="edge"/>
          <c:x val="0.2356726548723648"/>
          <c:y val="0.93536998957932804"/>
          <c:w val="0.528654527657478"/>
          <c:h val="4.7644872416425656E-2"/>
        </c:manualLayout>
      </c:layout>
      <c:overlay val="0"/>
      <c:spPr>
        <a:solidFill>
          <a:schemeClr val="bg1">
            <a:lumMod val="85000"/>
          </a:schemeClr>
        </a:solidFill>
      </c:spPr>
      <c:txPr>
        <a:bodyPr/>
        <a:lstStyle/>
        <a:p>
          <a:pPr>
            <a:defRPr sz="900" b="1">
              <a:solidFill>
                <a:sysClr val="windowText" lastClr="000000"/>
              </a:solidFill>
              <a:latin typeface="Verdana" panose="020B0604030504040204" pitchFamily="34" charset="0"/>
              <a:ea typeface="Verdana" panose="020B0604030504040204" pitchFamily="34" charset="0"/>
            </a:defRPr>
          </a:pPr>
          <a:endParaRPr lang="en-CY"/>
        </a:p>
      </c:txPr>
    </c:legend>
    <c:plotVisOnly val="1"/>
    <c:dispBlanksAs val="gap"/>
    <c:showDLblsOverMax val="0"/>
  </c:chart>
  <c:spPr>
    <a:ln>
      <a:solidFill>
        <a:srgbClr val="558ED5">
          <a:alpha val="49804"/>
        </a:srgb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7145</CharactersWithSpaces>
  <SharedDoc>false</SharedDoc>
  <HLinks>
    <vt:vector size="42" baseType="variant">
      <vt:variant>
        <vt:i4>2883594</vt:i4>
      </vt:variant>
      <vt:variant>
        <vt:i4>15</vt:i4>
      </vt:variant>
      <vt:variant>
        <vt:i4>0</vt:i4>
      </vt:variant>
      <vt:variant>
        <vt:i4>5</vt:i4>
      </vt:variant>
      <vt:variant>
        <vt:lpwstr>mailto:cpapageorgiou@cystat.mof.gov.cy</vt:lpwstr>
      </vt:variant>
      <vt:variant>
        <vt:lpwstr/>
      </vt:variant>
      <vt:variant>
        <vt:i4>1179738</vt:i4>
      </vt:variant>
      <vt:variant>
        <vt:i4>12</vt:i4>
      </vt:variant>
      <vt:variant>
        <vt:i4>0</vt:i4>
      </vt:variant>
      <vt:variant>
        <vt:i4>5</vt:i4>
      </vt:variant>
      <vt:variant>
        <vt:lpwstr>https://www.cystat.gov.cy/el/MethodologicalDetails?m=2091</vt:lpwstr>
      </vt:variant>
      <vt:variant>
        <vt:lpwstr/>
      </vt:variant>
      <vt:variant>
        <vt:i4>4259922</vt:i4>
      </vt:variant>
      <vt:variant>
        <vt:i4>9</vt:i4>
      </vt:variant>
      <vt:variant>
        <vt:i4>0</vt:i4>
      </vt:variant>
      <vt:variant>
        <vt:i4>5</vt:i4>
      </vt:variant>
      <vt:variant>
        <vt:lpwstr>https://www.cystat.gov.cy/el/KeyFiguresList?s=47</vt:lpwstr>
      </vt:variant>
      <vt:variant>
        <vt:lpwstr/>
      </vt:variant>
      <vt:variant>
        <vt:i4>786514</vt:i4>
      </vt:variant>
      <vt:variant>
        <vt:i4>6</vt:i4>
      </vt:variant>
      <vt:variant>
        <vt:i4>0</vt:i4>
      </vt:variant>
      <vt:variant>
        <vt:i4>5</vt:i4>
      </vt:variant>
      <vt:variant>
        <vt:lpwstr>https://cystatdb.cystat.gov.cy/pxweb/el/8.CYSTAT-DB/8.CYSTAT-DB__Price Indices__</vt:lpwstr>
      </vt:variant>
      <vt:variant>
        <vt:lpwstr/>
      </vt:variant>
      <vt:variant>
        <vt:i4>5046338</vt:i4>
      </vt:variant>
      <vt:variant>
        <vt:i4>3</vt:i4>
      </vt:variant>
      <vt:variant>
        <vt:i4>0</vt:i4>
      </vt:variant>
      <vt:variant>
        <vt:i4>5</vt:i4>
      </vt:variant>
      <vt:variant>
        <vt:lpwstr>https://www.cystat.gov.cy/el/SubthemeStatistics?s=47</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Filippos Kakoutsis</cp:lastModifiedBy>
  <cp:revision>28</cp:revision>
  <cp:lastPrinted>2024-09-12T09:42:00Z</cp:lastPrinted>
  <dcterms:created xsi:type="dcterms:W3CDTF">2024-10-15T11:21:00Z</dcterms:created>
  <dcterms:modified xsi:type="dcterms:W3CDTF">2025-01-16T06:53:00Z</dcterms:modified>
</cp:coreProperties>
</file>