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3C3F" w14:textId="77777777" w:rsidR="00AF5CC6" w:rsidRPr="00F06D07" w:rsidRDefault="00AF5CC6" w:rsidP="00AF5CC6">
      <w:pPr>
        <w:jc w:val="right"/>
        <w:rPr>
          <w:rFonts w:ascii="Verdana" w:hAnsi="Verdana" w:cs="Arial"/>
          <w:sz w:val="18"/>
          <w:szCs w:val="18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348B471B" w:rsidR="00AF5CC6" w:rsidRDefault="00131F3A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117523">
        <w:rPr>
          <w:rFonts w:ascii="Verdana" w:eastAsia="Malgun Gothic" w:hAnsi="Verdana" w:cs="Arial"/>
          <w:sz w:val="18"/>
          <w:szCs w:val="18"/>
          <w:lang w:val="el-GR"/>
        </w:rPr>
        <w:t>18</w:t>
      </w:r>
      <w:r w:rsidR="0079784F" w:rsidRPr="007D708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Μαρτ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ίου,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26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7A496F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ΤΥΠΟΥ</w:t>
      </w:r>
    </w:p>
    <w:p w14:paraId="5A8AFFDB" w14:textId="77777777" w:rsidR="004702E4" w:rsidRPr="007A496F" w:rsidRDefault="004702E4" w:rsidP="00AF5CC6">
      <w:pPr>
        <w:jc w:val="center"/>
        <w:rPr>
          <w:rFonts w:ascii="Verdana" w:eastAsia="Malgun Gothic" w:hAnsi="Verdana" w:cs="Arial"/>
          <w:b/>
          <w:lang w:val="el-GR"/>
        </w:rPr>
      </w:pP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5E57E5EA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</w:t>
      </w:r>
      <w:proofErr w:type="spellStart"/>
      <w:r w:rsidRPr="00FE5DDC">
        <w:rPr>
          <w:rFonts w:ascii="Verdana" w:eastAsia="Malgun Gothic" w:hAnsi="Verdana" w:cs="Arial"/>
          <w:b w:val="0"/>
          <w:szCs w:val="22"/>
        </w:rPr>
        <w:t>ΕνΔΤΚ</w:t>
      </w:r>
      <w:proofErr w:type="spellEnd"/>
      <w:r w:rsidRPr="00FE5DDC">
        <w:rPr>
          <w:rFonts w:ascii="Verdana" w:eastAsia="Malgun Gothic" w:hAnsi="Verdana" w:cs="Arial"/>
          <w:b w:val="0"/>
          <w:szCs w:val="22"/>
        </w:rPr>
        <w:t xml:space="preserve">): </w:t>
      </w:r>
      <w:r w:rsidR="00131F3A">
        <w:rPr>
          <w:rFonts w:ascii="Verdana" w:eastAsia="Malgun Gothic" w:hAnsi="Verdana" w:cs="Arial"/>
          <w:caps/>
          <w:szCs w:val="22"/>
        </w:rPr>
        <w:t>ΦΕΒΡΟΥΑΡΙΟΣ</w:t>
      </w:r>
      <w:r w:rsidR="00171AFE">
        <w:rPr>
          <w:rFonts w:ascii="Verdana" w:eastAsia="Malgun Gothic" w:hAnsi="Verdana" w:cs="Arial"/>
          <w:caps/>
          <w:szCs w:val="22"/>
        </w:rPr>
        <w:t xml:space="preserve"> </w:t>
      </w:r>
      <w:r w:rsidRPr="00FE5DDC">
        <w:rPr>
          <w:rFonts w:ascii="Verdana" w:eastAsia="Malgun Gothic" w:hAnsi="Verdana" w:cs="Arial"/>
          <w:szCs w:val="22"/>
        </w:rPr>
        <w:t>202</w:t>
      </w:r>
      <w:r w:rsidR="00FD2AF7">
        <w:rPr>
          <w:rFonts w:ascii="Verdana" w:eastAsia="Malgun Gothic" w:hAnsi="Verdana" w:cs="Arial"/>
          <w:szCs w:val="22"/>
        </w:rPr>
        <w:t>6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5938ED6B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4E3A6B" w:rsidRPr="004E3A6B">
        <w:rPr>
          <w:rFonts w:ascii="Verdana" w:eastAsia="Malgun Gothic" w:hAnsi="Verdana" w:cs="Arial"/>
          <w:b/>
          <w:lang w:val="el-GR"/>
        </w:rPr>
        <w:t>0</w:t>
      </w:r>
      <w:r w:rsidRPr="00FE5DDC">
        <w:rPr>
          <w:rFonts w:ascii="Verdana" w:eastAsia="Malgun Gothic" w:hAnsi="Verdana" w:cs="Arial"/>
          <w:b/>
          <w:lang w:val="el-GR"/>
        </w:rPr>
        <w:t>,</w:t>
      </w:r>
      <w:r w:rsidR="004E3A6B" w:rsidRPr="004E3A6B">
        <w:rPr>
          <w:rFonts w:ascii="Verdana" w:eastAsia="Malgun Gothic" w:hAnsi="Verdana" w:cs="Arial"/>
          <w:b/>
          <w:lang w:val="el-GR"/>
        </w:rPr>
        <w:t>9</w:t>
      </w:r>
      <w:r w:rsidR="00A812C0" w:rsidRPr="007A496F">
        <w:rPr>
          <w:rFonts w:ascii="Verdana" w:eastAsia="Malgun Gothic" w:hAnsi="Verdana" w:cs="Arial"/>
          <w:b/>
          <w:lang w:val="el-GR"/>
        </w:rPr>
        <w:t>4</w:t>
      </w:r>
      <w:r w:rsidRPr="00FE5DDC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7A496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62C77076" w14:textId="77777777" w:rsidR="004702E4" w:rsidRPr="007A496F" w:rsidRDefault="004702E4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4E220C5B" w14:textId="64C75AAC" w:rsidR="00CF6799" w:rsidRDefault="00AF5CC6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Εναρμονισμένος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Δείκτης Τιμών Καταναλωτή </w:t>
      </w:r>
      <w:r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 xml:space="preserve"> Φεβρουάριο</w:t>
      </w:r>
      <w:r w:rsidR="00EB5A3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20</w:t>
      </w:r>
      <w:r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FF628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αυξήθηκε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A812C0" w:rsidRPr="007A496F">
        <w:rPr>
          <w:rFonts w:ascii="Verdana" w:eastAsia="Malgun Gothic" w:hAnsi="Verdana" w:cs="Arial"/>
          <w:sz w:val="18"/>
          <w:szCs w:val="18"/>
          <w:lang w:val="el-GR"/>
        </w:rPr>
        <w:t>4</w:t>
      </w:r>
      <w:r>
        <w:rPr>
          <w:rFonts w:ascii="Verdana" w:eastAsia="Malgun Gothic" w:hAnsi="Verdana" w:cs="Arial"/>
          <w:sz w:val="18"/>
          <w:szCs w:val="18"/>
          <w:lang w:val="el-GR"/>
        </w:rPr>
        <w:t>% σε σχέση με τον</w:t>
      </w:r>
      <w:r w:rsidR="00E94F4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FD2AF7">
        <w:rPr>
          <w:rFonts w:ascii="Verdana" w:eastAsia="Malgun Gothic" w:hAnsi="Verdana" w:cs="Arial"/>
          <w:sz w:val="18"/>
          <w:szCs w:val="18"/>
          <w:lang w:val="el-GR"/>
        </w:rPr>
        <w:t>5</w:t>
      </w:r>
      <w:r>
        <w:rPr>
          <w:rFonts w:ascii="Verdana" w:eastAsia="Malgun Gothic" w:hAnsi="Verdana" w:cs="Arial"/>
          <w:sz w:val="18"/>
          <w:szCs w:val="18"/>
          <w:lang w:val="el-GR"/>
        </w:rPr>
        <w:t>, ενώ σε σχέση με τον προηγούμενο μήνα</w:t>
      </w:r>
      <w:r w:rsidR="007A496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μειώθηκε κατά 0,01</w:t>
      </w:r>
      <w:r w:rsidR="000A1781" w:rsidRPr="007A496F">
        <w:rPr>
          <w:rFonts w:ascii="Verdana" w:eastAsia="Malgun Gothic" w:hAnsi="Verdana" w:cs="Arial"/>
          <w:sz w:val="18"/>
          <w:szCs w:val="18"/>
          <w:lang w:val="el-GR"/>
        </w:rPr>
        <w:t>%</w:t>
      </w:r>
      <w:r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D876E0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Πίνακας 1)</w:t>
      </w:r>
    </w:p>
    <w:p w14:paraId="29175F4F" w14:textId="77777777" w:rsidR="00EB5A3F" w:rsidRDefault="00EB5A3F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B40E065" w14:textId="1B1D3B8E" w:rsidR="005A27EE" w:rsidRDefault="005A27EE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867704" w14:textId="1B35273C" w:rsidR="00F10E2C" w:rsidRPr="00171AFE" w:rsidRDefault="00B56410" w:rsidP="00C0713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6E7EBF28" wp14:editId="3D7A6302">
            <wp:extent cx="6054090" cy="4498975"/>
            <wp:effectExtent l="0" t="0" r="3810" b="0"/>
            <wp:docPr id="9066016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49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4EEE5312" w:rsidR="00AF5CC6" w:rsidRPr="00637055" w:rsidRDefault="001B11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r w:rsidRPr="001B1170">
        <w:rPr>
          <w:rFonts w:ascii="Verdana" w:eastAsia="Malgun Gothic" w:hAnsi="Verdana" w:cs="Arial"/>
          <w:color w:val="365F91"/>
          <w:sz w:val="16"/>
          <w:szCs w:val="16"/>
          <w:lang w:val="el-GR"/>
        </w:rPr>
        <w:t xml:space="preserve"> </w:t>
      </w:r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Σημείωση: Ο </w:t>
      </w:r>
      <w:proofErr w:type="spellStart"/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l-GR"/>
        </w:rPr>
        <w:t>ΕνΔΤΚ</w:t>
      </w:r>
      <w:proofErr w:type="spellEnd"/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Ευρωζώνης για τον τελευταίο μήνα βασίζεται σε εκτίμηση της </w:t>
      </w:r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n-GB"/>
        </w:rPr>
        <w:t>EUROSTAT</w:t>
      </w:r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(</w:t>
      </w:r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n-GB"/>
        </w:rPr>
        <w:t>flash</w:t>
      </w:r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n-GB"/>
        </w:rPr>
        <w:t>estimate</w:t>
      </w:r>
      <w:r w:rsidR="00AF5CC6" w:rsidRPr="00B974FA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Pr="007A496F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0919790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78191A0A" w:rsidR="00AF5CC6" w:rsidRPr="00C23701" w:rsidRDefault="00AF5CC6" w:rsidP="00114DB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lastRenderedPageBreak/>
        <w:t>Συγκριτικά με τον</w:t>
      </w:r>
      <w:r w:rsidR="00114DB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E3A6B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2658F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590727" w:rsidRPr="0059072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2B4E6C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ες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bookmarkStart w:id="0" w:name="_Hlk169516628"/>
      <w:r w:rsidR="00DA1B90" w:rsidRPr="00DA1B90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</w:t>
      </w:r>
      <w:r w:rsidR="00590727" w:rsidRPr="0059072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, </w:t>
      </w:r>
      <w:r w:rsidR="00590727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Αθλητισμός</w:t>
      </w:r>
      <w:r w:rsidR="00DA1B90" w:rsidRPr="00DA1B90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και Πολιτισμός</w:t>
      </w:r>
      <w:r w:rsidR="00DA1B90" w:rsidRPr="00DA1B9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5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4E3A6B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114DB4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4870FD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και</w:t>
      </w:r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 w:rsidR="00590727" w:rsidRPr="00590727">
        <w:rPr>
          <w:rFonts w:ascii="Verdana" w:eastAsia="Malgun Gothic" w:hAnsi="Verdana" w:cs="Arial"/>
          <w:i/>
          <w:sz w:val="18"/>
          <w:szCs w:val="18"/>
          <w:lang w:val="el-GR"/>
        </w:rPr>
        <w:t>Εστιατόρια και Υπηρεσίες Παροχής Καταλύματος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(4,</w:t>
      </w:r>
      <w:r w:rsidR="004E3A6B">
        <w:rPr>
          <w:rFonts w:ascii="Verdana" w:eastAsia="Malgun Gothic" w:hAnsi="Verdana" w:cs="Arial"/>
          <w:iCs/>
          <w:sz w:val="18"/>
          <w:szCs w:val="18"/>
          <w:lang w:val="el-GR"/>
        </w:rPr>
        <w:t>9</w:t>
      </w:r>
      <w:r w:rsidR="00601870" w:rsidRPr="00601870">
        <w:rPr>
          <w:rFonts w:ascii="Verdana" w:eastAsia="Malgun Gothic" w:hAnsi="Verdana" w:cs="Arial"/>
          <w:iCs/>
          <w:sz w:val="18"/>
          <w:szCs w:val="18"/>
          <w:lang w:val="el-GR"/>
        </w:rPr>
        <w:t>%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>)</w:t>
      </w:r>
      <w:r w:rsidR="00614052" w:rsidRPr="00614052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590727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bookmarkEnd w:id="0"/>
      <w:r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9E502E">
        <w:rPr>
          <w:rFonts w:ascii="Verdana" w:eastAsia="Malgun Gothic" w:hAnsi="Verdana" w:cs="Arial"/>
          <w:sz w:val="18"/>
          <w:szCs w:val="18"/>
          <w:lang w:val="el-GR"/>
        </w:rPr>
        <w:t>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ην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η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F2415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007254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αρνητικ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καταγράφηκ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A812C0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01870" w:rsidRPr="001B1170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AA5052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601870">
        <w:rPr>
          <w:rFonts w:ascii="Verdana" w:eastAsia="Malgun Gothic" w:hAnsi="Verdana" w:cs="Arial"/>
          <w:sz w:val="18"/>
          <w:szCs w:val="18"/>
          <w:lang w:val="el-GR"/>
        </w:rPr>
        <w:t>6,2%)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4870FD" w:rsidRPr="004870FD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4870FD" w:rsidRPr="004870FD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Στέγαση, Ύδρευση, Ηλεκτρικό Ρεύμα, Φυσικό Αέριο και Άλλα Καύσιμα</w:t>
      </w:r>
      <w:r w:rsidR="004870FD">
        <w:rPr>
          <w:rFonts w:ascii="Verdana" w:eastAsia="Times New Roman" w:hAnsi="Verdana" w:cs="Arial"/>
          <w:sz w:val="18"/>
          <w:szCs w:val="18"/>
          <w:lang w:val="el-GR"/>
        </w:rPr>
        <w:t xml:space="preserve"> (-3,5%)</w:t>
      </w:r>
      <w:r w:rsidR="001B1170" w:rsidRPr="001B1170">
        <w:rPr>
          <w:rFonts w:ascii="Verdana" w:eastAsia="Times New Roman" w:hAnsi="Verdana" w:cs="Arial"/>
          <w:sz w:val="18"/>
          <w:szCs w:val="18"/>
          <w:lang w:val="el-GR"/>
        </w:rPr>
        <w:t>.</w:t>
      </w:r>
      <w:r w:rsidR="00E74ACD" w:rsidRPr="004870F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(Πίνακας </w:t>
      </w:r>
      <w:r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3867E2B" w14:textId="3CFD9E18" w:rsidR="00AF5CC6" w:rsidRDefault="00AF5CC6" w:rsidP="0024027B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Σε σχέση με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31762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E74ACD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439A8" w:rsidRPr="003439A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μεταβολ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ές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καν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FE2B32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FE2B32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5C380F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200657" w:rsidRPr="0020065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67F50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4870FD">
        <w:rPr>
          <w:rFonts w:ascii="Verdana" w:eastAsia="Malgun Gothic" w:hAnsi="Verdana" w:cs="Arial"/>
          <w:iCs/>
          <w:sz w:val="18"/>
          <w:szCs w:val="18"/>
          <w:lang w:val="el-GR"/>
        </w:rPr>
        <w:t>0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4870FD">
        <w:rPr>
          <w:rFonts w:ascii="Verdana" w:eastAsia="Malgun Gothic" w:hAnsi="Verdana" w:cs="Arial"/>
          <w:iCs/>
          <w:sz w:val="18"/>
          <w:szCs w:val="18"/>
          <w:lang w:val="el-GR"/>
        </w:rPr>
        <w:t>8</w:t>
      </w:r>
      <w:r w:rsidR="00FE2B32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και</w:t>
      </w:r>
      <w:r w:rsidR="004870FD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</w:t>
      </w:r>
      <w:r w:rsidR="004870FD" w:rsidRPr="004870FD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Στέγαση, Ύδρευση, Ηλεκτρικό Ρεύμα, Φυσικό Αέριο και Άλλα Καύσιμα</w:t>
      </w:r>
      <w:r w:rsidR="005F0361">
        <w:rPr>
          <w:rFonts w:ascii="Verdana" w:eastAsia="Malgun Gothic" w:hAnsi="Verdana" w:cs="Arial"/>
          <w:i/>
          <w:sz w:val="18"/>
          <w:szCs w:val="18"/>
          <w:lang w:val="el-GR"/>
        </w:rPr>
        <w:t xml:space="preserve"> 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4870FD">
        <w:rPr>
          <w:rFonts w:ascii="Verdana" w:eastAsia="Malgun Gothic" w:hAnsi="Verdana" w:cs="Arial"/>
          <w:iCs/>
          <w:sz w:val="18"/>
          <w:szCs w:val="18"/>
          <w:lang w:val="el-GR"/>
        </w:rPr>
        <w:t>-0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4870FD">
        <w:rPr>
          <w:rFonts w:ascii="Verdana" w:eastAsia="Malgun Gothic" w:hAnsi="Verdana" w:cs="Arial"/>
          <w:iCs/>
          <w:sz w:val="18"/>
          <w:szCs w:val="18"/>
          <w:lang w:val="el-GR"/>
        </w:rPr>
        <w:t>5</w:t>
      </w:r>
      <w:r w:rsidR="005C380F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114B9">
        <w:rPr>
          <w:rFonts w:ascii="Verdana" w:eastAsia="Malgun Gothic" w:hAnsi="Verdana" w:cs="Arial"/>
          <w:iCs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Πίνακας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1</w:t>
      </w:r>
      <w:r w:rsidRPr="004F03FD">
        <w:rPr>
          <w:rFonts w:ascii="Verdana" w:eastAsia="Malgun Gothic" w:hAnsi="Verdana" w:cs="Arial"/>
          <w:sz w:val="18"/>
          <w:szCs w:val="18"/>
          <w:lang w:val="el-GR"/>
        </w:rPr>
        <w:t>)</w:t>
      </w:r>
    </w:p>
    <w:p w14:paraId="69A31EF2" w14:textId="77777777" w:rsidR="007B2DD9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D4DFF9B" w14:textId="65F0984E" w:rsidR="00850F43" w:rsidRPr="00601870" w:rsidRDefault="005E7DDA" w:rsidP="00850F4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1870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601870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601870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>ε τον</w:t>
      </w:r>
      <w:r w:rsidR="000E3759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5F036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F5CC6" w:rsidRPr="00601870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παρατηρήθηκε  στις κατηγορίες </w:t>
      </w:r>
      <w:r w:rsidR="00601870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 w:rsidR="005F036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895B41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601870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(4,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ενώ σε σχέση με </w:t>
      </w:r>
      <w:bookmarkStart w:id="1" w:name="_Hlk119397424"/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τον προηγούμενο μήνα </w:t>
      </w:r>
      <w:r w:rsidR="004D7614" w:rsidRPr="00601870">
        <w:rPr>
          <w:rFonts w:ascii="Verdana" w:eastAsia="Malgun Gothic" w:hAnsi="Verdana" w:cs="Arial"/>
          <w:sz w:val="18"/>
          <w:szCs w:val="18"/>
          <w:lang w:val="el-GR"/>
        </w:rPr>
        <w:t>παρατηρήθηκε στην κατηγορία</w:t>
      </w:r>
      <w:bookmarkEnd w:id="1"/>
      <w:r w:rsidR="004870F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96ABC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</w:t>
      </w:r>
      <w:r w:rsidR="004870FD">
        <w:rPr>
          <w:rFonts w:ascii="Verdana" w:eastAsia="Malgun Gothic" w:hAnsi="Verdana" w:cs="Arial"/>
          <w:i/>
          <w:iCs/>
          <w:sz w:val="18"/>
          <w:szCs w:val="18"/>
          <w:lang w:val="el-GR"/>
        </w:rPr>
        <w:t>έ</w:t>
      </w:r>
      <w:r w:rsidR="00796ABC" w:rsidRPr="00601870">
        <w:rPr>
          <w:rFonts w:ascii="Verdana" w:eastAsia="Malgun Gothic" w:hAnsi="Verdana" w:cs="Arial"/>
          <w:i/>
          <w:iCs/>
          <w:sz w:val="18"/>
          <w:szCs w:val="18"/>
          <w:lang w:val="el-GR"/>
        </w:rPr>
        <w:t>ργεια</w:t>
      </w:r>
      <w:r w:rsidR="00796ABC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870FD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594A83" w:rsidRPr="00601870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822B64" w:rsidRPr="006018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1870" w:rsidRPr="006018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50F43" w:rsidRPr="00601870">
        <w:rPr>
          <w:rFonts w:ascii="Verdana" w:eastAsia="Malgun Gothic" w:hAnsi="Verdana" w:cs="Arial"/>
          <w:sz w:val="18"/>
          <w:szCs w:val="18"/>
          <w:lang w:val="el-GR"/>
        </w:rPr>
        <w:t>(Πίνακας 2)</w:t>
      </w:r>
    </w:p>
    <w:p w14:paraId="1D5E4402" w14:textId="77777777" w:rsidR="00E74ACD" w:rsidRPr="005C4C32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240"/>
        <w:gridCol w:w="1177"/>
        <w:gridCol w:w="1134"/>
        <w:gridCol w:w="1843"/>
      </w:tblGrid>
      <w:tr w:rsidR="001B1170" w:rsidRPr="001B1170" w14:paraId="2E7A17C5" w14:textId="61EF746F" w:rsidTr="00117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7"/>
            <w:tcBorders>
              <w:bottom w:val="single" w:sz="4" w:space="0" w:color="366092"/>
            </w:tcBorders>
          </w:tcPr>
          <w:p w14:paraId="3A52B7B1" w14:textId="7B69FF08" w:rsidR="00594514" w:rsidRPr="001B1170" w:rsidRDefault="00594514" w:rsidP="00D25AB6">
            <w:pPr>
              <w:tabs>
                <w:tab w:val="left" w:pos="1080"/>
                <w:tab w:val="left" w:pos="6840"/>
              </w:tabs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</w:tr>
      <w:tr w:rsidR="001B1170" w:rsidRPr="001B1170" w14:paraId="5785043C" w14:textId="125DD453" w:rsidTr="00117523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4" w:space="0" w:color="366092"/>
            </w:tcBorders>
            <w:vAlign w:val="center"/>
          </w:tcPr>
          <w:p w14:paraId="1CEEBE74" w14:textId="77777777" w:rsidR="00594514" w:rsidRPr="001B1170" w:rsidRDefault="00594514" w:rsidP="00A55D89">
            <w:pPr>
              <w:ind w:right="-130"/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0E0D3279" w14:textId="77777777" w:rsidR="00594514" w:rsidRPr="001B1170" w:rsidRDefault="00594514" w:rsidP="00D25AB6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2977" w:type="dxa"/>
            <w:gridSpan w:val="2"/>
            <w:tcBorders>
              <w:bottom w:val="single" w:sz="4" w:space="0" w:color="366092"/>
            </w:tcBorders>
            <w:vAlign w:val="center"/>
          </w:tcPr>
          <w:p w14:paraId="2B5606A1" w14:textId="1F657FED" w:rsidR="00594514" w:rsidRPr="001B1170" w:rsidRDefault="00594514" w:rsidP="00D25AB6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(2025=100)</w:t>
            </w:r>
          </w:p>
        </w:tc>
        <w:tc>
          <w:tcPr>
            <w:tcW w:w="240" w:type="dxa"/>
            <w:tcBorders>
              <w:bottom w:val="single" w:sz="4" w:space="0" w:color="FFFFFF" w:themeColor="background1"/>
            </w:tcBorders>
            <w:noWrap/>
            <w:tcMar>
              <w:left w:w="0" w:type="dxa"/>
              <w:right w:w="28" w:type="dxa"/>
            </w:tcMar>
          </w:tcPr>
          <w:p w14:paraId="1E490A95" w14:textId="77777777" w:rsidR="00594514" w:rsidRPr="001B1170" w:rsidRDefault="00594514" w:rsidP="00D25AB6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154" w:type="dxa"/>
            <w:gridSpan w:val="3"/>
            <w:tcBorders>
              <w:bottom w:val="single" w:sz="4" w:space="0" w:color="366092"/>
            </w:tcBorders>
          </w:tcPr>
          <w:p w14:paraId="34A73185" w14:textId="0A086CEB" w:rsidR="00594514" w:rsidRPr="001B1170" w:rsidRDefault="00594514" w:rsidP="00D25AB6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1B1170" w:rsidRPr="001B1170" w14:paraId="4549DBDE" w14:textId="0D238C18" w:rsidTr="001175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tcBorders>
              <w:top w:val="single" w:sz="4" w:space="0" w:color="FFFFFF" w:themeColor="background1"/>
              <w:bottom w:val="single" w:sz="4" w:space="0" w:color="366092"/>
            </w:tcBorders>
          </w:tcPr>
          <w:p w14:paraId="250044BF" w14:textId="77777777" w:rsidR="006C5303" w:rsidRPr="001B1170" w:rsidRDefault="006C5303" w:rsidP="00EB5A3F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bottom w:val="single" w:sz="4" w:space="0" w:color="366092"/>
            </w:tcBorders>
            <w:vAlign w:val="center"/>
          </w:tcPr>
          <w:p w14:paraId="00EAC198" w14:textId="77777777" w:rsidR="006C5303" w:rsidRPr="001B1170" w:rsidRDefault="006C5303" w:rsidP="00131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173638EB" w14:textId="49119299" w:rsidR="006C5303" w:rsidRPr="001B1170" w:rsidRDefault="006C5303" w:rsidP="00131F3A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560" w:type="dxa"/>
            <w:tcBorders>
              <w:bottom w:val="single" w:sz="4" w:space="0" w:color="366092"/>
            </w:tcBorders>
            <w:vAlign w:val="center"/>
          </w:tcPr>
          <w:p w14:paraId="466B3D74" w14:textId="7A1AD2E4" w:rsidR="006C5303" w:rsidRPr="001B1170" w:rsidRDefault="006C5303" w:rsidP="00131F3A">
            <w:pPr>
              <w:ind w:right="-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Φεβρουάριος</w:t>
            </w:r>
          </w:p>
          <w:p w14:paraId="20133DD4" w14:textId="5E567643" w:rsidR="006C5303" w:rsidRPr="001B1170" w:rsidRDefault="006C5303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</w:tcPr>
          <w:p w14:paraId="1D37A384" w14:textId="77777777" w:rsidR="006C5303" w:rsidRPr="001B1170" w:rsidRDefault="006C5303" w:rsidP="00EB5A3F">
            <w:pPr>
              <w:tabs>
                <w:tab w:val="left" w:pos="1080"/>
                <w:tab w:val="left" w:pos="6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177" w:type="dxa"/>
            <w:tcBorders>
              <w:bottom w:val="single" w:sz="4" w:space="0" w:color="365F91"/>
            </w:tcBorders>
            <w:vAlign w:val="center"/>
          </w:tcPr>
          <w:p w14:paraId="6D2B89D9" w14:textId="3B2F3821" w:rsidR="006C5303" w:rsidRPr="001B1170" w:rsidRDefault="006C5303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 26/ Φεβ 25</w:t>
            </w:r>
          </w:p>
        </w:tc>
        <w:tc>
          <w:tcPr>
            <w:tcW w:w="1134" w:type="dxa"/>
            <w:tcBorders>
              <w:top w:val="single" w:sz="4" w:space="0" w:color="366092"/>
              <w:bottom w:val="single" w:sz="4" w:space="0" w:color="365F91"/>
            </w:tcBorders>
            <w:vAlign w:val="center"/>
          </w:tcPr>
          <w:p w14:paraId="4E6F8F9A" w14:textId="39AD17CD" w:rsidR="006C5303" w:rsidRPr="001B1170" w:rsidRDefault="006C5303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 26/ Ιαν 26</w:t>
            </w:r>
          </w:p>
        </w:tc>
        <w:tc>
          <w:tcPr>
            <w:tcW w:w="1843" w:type="dxa"/>
            <w:tcBorders>
              <w:bottom w:val="single" w:sz="4" w:space="0" w:color="365F91"/>
            </w:tcBorders>
          </w:tcPr>
          <w:p w14:paraId="14124BBE" w14:textId="692EBA8E" w:rsidR="006C5303" w:rsidRPr="001B1170" w:rsidRDefault="006C5303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– Φεβ</w:t>
            </w:r>
            <w:r w:rsidR="00594514"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26/</w:t>
            </w:r>
          </w:p>
          <w:p w14:paraId="27C220DA" w14:textId="3EE4CFF5" w:rsidR="006C5303" w:rsidRPr="001B1170" w:rsidRDefault="006C5303" w:rsidP="00EB5A3F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– Φεβ 25</w:t>
            </w:r>
          </w:p>
        </w:tc>
      </w:tr>
      <w:tr w:rsidR="001B1170" w:rsidRPr="001B1170" w14:paraId="6E325E2B" w14:textId="5D732482" w:rsidTr="001175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366092"/>
            </w:tcBorders>
            <w:vAlign w:val="center"/>
          </w:tcPr>
          <w:p w14:paraId="3D84B894" w14:textId="61AE473D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417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7A9D2F2" w14:textId="41078FC8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103,28 </w:t>
            </w:r>
          </w:p>
        </w:tc>
        <w:tc>
          <w:tcPr>
            <w:tcW w:w="1560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390E44D6" w14:textId="2B8CD825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102,79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7373A50C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tcBorders>
              <w:top w:val="single" w:sz="4" w:space="0" w:color="365F91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68FBF5C" w14:textId="22C2C843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2,70</w:t>
            </w:r>
          </w:p>
        </w:tc>
        <w:tc>
          <w:tcPr>
            <w:tcW w:w="1134" w:type="dxa"/>
            <w:tcBorders>
              <w:top w:val="single" w:sz="4" w:space="0" w:color="365F91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3AD0BF5" w14:textId="2863776E" w:rsidR="008F5C37" w:rsidRPr="001B1170" w:rsidRDefault="008F5C37" w:rsidP="001B1170">
            <w:pPr>
              <w:ind w:right="-11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-0,47</w:t>
            </w:r>
          </w:p>
        </w:tc>
        <w:tc>
          <w:tcPr>
            <w:tcW w:w="1843" w:type="dxa"/>
            <w:tcBorders>
              <w:top w:val="single" w:sz="4" w:space="0" w:color="365F91"/>
            </w:tcBorders>
            <w:vAlign w:val="center"/>
          </w:tcPr>
          <w:p w14:paraId="254C7CD9" w14:textId="38AAB097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2,94</w:t>
            </w:r>
          </w:p>
        </w:tc>
      </w:tr>
      <w:tr w:rsidR="001B1170" w:rsidRPr="001B1170" w14:paraId="1B95C1A8" w14:textId="025E60B6" w:rsidTr="00117523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D538252" w14:textId="0B385417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οτά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Κ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27BB5071" w14:textId="2714E510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100,82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5809D1EC" w14:textId="0E54523E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101,12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BC72088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7137B40E" w14:textId="1F1F67EC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1,2</w:t>
            </w:r>
            <w:r w:rsidR="00117523" w:rsidRPr="001B1170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01037533" w14:textId="1D80F099" w:rsidR="008F5C37" w:rsidRPr="001B1170" w:rsidRDefault="008F5C37" w:rsidP="001B1170">
            <w:pPr>
              <w:ind w:leftChars="-38" w:left="1" w:right="-114" w:hangingChars="47" w:hanging="8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0,30</w:t>
            </w:r>
          </w:p>
        </w:tc>
        <w:tc>
          <w:tcPr>
            <w:tcW w:w="1843" w:type="dxa"/>
            <w:vAlign w:val="center"/>
          </w:tcPr>
          <w:p w14:paraId="79B0CB5A" w14:textId="2F3B7CA1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1,04</w:t>
            </w:r>
          </w:p>
        </w:tc>
      </w:tr>
      <w:tr w:rsidR="001B1170" w:rsidRPr="001B1170" w14:paraId="2601AA75" w14:textId="0E764678" w:rsidTr="0011752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5B331D93" w14:textId="65E02C65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Ένδυση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Υ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3027E8C" w14:textId="2954B5EC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89,80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21BD9B26" w14:textId="741C0D47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90,48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F5D5ED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4F1CA5C3" w14:textId="062A84F1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-6,22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190FFA51" w14:textId="71327463" w:rsidR="008F5C37" w:rsidRPr="001B1170" w:rsidRDefault="008F5C37" w:rsidP="001B1170">
            <w:pPr>
              <w:ind w:right="-11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0,76</w:t>
            </w:r>
          </w:p>
        </w:tc>
        <w:tc>
          <w:tcPr>
            <w:tcW w:w="1843" w:type="dxa"/>
            <w:vAlign w:val="center"/>
          </w:tcPr>
          <w:p w14:paraId="6A7A1D11" w14:textId="3E1904B4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-6,22</w:t>
            </w:r>
          </w:p>
        </w:tc>
      </w:tr>
      <w:tr w:rsidR="001B1170" w:rsidRPr="001B1170" w14:paraId="221396AC" w14:textId="69BA0D35" w:rsidTr="00117523">
        <w:trPr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8F51117" w14:textId="708AE489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C9D56E0" w14:textId="27BE0193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99,64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1B1AC012" w14:textId="1483761F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99,16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6C472D35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019E2CB7" w14:textId="383D526D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-3,47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2C260FAB" w14:textId="64167E3B" w:rsidR="008F5C37" w:rsidRPr="001B1170" w:rsidRDefault="008F5C37" w:rsidP="001B1170">
            <w:pPr>
              <w:ind w:right="-114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-0,48</w:t>
            </w:r>
          </w:p>
        </w:tc>
        <w:tc>
          <w:tcPr>
            <w:tcW w:w="1843" w:type="dxa"/>
            <w:vAlign w:val="center"/>
          </w:tcPr>
          <w:p w14:paraId="2199AA02" w14:textId="5EE49378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-2,97</w:t>
            </w:r>
          </w:p>
        </w:tc>
      </w:tr>
      <w:tr w:rsidR="001B1170" w:rsidRPr="001B1170" w14:paraId="48E93CF3" w14:textId="1F1BDCF4" w:rsidTr="0011752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4880A51" w14:textId="73A8B2C1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200AA5A" w14:textId="59E3726F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99,85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7E94323B" w14:textId="79041373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99,55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16580516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49C7D603" w14:textId="22AE9C84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0,29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126A13B3" w14:textId="54502C04" w:rsidR="008F5C37" w:rsidRPr="001B1170" w:rsidRDefault="008F5C37" w:rsidP="001B1170">
            <w:pPr>
              <w:ind w:right="-114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-0,30</w:t>
            </w:r>
          </w:p>
        </w:tc>
        <w:tc>
          <w:tcPr>
            <w:tcW w:w="1843" w:type="dxa"/>
            <w:vAlign w:val="center"/>
          </w:tcPr>
          <w:p w14:paraId="0AF84866" w14:textId="251106B4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0,35</w:t>
            </w:r>
          </w:p>
        </w:tc>
      </w:tr>
      <w:tr w:rsidR="001B1170" w:rsidRPr="001B1170" w14:paraId="22ED156A" w14:textId="71FE16AA" w:rsidTr="0011752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6D409F9" w14:textId="581D3712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Υγεί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7F8F6B2C" w14:textId="6243072D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100,21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3C0F6F65" w14:textId="07746891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100,30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7314BA3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792F6CCD" w14:textId="12E2917E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</w:t>
            </w:r>
            <w:r w:rsidR="00117523" w:rsidRPr="001B1170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2B6DE458" w14:textId="7F667566" w:rsidR="008F5C37" w:rsidRPr="001B1170" w:rsidRDefault="008F5C37" w:rsidP="001B1170">
            <w:pPr>
              <w:ind w:right="-11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0,09</w:t>
            </w:r>
          </w:p>
        </w:tc>
        <w:tc>
          <w:tcPr>
            <w:tcW w:w="1843" w:type="dxa"/>
            <w:vAlign w:val="center"/>
          </w:tcPr>
          <w:p w14:paraId="3BB87F01" w14:textId="1F7EA6DC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0,38</w:t>
            </w:r>
          </w:p>
        </w:tc>
      </w:tr>
      <w:tr w:rsidR="001B1170" w:rsidRPr="001B1170" w14:paraId="573C0426" w14:textId="2FED1DF5" w:rsidTr="0011752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C5B48AA" w14:textId="08B27ECD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Μετ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54FF94B2" w14:textId="3A92A04D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97,50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6BF86314" w14:textId="58AE9D3B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97,74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32FDDE1E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503EF572" w14:textId="5BDB9796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-1,39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1A5AFA5F" w14:textId="1F34200F" w:rsidR="008F5C37" w:rsidRPr="001B1170" w:rsidRDefault="008F5C37" w:rsidP="001B1170">
            <w:pPr>
              <w:ind w:right="-11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0,25</w:t>
            </w:r>
          </w:p>
        </w:tc>
        <w:tc>
          <w:tcPr>
            <w:tcW w:w="1843" w:type="dxa"/>
            <w:vAlign w:val="center"/>
          </w:tcPr>
          <w:p w14:paraId="36A31C9E" w14:textId="040BB4C8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-0,94</w:t>
            </w:r>
          </w:p>
        </w:tc>
      </w:tr>
      <w:tr w:rsidR="001B1170" w:rsidRPr="001B1170" w14:paraId="4E4A4FB2" w14:textId="2A8DA05B" w:rsidTr="0011752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3478003F" w14:textId="097CC385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ικοινωνί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7AAE2D93" w14:textId="2ECE762D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98,07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0717658E" w14:textId="6B5CE376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98,11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79FA386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3251023B" w14:textId="3EBA3D76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-2,45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68CF4DE6" w14:textId="419DC850" w:rsidR="008F5C37" w:rsidRPr="001B1170" w:rsidRDefault="008F5C37" w:rsidP="001B1170">
            <w:pPr>
              <w:ind w:right="-11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0,04</w:t>
            </w:r>
          </w:p>
        </w:tc>
        <w:tc>
          <w:tcPr>
            <w:tcW w:w="1843" w:type="dxa"/>
            <w:vAlign w:val="center"/>
          </w:tcPr>
          <w:p w14:paraId="164D9D6D" w14:textId="5A52AECF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-2,69</w:t>
            </w:r>
          </w:p>
        </w:tc>
      </w:tr>
      <w:tr w:rsidR="001B1170" w:rsidRPr="001B1170" w14:paraId="3168295C" w14:textId="3A9D1452" w:rsidTr="0011752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3E03490" w14:textId="5C9535DC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Αν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αψυχή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, Αθλητισμός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 xml:space="preserve"> και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1B4D2413" w14:textId="0EAD9BA0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102,35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796DA35F" w14:textId="441A1693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102,02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E2175BC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64AEA1CF" w14:textId="46321E1B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5,35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1A826D6D" w14:textId="6FD52759" w:rsidR="008F5C37" w:rsidRPr="001B1170" w:rsidRDefault="008F5C37" w:rsidP="001B1170">
            <w:pPr>
              <w:ind w:right="-114" w:firstLineChars="20" w:firstLine="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-0,32</w:t>
            </w:r>
          </w:p>
        </w:tc>
        <w:tc>
          <w:tcPr>
            <w:tcW w:w="1843" w:type="dxa"/>
            <w:vAlign w:val="center"/>
          </w:tcPr>
          <w:p w14:paraId="372170B2" w14:textId="1F27B2C4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5,55</w:t>
            </w:r>
          </w:p>
        </w:tc>
      </w:tr>
      <w:tr w:rsidR="001B1170" w:rsidRPr="001B1170" w14:paraId="4DA8FE93" w14:textId="18ED2D84" w:rsidTr="0011752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040786D7" w14:textId="3094A10B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Εκ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πα</w:t>
            </w:r>
            <w:proofErr w:type="spellStart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ιδ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</w:rPr>
              <w:t>ευ</w:t>
            </w: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τικές</w:t>
            </w:r>
            <w:proofErr w:type="spellEnd"/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2FCCA678" w14:textId="3FF0D0F9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102,33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591B248E" w14:textId="4DA42EDF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102,33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0156490F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663D8662" w14:textId="556E4053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615957CF" w14:textId="6FDA267B" w:rsidR="008F5C37" w:rsidRPr="001B1170" w:rsidRDefault="008F5C37" w:rsidP="001B1170">
            <w:pPr>
              <w:ind w:right="-11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  <w:tc>
          <w:tcPr>
            <w:tcW w:w="1843" w:type="dxa"/>
            <w:vAlign w:val="center"/>
          </w:tcPr>
          <w:p w14:paraId="5DF7D40D" w14:textId="5A690BFE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3,41</w:t>
            </w:r>
          </w:p>
        </w:tc>
      </w:tr>
      <w:tr w:rsidR="001B1170" w:rsidRPr="001B1170" w14:paraId="2F3D1C78" w14:textId="078EF248" w:rsidTr="00117523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673B39AC" w14:textId="1073A21D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66206761" w14:textId="19090BA0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98,82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042AE3A9" w14:textId="4D2389D5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99,20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7C6C81B0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69B83F16" w14:textId="234EFBC5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4,87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5C591C76" w14:textId="0BC598D1" w:rsidR="008F5C37" w:rsidRPr="001B1170" w:rsidRDefault="008F5C37" w:rsidP="001B1170">
            <w:pPr>
              <w:ind w:right="-11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0,38</w:t>
            </w:r>
          </w:p>
        </w:tc>
        <w:tc>
          <w:tcPr>
            <w:tcW w:w="1843" w:type="dxa"/>
            <w:vAlign w:val="center"/>
          </w:tcPr>
          <w:p w14:paraId="11F17BCA" w14:textId="0BE67691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4,83</w:t>
            </w:r>
          </w:p>
        </w:tc>
      </w:tr>
      <w:tr w:rsidR="001B1170" w:rsidRPr="001B1170" w14:paraId="64D9DA00" w14:textId="7826C0BB" w:rsidTr="00117523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3E34084" w14:textId="3F1EE9C2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417" w:type="dxa"/>
            <w:noWrap/>
            <w:tcMar>
              <w:left w:w="0" w:type="dxa"/>
              <w:right w:w="198" w:type="dxa"/>
            </w:tcMar>
            <w:vAlign w:val="center"/>
          </w:tcPr>
          <w:p w14:paraId="602EC338" w14:textId="745D361B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100,05 </w:t>
            </w:r>
          </w:p>
        </w:tc>
        <w:tc>
          <w:tcPr>
            <w:tcW w:w="1560" w:type="dxa"/>
            <w:noWrap/>
            <w:tcMar>
              <w:left w:w="0" w:type="dxa"/>
              <w:right w:w="198" w:type="dxa"/>
            </w:tcMar>
            <w:vAlign w:val="center"/>
          </w:tcPr>
          <w:p w14:paraId="7D042F2E" w14:textId="18A3353B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100,05</w:t>
            </w:r>
          </w:p>
        </w:tc>
        <w:tc>
          <w:tcPr>
            <w:tcW w:w="240" w:type="dxa"/>
            <w:noWrap/>
            <w:tcMar>
              <w:left w:w="0" w:type="dxa"/>
              <w:right w:w="28" w:type="dxa"/>
            </w:tcMar>
            <w:vAlign w:val="center"/>
          </w:tcPr>
          <w:p w14:paraId="2492F0DF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noWrap/>
            <w:tcMar>
              <w:left w:w="0" w:type="dxa"/>
              <w:right w:w="397" w:type="dxa"/>
            </w:tcMar>
            <w:vAlign w:val="center"/>
          </w:tcPr>
          <w:p w14:paraId="342F69EA" w14:textId="0A33E83C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0,12</w:t>
            </w:r>
          </w:p>
        </w:tc>
        <w:tc>
          <w:tcPr>
            <w:tcW w:w="1134" w:type="dxa"/>
            <w:noWrap/>
            <w:tcMar>
              <w:left w:w="0" w:type="dxa"/>
              <w:right w:w="397" w:type="dxa"/>
            </w:tcMar>
            <w:vAlign w:val="center"/>
          </w:tcPr>
          <w:p w14:paraId="19FEF3C0" w14:textId="1A7AFF3F" w:rsidR="008F5C37" w:rsidRPr="001B1170" w:rsidRDefault="008F5C37" w:rsidP="001B1170">
            <w:pPr>
              <w:ind w:right="-114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  <w:tc>
          <w:tcPr>
            <w:tcW w:w="1843" w:type="dxa"/>
            <w:vAlign w:val="center"/>
          </w:tcPr>
          <w:p w14:paraId="01BCC9A9" w14:textId="177813C2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0,12</w:t>
            </w:r>
          </w:p>
        </w:tc>
      </w:tr>
      <w:tr w:rsidR="001B1170" w:rsidRPr="001B1170" w14:paraId="63DB8116" w14:textId="42911875" w:rsidTr="001B1170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4" w:space="0" w:color="366092"/>
            </w:tcBorders>
            <w:vAlign w:val="center"/>
          </w:tcPr>
          <w:p w14:paraId="5679E4E2" w14:textId="69E50AC3" w:rsidR="008F5C37" w:rsidRPr="001B1170" w:rsidRDefault="008F5C37" w:rsidP="008F5C37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417" w:type="dxa"/>
            <w:tcBorders>
              <w:bottom w:val="single" w:sz="4" w:space="0" w:color="2F5496" w:themeColor="accent1" w:themeShade="BF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D4EA246" w14:textId="6CC9CCCD" w:rsidR="008F5C37" w:rsidRPr="001B1170" w:rsidRDefault="008F5C37" w:rsidP="001B1170">
            <w:pPr>
              <w:ind w:right="82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100,67 </w:t>
            </w:r>
          </w:p>
        </w:tc>
        <w:tc>
          <w:tcPr>
            <w:tcW w:w="1560" w:type="dxa"/>
            <w:tcBorders>
              <w:bottom w:val="single" w:sz="4" w:space="0" w:color="2F5496" w:themeColor="accent1" w:themeShade="BF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CB407AE" w14:textId="6FA17F03" w:rsidR="008F5C37" w:rsidRPr="001B1170" w:rsidRDefault="008F5C37" w:rsidP="001B1170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100,39</w:t>
            </w:r>
          </w:p>
        </w:tc>
        <w:tc>
          <w:tcPr>
            <w:tcW w:w="240" w:type="dxa"/>
            <w:tcBorders>
              <w:bottom w:val="single" w:sz="4" w:space="0" w:color="365F91"/>
            </w:tcBorders>
            <w:noWrap/>
            <w:tcMar>
              <w:left w:w="0" w:type="dxa"/>
              <w:right w:w="28" w:type="dxa"/>
            </w:tcMar>
            <w:vAlign w:val="center"/>
          </w:tcPr>
          <w:p w14:paraId="51979D83" w14:textId="77777777" w:rsidR="008F5C37" w:rsidRPr="001B1170" w:rsidRDefault="008F5C37" w:rsidP="008F5C37">
            <w:pPr>
              <w:ind w:right="217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tcBorders>
              <w:bottom w:val="single" w:sz="4" w:space="0" w:color="365F91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829BCF" w14:textId="18F45090" w:rsidR="008F5C37" w:rsidRPr="001B1170" w:rsidRDefault="008F5C37" w:rsidP="001B1170">
            <w:pPr>
              <w:ind w:right="-120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1,6</w:t>
            </w:r>
            <w:r w:rsidR="00117523" w:rsidRPr="001B1170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365F91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DA01948" w14:textId="485AEC25" w:rsidR="008F5C37" w:rsidRPr="001B1170" w:rsidRDefault="008F5C37" w:rsidP="001B1170">
            <w:pPr>
              <w:ind w:right="-114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-0,28</w:t>
            </w:r>
          </w:p>
        </w:tc>
        <w:tc>
          <w:tcPr>
            <w:tcW w:w="1843" w:type="dxa"/>
            <w:tcBorders>
              <w:bottom w:val="single" w:sz="4" w:space="0" w:color="365F91"/>
            </w:tcBorders>
            <w:vAlign w:val="center"/>
          </w:tcPr>
          <w:p w14:paraId="536425F5" w14:textId="2F71F82F" w:rsidR="008F5C37" w:rsidRPr="001B1170" w:rsidRDefault="008F5C37" w:rsidP="001B1170">
            <w:pPr>
              <w:tabs>
                <w:tab w:val="left" w:pos="1019"/>
              </w:tabs>
              <w:ind w:right="60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1,41</w:t>
            </w:r>
          </w:p>
        </w:tc>
      </w:tr>
      <w:tr w:rsidR="001B1170" w:rsidRPr="001B1170" w14:paraId="57C62558" w14:textId="44111699" w:rsidTr="001B1170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76F4097F" w14:textId="1BBDC653" w:rsidR="006C5303" w:rsidRPr="001B1170" w:rsidRDefault="006C5303" w:rsidP="00F247BF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1B117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1B117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1B117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F5496" w:themeColor="accent1" w:themeShade="BF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0B1D4B8B" w14:textId="316F312E" w:rsidR="006C5303" w:rsidRPr="001B1170" w:rsidRDefault="006C5303" w:rsidP="001B1170">
            <w:pPr>
              <w:ind w:right="82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1B117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99,41</w:t>
            </w:r>
          </w:p>
        </w:tc>
        <w:tc>
          <w:tcPr>
            <w:tcW w:w="1560" w:type="dxa"/>
            <w:tcBorders>
              <w:top w:val="single" w:sz="4" w:space="0" w:color="2F5496" w:themeColor="accent1" w:themeShade="BF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7DE7D774" w14:textId="7C3AA369" w:rsidR="006C5303" w:rsidRPr="001B1170" w:rsidRDefault="008F5C37" w:rsidP="001B1170">
            <w:pPr>
              <w:ind w:right="217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99,40</w:t>
            </w:r>
          </w:p>
        </w:tc>
        <w:tc>
          <w:tcPr>
            <w:tcW w:w="240" w:type="dxa"/>
            <w:tcBorders>
              <w:top w:val="single" w:sz="4" w:space="0" w:color="365F91"/>
              <w:bottom w:val="single" w:sz="4" w:space="0" w:color="365F91"/>
            </w:tcBorders>
            <w:noWrap/>
            <w:tcMar>
              <w:left w:w="0" w:type="dxa"/>
              <w:right w:w="28" w:type="dxa"/>
            </w:tcMar>
            <w:vAlign w:val="center"/>
          </w:tcPr>
          <w:p w14:paraId="424173AD" w14:textId="77777777" w:rsidR="006C5303" w:rsidRPr="001B1170" w:rsidRDefault="006C5303" w:rsidP="008F5C37">
            <w:pPr>
              <w:ind w:right="170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77" w:type="dxa"/>
            <w:tcBorders>
              <w:top w:val="single" w:sz="4" w:space="0" w:color="365F91"/>
              <w:bottom w:val="single" w:sz="4" w:space="0" w:color="365F91"/>
            </w:tcBorders>
            <w:noWrap/>
            <w:tcMar>
              <w:left w:w="0" w:type="dxa"/>
              <w:right w:w="397" w:type="dxa"/>
            </w:tcMar>
            <w:vAlign w:val="center"/>
          </w:tcPr>
          <w:p w14:paraId="63FF9B79" w14:textId="275360CD" w:rsidR="006C5303" w:rsidRPr="001B1170" w:rsidRDefault="008F5C37" w:rsidP="001B1170">
            <w:pPr>
              <w:ind w:right="-120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0,94</w:t>
            </w:r>
          </w:p>
        </w:tc>
        <w:tc>
          <w:tcPr>
            <w:tcW w:w="1134" w:type="dxa"/>
            <w:tcBorders>
              <w:top w:val="single" w:sz="4" w:space="0" w:color="365F91"/>
              <w:bottom w:val="single" w:sz="4" w:space="0" w:color="365F91"/>
            </w:tcBorders>
            <w:noWrap/>
            <w:tcMar>
              <w:left w:w="0" w:type="dxa"/>
              <w:right w:w="397" w:type="dxa"/>
            </w:tcMar>
            <w:vAlign w:val="center"/>
          </w:tcPr>
          <w:p w14:paraId="5FFC52D0" w14:textId="0A560B61" w:rsidR="006C5303" w:rsidRPr="001B1170" w:rsidRDefault="008F5C37" w:rsidP="001B1170">
            <w:pPr>
              <w:ind w:right="-11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-0,01</w:t>
            </w:r>
          </w:p>
        </w:tc>
        <w:tc>
          <w:tcPr>
            <w:tcW w:w="1843" w:type="dxa"/>
            <w:tcBorders>
              <w:top w:val="single" w:sz="4" w:space="0" w:color="365F91"/>
              <w:bottom w:val="single" w:sz="4" w:space="0" w:color="365F91"/>
            </w:tcBorders>
            <w:vAlign w:val="center"/>
          </w:tcPr>
          <w:p w14:paraId="5E9CC951" w14:textId="0554F332" w:rsidR="006C5303" w:rsidRPr="001B1170" w:rsidRDefault="008F5C37" w:rsidP="001B1170">
            <w:pPr>
              <w:tabs>
                <w:tab w:val="left" w:pos="1019"/>
              </w:tabs>
              <w:ind w:right="601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1B117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1,08</w:t>
            </w:r>
          </w:p>
        </w:tc>
      </w:tr>
    </w:tbl>
    <w:p w14:paraId="5A3ED84F" w14:textId="77777777" w:rsidR="007F5FBB" w:rsidRDefault="007F5FBB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E7D144C" w14:textId="77777777" w:rsidR="00A55D89" w:rsidRPr="00C07136" w:rsidRDefault="00A55D89" w:rsidP="00C0713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2222"/>
        <w:gridCol w:w="2493"/>
        <w:gridCol w:w="2415"/>
      </w:tblGrid>
      <w:tr w:rsidR="00AF5CC6" w:rsidRPr="004F677C" w14:paraId="09088547" w14:textId="77777777" w:rsidTr="001B1170">
        <w:trPr>
          <w:trHeight w:val="227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7FD3C8B" w14:textId="77777777" w:rsidR="00AF5CC6" w:rsidRPr="001C5C8C" w:rsidRDefault="00AF5CC6" w:rsidP="00A55D89">
            <w:pPr>
              <w:tabs>
                <w:tab w:val="left" w:pos="495"/>
              </w:tabs>
              <w:ind w:left="37" w:right="410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  <w:r w:rsidRPr="001C5C8C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Πίνακας 2</w:t>
            </w:r>
          </w:p>
        </w:tc>
      </w:tr>
      <w:tr w:rsidR="00AF5CC6" w:rsidRPr="004F677C" w14:paraId="36F39CC8" w14:textId="77777777" w:rsidTr="001B1170">
        <w:trPr>
          <w:trHeight w:val="330"/>
          <w:jc w:val="center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4F677C" w:rsidRDefault="00AF5CC6" w:rsidP="00B56410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F677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4F677C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D11D5">
              <w:rPr>
                <w:rFonts w:ascii="Verdana" w:hAnsi="Verdana"/>
                <w:b/>
                <w:bCs/>
                <w:color w:val="365F91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4F677C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F677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4F677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4F677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7B536B" w:rsidRPr="004F677C" w14:paraId="1F92CDFF" w14:textId="77777777" w:rsidTr="001B1170">
        <w:trPr>
          <w:trHeight w:val="454"/>
          <w:jc w:val="center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7B536B" w:rsidRPr="004F677C" w:rsidRDefault="007B536B" w:rsidP="007B536B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7B536B" w:rsidRPr="004F677C" w:rsidRDefault="007B536B" w:rsidP="007B536B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BAF57" w14:textId="7AF6DDD0" w:rsidR="007B536B" w:rsidRPr="008774AA" w:rsidRDefault="00131F3A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Φεβ</w:t>
            </w:r>
            <w:r w:rsidR="007B536B" w:rsidRPr="008774A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 xml:space="preserve"> 2</w:t>
            </w:r>
            <w:r w:rsidR="003B7C52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6</w:t>
            </w:r>
            <w:r w:rsidR="007B536B" w:rsidRPr="008774A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/</w:t>
            </w:r>
          </w:p>
          <w:p w14:paraId="1A7952FF" w14:textId="5671FADC" w:rsidR="007B536B" w:rsidRPr="003B7C52" w:rsidRDefault="004E3A6B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Φ</w:t>
            </w:r>
            <w:r w:rsidR="00131F3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εβ</w:t>
            </w:r>
            <w:r w:rsidR="007B536B" w:rsidRPr="008774A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 xml:space="preserve"> 2</w:t>
            </w:r>
            <w:r w:rsidR="003B7C52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5</w:t>
            </w:r>
          </w:p>
        </w:tc>
        <w:tc>
          <w:tcPr>
            <w:tcW w:w="113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5C81766C" w14:textId="5020F06D" w:rsidR="007B536B" w:rsidRPr="008774AA" w:rsidRDefault="00131F3A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Φεβ</w:t>
            </w:r>
            <w:r w:rsidR="007B536B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 xml:space="preserve"> 2</w:t>
            </w:r>
            <w:r w:rsidR="003B7C52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6</w:t>
            </w:r>
            <w:r w:rsidR="007B536B" w:rsidRPr="008774A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/</w:t>
            </w:r>
          </w:p>
          <w:p w14:paraId="1598BCE1" w14:textId="2AC9D907" w:rsidR="007B536B" w:rsidRPr="00131F3A" w:rsidRDefault="00131F3A" w:rsidP="00813A56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Ιαν</w:t>
            </w:r>
            <w:r w:rsidR="007B536B" w:rsidRPr="008774A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 xml:space="preserve"> 2</w:t>
            </w: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6</w:t>
            </w:r>
          </w:p>
        </w:tc>
      </w:tr>
      <w:tr w:rsidR="004E3A6B" w:rsidRPr="004F677C" w14:paraId="4E8D6A7B" w14:textId="77777777" w:rsidTr="001B1170">
        <w:trPr>
          <w:trHeight w:val="414"/>
          <w:jc w:val="center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4E3A6B" w:rsidRPr="00234087" w:rsidRDefault="004E3A6B" w:rsidP="004E3A6B">
            <w:pPr>
              <w:ind w:right="57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proofErr w:type="spellStart"/>
            <w:r w:rsidRPr="0023408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Γενικός</w:t>
            </w:r>
            <w:proofErr w:type="spellEnd"/>
            <w:r w:rsidRPr="0023408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r w:rsidRPr="0023408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Εν</w:t>
            </w:r>
            <w:r w:rsidRPr="0023408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Δ</w:t>
            </w:r>
            <w:r w:rsidRPr="0023408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l-GR"/>
              </w:rPr>
              <w:t>ΤΚ</w:t>
            </w:r>
            <w:r w:rsidRPr="0023408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3E70D8F1" w:rsidR="004E3A6B" w:rsidRPr="00895B41" w:rsidRDefault="004E3A6B" w:rsidP="004E3A6B">
            <w:pPr>
              <w:ind w:right="680" w:firstLineChars="200" w:firstLine="361"/>
              <w:jc w:val="right"/>
              <w:rPr>
                <w:rFonts w:ascii="Verdana" w:hAnsi="Verdana"/>
                <w:b/>
                <w:bCs/>
                <w:color w:val="365F91"/>
                <w:sz w:val="18"/>
                <w:szCs w:val="18"/>
                <w:lang w:val="el-GR"/>
              </w:rPr>
            </w:pPr>
            <w:r w:rsidRPr="00895B41">
              <w:rPr>
                <w:rFonts w:ascii="Verdana" w:hAnsi="Verdana"/>
                <w:b/>
                <w:bCs/>
                <w:color w:val="365F91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5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4220551" w14:textId="5BABF205" w:rsidR="004E3A6B" w:rsidRPr="003B7C52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b/>
                <w:bCs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0</w:t>
            </w: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9</w:t>
            </w:r>
          </w:p>
        </w:tc>
        <w:tc>
          <w:tcPr>
            <w:tcW w:w="1137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  <w:hideMark/>
          </w:tcPr>
          <w:p w14:paraId="7832C3C6" w14:textId="4D62EB1D" w:rsidR="004E3A6B" w:rsidRPr="003B7C52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b/>
                <w:bCs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0</w:t>
            </w: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0</w:t>
            </w:r>
          </w:p>
        </w:tc>
      </w:tr>
      <w:tr w:rsidR="004E3A6B" w:rsidRPr="000E24B1" w14:paraId="479D0600" w14:textId="77777777" w:rsidTr="001B1170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4E3A6B" w:rsidRPr="00234087" w:rsidRDefault="004E3A6B" w:rsidP="004E3A6B">
            <w:pPr>
              <w:ind w:left="2"/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</w:pPr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08625253" w:rsidR="004E3A6B" w:rsidRPr="00590727" w:rsidRDefault="004E3A6B" w:rsidP="004E3A6B">
            <w:pPr>
              <w:tabs>
                <w:tab w:val="left" w:pos="2001"/>
              </w:tabs>
              <w:jc w:val="center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88,45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6E354D2A" w:rsidR="004E3A6B" w:rsidRPr="00131F3A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-8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5695B998" w:rsidR="004E3A6B" w:rsidRPr="00131F3A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-0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9</w:t>
            </w:r>
          </w:p>
        </w:tc>
      </w:tr>
      <w:tr w:rsidR="004E3A6B" w:rsidRPr="000E24B1" w14:paraId="675AD979" w14:textId="77777777" w:rsidTr="001B1170">
        <w:trPr>
          <w:trHeight w:val="34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4E3A6B" w:rsidRPr="00234087" w:rsidRDefault="004E3A6B" w:rsidP="004E3A6B">
            <w:pPr>
              <w:ind w:left="2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proofErr w:type="spellStart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Τρόφιμ</w:t>
            </w:r>
            <w:proofErr w:type="spellEnd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α-Αλκοολούχα </w:t>
            </w:r>
            <w:proofErr w:type="spellStart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Ποτά</w:t>
            </w:r>
            <w:proofErr w:type="spellEnd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-Καπ</w:t>
            </w:r>
            <w:proofErr w:type="spellStart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09AABA5A" w:rsidR="004E3A6B" w:rsidRPr="00590727" w:rsidRDefault="004E3A6B" w:rsidP="004E3A6B">
            <w:pPr>
              <w:tabs>
                <w:tab w:val="left" w:pos="2001"/>
              </w:tabs>
              <w:jc w:val="center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205,02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225FBB57" w:rsidR="004E3A6B" w:rsidRPr="00131F3A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7538A901" w:rsidR="004E3A6B" w:rsidRPr="00131F3A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-0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</w:tr>
      <w:tr w:rsidR="004E3A6B" w:rsidRPr="000E24B1" w14:paraId="1C369CAC" w14:textId="77777777" w:rsidTr="001B1170">
        <w:trPr>
          <w:trHeight w:val="51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355D7FE" w14:textId="4B45EE8C" w:rsidR="004E3A6B" w:rsidRPr="00234087" w:rsidRDefault="004E3A6B" w:rsidP="004E3A6B">
            <w:pPr>
              <w:ind w:left="2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bookmarkStart w:id="2" w:name="_Hlk159486445"/>
            <w:proofErr w:type="spellStart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Μη</w:t>
            </w:r>
            <w:proofErr w:type="spellEnd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  <w:t>Ε</w:t>
            </w:r>
            <w:proofErr w:type="spellStart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νεργει</w:t>
            </w:r>
            <w:proofErr w:type="spellEnd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ακά 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  <w:t>Β</w:t>
            </w:r>
            <w:proofErr w:type="spellStart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ιομηχ</w:t>
            </w:r>
            <w:proofErr w:type="spellEnd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 xml:space="preserve">ανικά </w:t>
            </w:r>
            <w:r>
              <w:rPr>
                <w:rFonts w:ascii="Verdana" w:eastAsia="Times New Roman" w:hAnsi="Verdana" w:cs="Arial"/>
                <w:color w:val="365F91"/>
                <w:sz w:val="18"/>
                <w:szCs w:val="18"/>
                <w:lang w:val="el-GR"/>
              </w:rPr>
              <w:t>Π</w:t>
            </w:r>
            <w:proofErr w:type="spellStart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ροϊόντ</w:t>
            </w:r>
            <w:proofErr w:type="spellEnd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α</w:t>
            </w:r>
            <w:bookmarkEnd w:id="2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4BE75E" w14:textId="3F37621B" w:rsidR="004E3A6B" w:rsidRPr="00590727" w:rsidRDefault="004E3A6B" w:rsidP="004E3A6B">
            <w:pPr>
              <w:tabs>
                <w:tab w:val="left" w:pos="2001"/>
              </w:tabs>
              <w:jc w:val="center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223,72</w:t>
            </w:r>
          </w:p>
        </w:tc>
        <w:tc>
          <w:tcPr>
            <w:tcW w:w="117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0DF7CE8E" w14:textId="7908E140" w:rsidR="004E3A6B" w:rsidRPr="00131F3A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8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7131D53C" w:rsidR="004E3A6B" w:rsidRPr="00131F3A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-0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</w:p>
        </w:tc>
      </w:tr>
      <w:tr w:rsidR="004E3A6B" w:rsidRPr="000E24B1" w14:paraId="365CC113" w14:textId="77777777" w:rsidTr="001B1170">
        <w:trPr>
          <w:trHeight w:val="394"/>
          <w:jc w:val="center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4E3A6B" w:rsidRPr="00234087" w:rsidRDefault="004E3A6B" w:rsidP="004E3A6B">
            <w:pPr>
              <w:ind w:left="2"/>
              <w:rPr>
                <w:rFonts w:ascii="Verdana" w:eastAsia="Times New Roman" w:hAnsi="Verdana" w:cs="Arial"/>
                <w:color w:val="365F91"/>
                <w:sz w:val="18"/>
                <w:szCs w:val="18"/>
              </w:rPr>
            </w:pPr>
            <w:bookmarkStart w:id="3" w:name="_Hlk169517282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Υπ</w:t>
            </w:r>
            <w:proofErr w:type="spellStart"/>
            <w:r w:rsidRPr="00234087">
              <w:rPr>
                <w:rFonts w:ascii="Verdana" w:eastAsia="Times New Roman" w:hAnsi="Verdana" w:cs="Arial"/>
                <w:color w:val="365F91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1467E8A3" w:rsidR="004E3A6B" w:rsidRPr="00590727" w:rsidRDefault="004E3A6B" w:rsidP="004E3A6B">
            <w:pPr>
              <w:tabs>
                <w:tab w:val="left" w:pos="2001"/>
              </w:tabs>
              <w:jc w:val="center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482,81</w:t>
            </w:r>
          </w:p>
        </w:tc>
        <w:tc>
          <w:tcPr>
            <w:tcW w:w="1175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3E773E7B" w:rsidR="004E3A6B" w:rsidRPr="00131F3A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</w:p>
        </w:tc>
        <w:tc>
          <w:tcPr>
            <w:tcW w:w="1137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4B980F51" w:rsidR="004E3A6B" w:rsidRPr="00131F3A" w:rsidRDefault="004E3A6B" w:rsidP="004E3A6B">
            <w:pPr>
              <w:tabs>
                <w:tab w:val="left" w:pos="2001"/>
              </w:tabs>
              <w:ind w:right="907"/>
              <w:jc w:val="right"/>
              <w:rPr>
                <w:rFonts w:ascii="Verdana" w:hAnsi="Verdana"/>
                <w:color w:val="EE0000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</w:tr>
    </w:tbl>
    <w:bookmarkEnd w:id="3"/>
    <w:p w14:paraId="1F67D66A" w14:textId="14E166B9" w:rsidR="007F5FBB" w:rsidRDefault="00AF5CC6" w:rsidP="001B1170">
      <w:pPr>
        <w:tabs>
          <w:tab w:val="left" w:pos="1080"/>
          <w:tab w:val="left" w:pos="6840"/>
        </w:tabs>
        <w:ind w:left="-426" w:right="-335"/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</w:pP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Σημείωση: </w:t>
      </w:r>
      <w:r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Οι επιμέρους συντελεστές στάθμισης 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υπολογίζονται με άπειρα δεκαδικά και δημοσιεύονται με στρογγυλοποίηση</w:t>
      </w:r>
      <w:r w:rsidR="001B1170" w:rsidRPr="001B1170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 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δυο δεκαδικών</w:t>
      </w:r>
      <w:r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.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 </w:t>
      </w:r>
      <w:r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Η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 </w:t>
      </w:r>
      <w:r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διαφορά στο άθροισμα</w:t>
      </w:r>
      <w:r w:rsidRPr="009D0E97"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 xml:space="preserve"> είναι λόγω σφάλματος στρογγυλοποίησης</w:t>
      </w:r>
      <w:r>
        <w:rPr>
          <w:rFonts w:ascii="Verdana" w:eastAsia="Times New Roman" w:hAnsi="Verdana" w:cs="Arial"/>
          <w:bCs/>
          <w:color w:val="365F91"/>
          <w:sz w:val="16"/>
          <w:szCs w:val="16"/>
          <w:lang w:val="el-GR"/>
        </w:rPr>
        <w:t>.</w:t>
      </w:r>
    </w:p>
    <w:p w14:paraId="3C67892F" w14:textId="786D453C" w:rsidR="001B1170" w:rsidRDefault="001B1170" w:rsidP="001B1170">
      <w:pPr>
        <w:tabs>
          <w:tab w:val="left" w:pos="1080"/>
          <w:tab w:val="left" w:pos="6840"/>
        </w:tabs>
        <w:ind w:left="-426"/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t xml:space="preserve"> </w:t>
      </w:r>
    </w:p>
    <w:p w14:paraId="301AA67E" w14:textId="5118B86A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72078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</w:rPr>
      </w:pPr>
    </w:p>
    <w:p w14:paraId="133C2C60" w14:textId="77777777" w:rsidR="001B1170" w:rsidRPr="001B1170" w:rsidRDefault="001B1170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</w:rPr>
      </w:pPr>
    </w:p>
    <w:p w14:paraId="76972153" w14:textId="77777777" w:rsidR="00AF5CC6" w:rsidRPr="00D353D1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C32462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08F84E11" w14:textId="77777777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proofErr w:type="spellStart"/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σύμφωνα με μια εναρμονισμένη προσέγγιση και μεθοδολογία όπως καθορίστηκαν από την Ε.Ε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ανονισμών. </w:t>
      </w:r>
    </w:p>
    <w:p w14:paraId="38D7A46A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77777777" w:rsidR="00AF5CC6" w:rsidRPr="00E44FF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μήνα του προηγούμενου έτους.</w:t>
      </w:r>
    </w:p>
    <w:p w14:paraId="675DD474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1B1170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598B1EC6" w:rsidR="00AF5CC6" w:rsidRPr="001922DC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>ό τον Ιανουάριο του 20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26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αναθεωρήθηκαν. Η αναθεώρηση βασίστηκε στα αποτελέσματα της Έρευνας Οικογενειακών Προϋπολογισμών 2</w:t>
      </w:r>
      <w:r w:rsidR="00CF608C" w:rsidRPr="00F06D07">
        <w:rPr>
          <w:rFonts w:ascii="Verdana" w:eastAsia="Malgun Gothic" w:hAnsi="Verdana" w:cs="Arial"/>
          <w:sz w:val="18"/>
          <w:szCs w:val="18"/>
          <w:lang w:val="el-GR"/>
        </w:rPr>
        <w:t>023</w:t>
      </w:r>
      <w:r>
        <w:rPr>
          <w:rFonts w:ascii="Verdana" w:eastAsia="Malgun Gothic" w:hAnsi="Verdana" w:cs="Arial"/>
          <w:sz w:val="18"/>
          <w:szCs w:val="18"/>
          <w:lang w:val="el-GR"/>
        </w:rPr>
        <w:t>. Περισσότερες πληροφορίες είναι διαθέσιμες στον ιστότοπο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Καταναλωτή.</w:t>
      </w:r>
    </w:p>
    <w:p w14:paraId="240BA12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1B1170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4199493B" w:rsidR="00AF5CC6" w:rsidRPr="003D3348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Πάφου.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πληθυσμό.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ακόλουθες: Λευκωσία 4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%. </w:t>
      </w:r>
    </w:p>
    <w:p w14:paraId="62D1C8B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2C5C94E3" w:rsidR="00AF5CC6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3B7C52" w:rsidRPr="003B7C52">
        <w:rPr>
          <w:rFonts w:ascii="Verdana" w:eastAsia="Malgun Gothic" w:hAnsi="Verdana" w:cs="Arial"/>
          <w:sz w:val="18"/>
          <w:szCs w:val="18"/>
          <w:lang w:val="el-GR"/>
        </w:rPr>
        <w:t>50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(π.χ. λαχανικά και φρούτα), τα κρέατα και τα καύσιμα, των οποίων οι τιμές συλλέγονται κάθε βδομάδα (κάθε Πέμπτη).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.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όρους.</w:t>
      </w:r>
    </w:p>
    <w:p w14:paraId="4F4F8D31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2DBF7EFB" w:rsidR="00AF5CC6" w:rsidRDefault="00AF5CC6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υπολογίζονται βάσει των καταναλωτικών δαπανών (των νοικοκυριών και τουριστών), που πραγματοποιούνται στην οικονομική επικράτεια της χώρας.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βάση κανονισμ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</w:p>
    <w:p w14:paraId="2EA5216E" w14:textId="77777777" w:rsidR="00AF5CC6" w:rsidRPr="00C32462" w:rsidRDefault="00AF5CC6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7C9EEB28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77B06A78" w14:textId="77777777" w:rsidR="00FA5FDC" w:rsidRPr="00FA5FDC" w:rsidRDefault="00FA5FDC" w:rsidP="001B1170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5F1710F" w14:textId="77777777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 Δεκέμβριο του 2025 ήταν το 2015=100.</w:t>
      </w:r>
    </w:p>
    <w:p w14:paraId="5A8B22D7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6C47C81" w14:textId="77777777" w:rsidR="00FA5FDC" w:rsidRPr="00E21D72" w:rsidRDefault="00FA5FDC" w:rsidP="001B1170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AE93801" w14:textId="77777777" w:rsidR="00FA5FDC" w:rsidRPr="00FA5FDC" w:rsidRDefault="00FA5FDC" w:rsidP="001B1170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01661B8" w14:textId="009B52CE" w:rsidR="00FA5FDC" w:rsidRDefault="00FA5FDC" w:rsidP="001B1170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υπολογιζόταν και δημοσιευόταν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και δημοσιεύεται βάσει </w:t>
      </w:r>
      <w:r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3D7D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Το χαμηλότερο επίπεδο λεπτομέρειας για την ταξινόμηση ECOICOP ver.2 που χρησιμοποιείται στον </w:t>
      </w:r>
      <w:proofErr w:type="spellStart"/>
      <w:r w:rsidR="003D7DAE"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είναι τα πέντε ψηφία ανάλυσης.</w:t>
      </w:r>
    </w:p>
    <w:p w14:paraId="54D9FFF4" w14:textId="77777777" w:rsidR="008A2E77" w:rsidRPr="00C23701" w:rsidRDefault="008A2E77" w:rsidP="00AF5CC6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</w:p>
    <w:p w14:paraId="748D8D18" w14:textId="77777777" w:rsidR="008A2E77" w:rsidRPr="00BE4A4D" w:rsidRDefault="008A2E77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8F3AB3B" w14:textId="037CB4D6" w:rsidR="00AF5CC6" w:rsidRPr="008A2E77" w:rsidRDefault="00AF5CC6" w:rsidP="008A2E77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FCDD8A" w14:textId="77777777" w:rsidR="00B536D6" w:rsidRPr="00B536D6" w:rsidRDefault="00B536D6" w:rsidP="00B536D6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begin"/>
      </w:r>
      <w:r>
        <w:rPr>
          <w:rFonts w:ascii="Verdana" w:hAnsi="Verdana"/>
          <w:sz w:val="18"/>
          <w:szCs w:val="18"/>
          <w:lang w:val="el-GR"/>
        </w:rPr>
        <w:instrText xml:space="preserve"> HYPERLINK "https://www.cystat.gov.cy/el/MethodologicalDetails?m=2091" \o "Μεθοδολογικές Πληροφορίες" </w:instrText>
      </w:r>
      <w:r>
        <w:rPr>
          <w:rFonts w:ascii="Verdana" w:hAnsi="Verdana"/>
          <w:sz w:val="18"/>
          <w:szCs w:val="18"/>
          <w:lang w:val="el-GR"/>
        </w:rPr>
      </w:r>
      <w:r>
        <w:rPr>
          <w:rFonts w:ascii="Verdana" w:hAnsi="Verdana"/>
          <w:sz w:val="18"/>
          <w:szCs w:val="18"/>
          <w:lang w:val="el-GR"/>
        </w:rPr>
        <w:fldChar w:fldCharType="separate"/>
      </w:r>
      <w:r w:rsidRPr="00B536D6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0900F87C" w14:textId="3F979881" w:rsidR="008774AA" w:rsidRPr="003204B7" w:rsidRDefault="00B536D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end"/>
      </w:r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6F6B833E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4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    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1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486488A4" w14:textId="2CD5D3A4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2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0529C785" w14:textId="0A96DA3D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+357</w:t>
      </w:r>
      <w:r w:rsidR="001B1170" w:rsidRPr="001B1170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3" w:history="1">
        <w:r w:rsidRPr="00442F24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Pr="00442F24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4"/>
    </w:p>
    <w:sectPr w:rsidR="001712CF" w:rsidRPr="00AF2BC9" w:rsidSect="0010437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7BA1" w14:textId="77777777" w:rsidR="00E60755" w:rsidRDefault="00E60755" w:rsidP="00FB398F">
      <w:r>
        <w:separator/>
      </w:r>
    </w:p>
  </w:endnote>
  <w:endnote w:type="continuationSeparator" w:id="0">
    <w:p w14:paraId="0CDE9739" w14:textId="77777777" w:rsidR="00E60755" w:rsidRDefault="00E6075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F96" w14:textId="77777777" w:rsidR="004E4F42" w:rsidRPr="00555A0A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555A0A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555A0A">
      <w:rPr>
        <w:rFonts w:ascii="Verdana" w:hAnsi="Verdana" w:cs="Arial"/>
        <w:sz w:val="16"/>
        <w:szCs w:val="16"/>
        <w:lang w:val="el-GR"/>
      </w:rPr>
      <w:t>ήλ</w:t>
    </w:r>
    <w:r w:rsidRPr="00555A0A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555A0A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555A0A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16E06551" w14:textId="098DCACE" w:rsidR="004E4F42" w:rsidRPr="00555A0A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555A0A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FD2AF7">
      <w:rPr>
        <w:rFonts w:ascii="Verdana" w:hAnsi="Verdana" w:cs="Arial"/>
        <w:sz w:val="16"/>
        <w:szCs w:val="16"/>
        <w:lang w:val="el-GR"/>
      </w:rPr>
      <w:t>.: 22 602129,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="00555A0A" w:rsidRPr="00555A0A">
      <w:rPr>
        <w:rFonts w:ascii="Verdana" w:hAnsi="Verdana" w:cs="Arial"/>
        <w:sz w:val="16"/>
        <w:szCs w:val="16"/>
        <w:lang w:val="de-DE"/>
      </w:rPr>
      <w:t>Ηλ. Ταχ.</w:t>
    </w:r>
    <w:r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555A0A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555A0A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2FBA9DB0" w:rsidR="004E4F42" w:rsidRPr="00555A0A" w:rsidRDefault="00555A0A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555A0A">
      <w:rPr>
        <w:rFonts w:ascii="Verdana" w:hAnsi="Verdana" w:cs="Arial"/>
        <w:sz w:val="16"/>
        <w:szCs w:val="16"/>
        <w:lang w:val="el-GR"/>
      </w:rPr>
      <w:t>Διαδικτυακή</w:t>
    </w:r>
    <w:r w:rsidRPr="00555A0A">
      <w:rPr>
        <w:rFonts w:ascii="Verdana" w:hAnsi="Verdana" w:cs="Arial"/>
        <w:sz w:val="16"/>
        <w:szCs w:val="16"/>
        <w:lang w:val="de-DE"/>
      </w:rPr>
      <w:t xml:space="preserve"> </w:t>
    </w:r>
    <w:r w:rsidRPr="00555A0A">
      <w:rPr>
        <w:rFonts w:ascii="Verdana" w:hAnsi="Verdana" w:cs="Arial"/>
        <w:sz w:val="16"/>
        <w:szCs w:val="16"/>
        <w:lang w:val="el-GR"/>
      </w:rPr>
      <w:t>Πύλη</w:t>
    </w:r>
    <w:r w:rsidR="004E4F42" w:rsidRPr="00555A0A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="004E4F42" w:rsidRPr="00555A0A">
        <w:rPr>
          <w:rStyle w:val="Hyperlink"/>
          <w:rFonts w:ascii="Verdana" w:hAnsi="Verdana" w:cs="Arial"/>
          <w:sz w:val="16"/>
          <w:szCs w:val="16"/>
          <w:lang w:val="de-DE"/>
        </w:rPr>
        <w:t>http://www.cystat.gov.cy</w:t>
      </w:r>
    </w:hyperlink>
    <w:r w:rsidR="004E4F42" w:rsidRPr="00555A0A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FF5B" w14:textId="77777777" w:rsidR="00E60755" w:rsidRDefault="00E60755" w:rsidP="00FB398F">
      <w:r>
        <w:separator/>
      </w:r>
    </w:p>
  </w:footnote>
  <w:footnote w:type="continuationSeparator" w:id="0">
    <w:p w14:paraId="313CD4B5" w14:textId="77777777" w:rsidR="00E60755" w:rsidRDefault="00E6075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C038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FF80C91" wp14:editId="1A07032D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2DD1D74A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D10AA" id="Text Box 2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8A2E9" wp14:editId="567B5651">
              <wp:simplePos x="0" y="0"/>
              <wp:positionH relativeFrom="column">
                <wp:posOffset>3985260</wp:posOffset>
              </wp:positionH>
              <wp:positionV relativeFrom="paragraph">
                <wp:posOffset>102870</wp:posOffset>
              </wp:positionV>
              <wp:extent cx="2000250" cy="419100"/>
              <wp:effectExtent l="0" t="0" r="0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555A0A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555A0A" w:rsidRDefault="004E4F42" w:rsidP="00555A0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555A0A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8A2E9" id="Text Box 1" o:spid="_x0000_s1028" type="#_x0000_t202" style="position:absolute;margin-left:313.8pt;margin-top:8.1pt;width:15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" stroked="f">
              <v:textbox>
                <w:txbxContent>
                  <w:p w14:paraId="0BDC090A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555A0A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555A0A" w:rsidRDefault="004E4F42" w:rsidP="00555A0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555A0A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33194769" w:rsidR="004E4F42" w:rsidRPr="00555A0A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555A0A">
      <w:rPr>
        <w:rFonts w:ascii="Verdana" w:hAnsi="Verdana" w:cs="Arial"/>
        <w:bCs/>
        <w:sz w:val="20"/>
        <w:szCs w:val="20"/>
      </w:rPr>
      <w:t>ΚΥΠΡΙΑΚΗ ΔΗΜΟΚΡΑΤΙΑ</w:t>
    </w:r>
    <w:r w:rsidRPr="00555A0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555A0A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8391563">
    <w:abstractNumId w:val="4"/>
  </w:num>
  <w:num w:numId="2" w16cid:durableId="1074477141">
    <w:abstractNumId w:val="1"/>
  </w:num>
  <w:num w:numId="3" w16cid:durableId="1361249385">
    <w:abstractNumId w:val="2"/>
  </w:num>
  <w:num w:numId="4" w16cid:durableId="1440567803">
    <w:abstractNumId w:val="3"/>
  </w:num>
  <w:num w:numId="5" w16cid:durableId="1455489493">
    <w:abstractNumId w:val="0"/>
  </w:num>
  <w:num w:numId="6" w16cid:durableId="1710445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CC5"/>
    <w:rsid w:val="000039A3"/>
    <w:rsid w:val="0000542E"/>
    <w:rsid w:val="00007254"/>
    <w:rsid w:val="00013E40"/>
    <w:rsid w:val="000161B1"/>
    <w:rsid w:val="0002032F"/>
    <w:rsid w:val="000241BB"/>
    <w:rsid w:val="00025A39"/>
    <w:rsid w:val="00027853"/>
    <w:rsid w:val="00027D7D"/>
    <w:rsid w:val="000304A1"/>
    <w:rsid w:val="00030B4D"/>
    <w:rsid w:val="00030E18"/>
    <w:rsid w:val="00031D32"/>
    <w:rsid w:val="00033DEE"/>
    <w:rsid w:val="0003603D"/>
    <w:rsid w:val="00043B1E"/>
    <w:rsid w:val="00045088"/>
    <w:rsid w:val="00045A06"/>
    <w:rsid w:val="00047520"/>
    <w:rsid w:val="00047BA7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70576"/>
    <w:rsid w:val="000723AD"/>
    <w:rsid w:val="00074798"/>
    <w:rsid w:val="000752BB"/>
    <w:rsid w:val="00081ADF"/>
    <w:rsid w:val="00084A02"/>
    <w:rsid w:val="00084BF7"/>
    <w:rsid w:val="0008561E"/>
    <w:rsid w:val="000870E9"/>
    <w:rsid w:val="00090717"/>
    <w:rsid w:val="000916C7"/>
    <w:rsid w:val="000932CF"/>
    <w:rsid w:val="00096ED8"/>
    <w:rsid w:val="000A1781"/>
    <w:rsid w:val="000A1A88"/>
    <w:rsid w:val="000A2B5C"/>
    <w:rsid w:val="000A3601"/>
    <w:rsid w:val="000A47D3"/>
    <w:rsid w:val="000A615B"/>
    <w:rsid w:val="000A6FA8"/>
    <w:rsid w:val="000B37AC"/>
    <w:rsid w:val="000C1070"/>
    <w:rsid w:val="000C4E72"/>
    <w:rsid w:val="000C6DCC"/>
    <w:rsid w:val="000C73E0"/>
    <w:rsid w:val="000D1E7A"/>
    <w:rsid w:val="000D314F"/>
    <w:rsid w:val="000D33FB"/>
    <w:rsid w:val="000D3914"/>
    <w:rsid w:val="000E1C04"/>
    <w:rsid w:val="000E24B1"/>
    <w:rsid w:val="000E2735"/>
    <w:rsid w:val="000E32D6"/>
    <w:rsid w:val="000E3759"/>
    <w:rsid w:val="000E4CB0"/>
    <w:rsid w:val="000E57F2"/>
    <w:rsid w:val="000E7206"/>
    <w:rsid w:val="000E72A7"/>
    <w:rsid w:val="000E7FF2"/>
    <w:rsid w:val="000F1162"/>
    <w:rsid w:val="000F1F6D"/>
    <w:rsid w:val="000F2415"/>
    <w:rsid w:val="000F3467"/>
    <w:rsid w:val="000F38DE"/>
    <w:rsid w:val="000F532A"/>
    <w:rsid w:val="000F5D6C"/>
    <w:rsid w:val="000F756B"/>
    <w:rsid w:val="00103851"/>
    <w:rsid w:val="00104370"/>
    <w:rsid w:val="00106852"/>
    <w:rsid w:val="00110F9D"/>
    <w:rsid w:val="0011161B"/>
    <w:rsid w:val="001116EA"/>
    <w:rsid w:val="00114A67"/>
    <w:rsid w:val="00114DB4"/>
    <w:rsid w:val="00117523"/>
    <w:rsid w:val="00121E69"/>
    <w:rsid w:val="001253B6"/>
    <w:rsid w:val="00125E06"/>
    <w:rsid w:val="001262AC"/>
    <w:rsid w:val="001262C3"/>
    <w:rsid w:val="00127320"/>
    <w:rsid w:val="00127456"/>
    <w:rsid w:val="001312D8"/>
    <w:rsid w:val="0013137B"/>
    <w:rsid w:val="00131F3A"/>
    <w:rsid w:val="00137F0E"/>
    <w:rsid w:val="0015118B"/>
    <w:rsid w:val="001519CE"/>
    <w:rsid w:val="0015494E"/>
    <w:rsid w:val="00160B48"/>
    <w:rsid w:val="00161CF3"/>
    <w:rsid w:val="00162C00"/>
    <w:rsid w:val="001639EF"/>
    <w:rsid w:val="00163D60"/>
    <w:rsid w:val="00164C83"/>
    <w:rsid w:val="0016589F"/>
    <w:rsid w:val="00167D75"/>
    <w:rsid w:val="001712CF"/>
    <w:rsid w:val="00171AFE"/>
    <w:rsid w:val="00172185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34BF"/>
    <w:rsid w:val="001A3EE4"/>
    <w:rsid w:val="001B1170"/>
    <w:rsid w:val="001B25A4"/>
    <w:rsid w:val="001B2C39"/>
    <w:rsid w:val="001B3675"/>
    <w:rsid w:val="001B5E10"/>
    <w:rsid w:val="001B6AB3"/>
    <w:rsid w:val="001B73D5"/>
    <w:rsid w:val="001C0681"/>
    <w:rsid w:val="001C27C0"/>
    <w:rsid w:val="001C62B3"/>
    <w:rsid w:val="001C7C8C"/>
    <w:rsid w:val="001D0D6A"/>
    <w:rsid w:val="001D20A4"/>
    <w:rsid w:val="001E00D1"/>
    <w:rsid w:val="001E0E26"/>
    <w:rsid w:val="001E0E58"/>
    <w:rsid w:val="001E14F3"/>
    <w:rsid w:val="001E15ED"/>
    <w:rsid w:val="001E35EF"/>
    <w:rsid w:val="001E61AA"/>
    <w:rsid w:val="001E7F26"/>
    <w:rsid w:val="001F3FAD"/>
    <w:rsid w:val="001F72BF"/>
    <w:rsid w:val="00200657"/>
    <w:rsid w:val="002024AD"/>
    <w:rsid w:val="0020309E"/>
    <w:rsid w:val="002063AE"/>
    <w:rsid w:val="0020684A"/>
    <w:rsid w:val="00210B58"/>
    <w:rsid w:val="00216F9E"/>
    <w:rsid w:val="00222423"/>
    <w:rsid w:val="00225B28"/>
    <w:rsid w:val="00226891"/>
    <w:rsid w:val="00230D9B"/>
    <w:rsid w:val="002313AC"/>
    <w:rsid w:val="00235FB2"/>
    <w:rsid w:val="00237B98"/>
    <w:rsid w:val="00237BC1"/>
    <w:rsid w:val="0024027B"/>
    <w:rsid w:val="002430B4"/>
    <w:rsid w:val="002443EB"/>
    <w:rsid w:val="002447D0"/>
    <w:rsid w:val="002454C5"/>
    <w:rsid w:val="00245E19"/>
    <w:rsid w:val="0024658B"/>
    <w:rsid w:val="00246AEB"/>
    <w:rsid w:val="00250005"/>
    <w:rsid w:val="0025254F"/>
    <w:rsid w:val="0025566D"/>
    <w:rsid w:val="0025595C"/>
    <w:rsid w:val="00257149"/>
    <w:rsid w:val="002573AA"/>
    <w:rsid w:val="002576E7"/>
    <w:rsid w:val="00260357"/>
    <w:rsid w:val="00264F04"/>
    <w:rsid w:val="002658FA"/>
    <w:rsid w:val="00267554"/>
    <w:rsid w:val="002819EF"/>
    <w:rsid w:val="0028275A"/>
    <w:rsid w:val="0028338F"/>
    <w:rsid w:val="002915C4"/>
    <w:rsid w:val="00297E6B"/>
    <w:rsid w:val="002A1D1C"/>
    <w:rsid w:val="002A4D64"/>
    <w:rsid w:val="002B3BC7"/>
    <w:rsid w:val="002B4969"/>
    <w:rsid w:val="002B6500"/>
    <w:rsid w:val="002B6554"/>
    <w:rsid w:val="002B7A07"/>
    <w:rsid w:val="002C21CB"/>
    <w:rsid w:val="002D05F0"/>
    <w:rsid w:val="002D2829"/>
    <w:rsid w:val="002D3EE7"/>
    <w:rsid w:val="002D49AE"/>
    <w:rsid w:val="002D59F0"/>
    <w:rsid w:val="002D71B3"/>
    <w:rsid w:val="002D7D4A"/>
    <w:rsid w:val="002E3846"/>
    <w:rsid w:val="002E3F78"/>
    <w:rsid w:val="002F400C"/>
    <w:rsid w:val="002F4D76"/>
    <w:rsid w:val="002F6D26"/>
    <w:rsid w:val="002F72E9"/>
    <w:rsid w:val="0030231E"/>
    <w:rsid w:val="003042C4"/>
    <w:rsid w:val="00304CB4"/>
    <w:rsid w:val="00307F8E"/>
    <w:rsid w:val="003104F0"/>
    <w:rsid w:val="00311522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C36"/>
    <w:rsid w:val="00343815"/>
    <w:rsid w:val="003439A8"/>
    <w:rsid w:val="00351BEC"/>
    <w:rsid w:val="003522BB"/>
    <w:rsid w:val="00352F6C"/>
    <w:rsid w:val="00354B70"/>
    <w:rsid w:val="003556EA"/>
    <w:rsid w:val="00360B86"/>
    <w:rsid w:val="00361290"/>
    <w:rsid w:val="003613BF"/>
    <w:rsid w:val="00370333"/>
    <w:rsid w:val="00386FC7"/>
    <w:rsid w:val="00390A32"/>
    <w:rsid w:val="003A1359"/>
    <w:rsid w:val="003A1E91"/>
    <w:rsid w:val="003A40F2"/>
    <w:rsid w:val="003A50D1"/>
    <w:rsid w:val="003B196D"/>
    <w:rsid w:val="003B2710"/>
    <w:rsid w:val="003B4608"/>
    <w:rsid w:val="003B6FD8"/>
    <w:rsid w:val="003B7C52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D7DAE"/>
    <w:rsid w:val="003E0CE2"/>
    <w:rsid w:val="003E0CEB"/>
    <w:rsid w:val="003E5657"/>
    <w:rsid w:val="003E6210"/>
    <w:rsid w:val="003F49E4"/>
    <w:rsid w:val="003F4D2F"/>
    <w:rsid w:val="003F5E32"/>
    <w:rsid w:val="003F66A1"/>
    <w:rsid w:val="003F6F93"/>
    <w:rsid w:val="003F75F6"/>
    <w:rsid w:val="00404670"/>
    <w:rsid w:val="00414CA0"/>
    <w:rsid w:val="004164CC"/>
    <w:rsid w:val="00422F54"/>
    <w:rsid w:val="00431516"/>
    <w:rsid w:val="00433515"/>
    <w:rsid w:val="004361B3"/>
    <w:rsid w:val="0044249D"/>
    <w:rsid w:val="0044379F"/>
    <w:rsid w:val="00444FCC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2E4"/>
    <w:rsid w:val="00470FF1"/>
    <w:rsid w:val="00471D77"/>
    <w:rsid w:val="00475587"/>
    <w:rsid w:val="00476CB0"/>
    <w:rsid w:val="00480BC2"/>
    <w:rsid w:val="00482EDC"/>
    <w:rsid w:val="004845C3"/>
    <w:rsid w:val="004870FD"/>
    <w:rsid w:val="004929C2"/>
    <w:rsid w:val="00493FDD"/>
    <w:rsid w:val="0049586B"/>
    <w:rsid w:val="004962BF"/>
    <w:rsid w:val="004966BA"/>
    <w:rsid w:val="004A3E44"/>
    <w:rsid w:val="004B2018"/>
    <w:rsid w:val="004B2896"/>
    <w:rsid w:val="004B326A"/>
    <w:rsid w:val="004B38E9"/>
    <w:rsid w:val="004B3E5A"/>
    <w:rsid w:val="004B3FBA"/>
    <w:rsid w:val="004B6599"/>
    <w:rsid w:val="004C2B79"/>
    <w:rsid w:val="004C5A97"/>
    <w:rsid w:val="004C6CA7"/>
    <w:rsid w:val="004D133A"/>
    <w:rsid w:val="004D30FD"/>
    <w:rsid w:val="004D4357"/>
    <w:rsid w:val="004D4950"/>
    <w:rsid w:val="004D6F6C"/>
    <w:rsid w:val="004D7614"/>
    <w:rsid w:val="004E0E32"/>
    <w:rsid w:val="004E2393"/>
    <w:rsid w:val="004E258E"/>
    <w:rsid w:val="004E3630"/>
    <w:rsid w:val="004E3745"/>
    <w:rsid w:val="004E3A6B"/>
    <w:rsid w:val="004E3BAD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5503"/>
    <w:rsid w:val="0051107B"/>
    <w:rsid w:val="00512F9C"/>
    <w:rsid w:val="00513EA9"/>
    <w:rsid w:val="00526BFC"/>
    <w:rsid w:val="00527CDB"/>
    <w:rsid w:val="0053358E"/>
    <w:rsid w:val="005341C9"/>
    <w:rsid w:val="00534CD1"/>
    <w:rsid w:val="00535D01"/>
    <w:rsid w:val="005369CA"/>
    <w:rsid w:val="00536DE9"/>
    <w:rsid w:val="00541E08"/>
    <w:rsid w:val="005425F7"/>
    <w:rsid w:val="00550824"/>
    <w:rsid w:val="00551328"/>
    <w:rsid w:val="005544D8"/>
    <w:rsid w:val="00554FE0"/>
    <w:rsid w:val="00555A0A"/>
    <w:rsid w:val="00556564"/>
    <w:rsid w:val="0055789A"/>
    <w:rsid w:val="00560952"/>
    <w:rsid w:val="00565109"/>
    <w:rsid w:val="005652D1"/>
    <w:rsid w:val="005653F5"/>
    <w:rsid w:val="005660A0"/>
    <w:rsid w:val="00566A4F"/>
    <w:rsid w:val="00566ACF"/>
    <w:rsid w:val="00567D64"/>
    <w:rsid w:val="00590727"/>
    <w:rsid w:val="005923C4"/>
    <w:rsid w:val="00594514"/>
    <w:rsid w:val="005947E1"/>
    <w:rsid w:val="00594A83"/>
    <w:rsid w:val="0059552E"/>
    <w:rsid w:val="005978D4"/>
    <w:rsid w:val="005A0A20"/>
    <w:rsid w:val="005A23FA"/>
    <w:rsid w:val="005A27EE"/>
    <w:rsid w:val="005A55DC"/>
    <w:rsid w:val="005A587B"/>
    <w:rsid w:val="005A7282"/>
    <w:rsid w:val="005A79C1"/>
    <w:rsid w:val="005B2A67"/>
    <w:rsid w:val="005B3DCD"/>
    <w:rsid w:val="005B4AD4"/>
    <w:rsid w:val="005C2798"/>
    <w:rsid w:val="005C2ECE"/>
    <w:rsid w:val="005C36C3"/>
    <w:rsid w:val="005C380F"/>
    <w:rsid w:val="005C4C32"/>
    <w:rsid w:val="005C56EE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601542"/>
    <w:rsid w:val="00601870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4052"/>
    <w:rsid w:val="00617316"/>
    <w:rsid w:val="0062327B"/>
    <w:rsid w:val="00632777"/>
    <w:rsid w:val="00633750"/>
    <w:rsid w:val="00634491"/>
    <w:rsid w:val="00634639"/>
    <w:rsid w:val="0063546B"/>
    <w:rsid w:val="0063679C"/>
    <w:rsid w:val="00637055"/>
    <w:rsid w:val="006418B6"/>
    <w:rsid w:val="00641D59"/>
    <w:rsid w:val="00644507"/>
    <w:rsid w:val="00646880"/>
    <w:rsid w:val="00646CC7"/>
    <w:rsid w:val="00647D2A"/>
    <w:rsid w:val="0065263A"/>
    <w:rsid w:val="006537BB"/>
    <w:rsid w:val="0065643E"/>
    <w:rsid w:val="0066103D"/>
    <w:rsid w:val="006625B2"/>
    <w:rsid w:val="00663CA9"/>
    <w:rsid w:val="00667E07"/>
    <w:rsid w:val="006706E8"/>
    <w:rsid w:val="00671785"/>
    <w:rsid w:val="00671D9E"/>
    <w:rsid w:val="00672BA9"/>
    <w:rsid w:val="00673005"/>
    <w:rsid w:val="00674681"/>
    <w:rsid w:val="006800D1"/>
    <w:rsid w:val="006804BE"/>
    <w:rsid w:val="006813A4"/>
    <w:rsid w:val="00683456"/>
    <w:rsid w:val="0068434A"/>
    <w:rsid w:val="00686514"/>
    <w:rsid w:val="0069008E"/>
    <w:rsid w:val="0069087E"/>
    <w:rsid w:val="006925C4"/>
    <w:rsid w:val="006A02B7"/>
    <w:rsid w:val="006A46B9"/>
    <w:rsid w:val="006A7019"/>
    <w:rsid w:val="006B2083"/>
    <w:rsid w:val="006B46D5"/>
    <w:rsid w:val="006B46F4"/>
    <w:rsid w:val="006C11F9"/>
    <w:rsid w:val="006C3D86"/>
    <w:rsid w:val="006C5303"/>
    <w:rsid w:val="006C7AF3"/>
    <w:rsid w:val="006D0B9D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6F3E09"/>
    <w:rsid w:val="006F5486"/>
    <w:rsid w:val="006F64F6"/>
    <w:rsid w:val="007012C2"/>
    <w:rsid w:val="00702F26"/>
    <w:rsid w:val="0070313E"/>
    <w:rsid w:val="00703799"/>
    <w:rsid w:val="00704AF7"/>
    <w:rsid w:val="00705C5C"/>
    <w:rsid w:val="007108E9"/>
    <w:rsid w:val="00711475"/>
    <w:rsid w:val="00712F06"/>
    <w:rsid w:val="00714E22"/>
    <w:rsid w:val="00716DC7"/>
    <w:rsid w:val="00721C1B"/>
    <w:rsid w:val="0072548A"/>
    <w:rsid w:val="00726473"/>
    <w:rsid w:val="007273B3"/>
    <w:rsid w:val="007277A6"/>
    <w:rsid w:val="0074243C"/>
    <w:rsid w:val="007437AB"/>
    <w:rsid w:val="00745425"/>
    <w:rsid w:val="007534F8"/>
    <w:rsid w:val="007545AD"/>
    <w:rsid w:val="00762DA1"/>
    <w:rsid w:val="00763722"/>
    <w:rsid w:val="007645E4"/>
    <w:rsid w:val="00764BC1"/>
    <w:rsid w:val="00770869"/>
    <w:rsid w:val="007738AA"/>
    <w:rsid w:val="007776A8"/>
    <w:rsid w:val="00780A62"/>
    <w:rsid w:val="00783241"/>
    <w:rsid w:val="007840E5"/>
    <w:rsid w:val="00784BDC"/>
    <w:rsid w:val="007863D6"/>
    <w:rsid w:val="007903FF"/>
    <w:rsid w:val="007909F8"/>
    <w:rsid w:val="00791479"/>
    <w:rsid w:val="00792F28"/>
    <w:rsid w:val="007935CA"/>
    <w:rsid w:val="0079543F"/>
    <w:rsid w:val="00795880"/>
    <w:rsid w:val="00796ABC"/>
    <w:rsid w:val="0079784F"/>
    <w:rsid w:val="007A3035"/>
    <w:rsid w:val="007A4367"/>
    <w:rsid w:val="007A496F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C4CDC"/>
    <w:rsid w:val="007C70C9"/>
    <w:rsid w:val="007D7083"/>
    <w:rsid w:val="007E041B"/>
    <w:rsid w:val="007E189D"/>
    <w:rsid w:val="007E199A"/>
    <w:rsid w:val="007E1AED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6EA2"/>
    <w:rsid w:val="00810419"/>
    <w:rsid w:val="00812A2B"/>
    <w:rsid w:val="00813A56"/>
    <w:rsid w:val="00814A4C"/>
    <w:rsid w:val="00822B64"/>
    <w:rsid w:val="00825D6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29A4"/>
    <w:rsid w:val="008634D3"/>
    <w:rsid w:val="00864F80"/>
    <w:rsid w:val="008652AD"/>
    <w:rsid w:val="00867186"/>
    <w:rsid w:val="00870AF6"/>
    <w:rsid w:val="00871E9E"/>
    <w:rsid w:val="00875215"/>
    <w:rsid w:val="0087652F"/>
    <w:rsid w:val="00877452"/>
    <w:rsid w:val="008774AA"/>
    <w:rsid w:val="00881268"/>
    <w:rsid w:val="00881779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964EE"/>
    <w:rsid w:val="008A0596"/>
    <w:rsid w:val="008A2050"/>
    <w:rsid w:val="008A2E77"/>
    <w:rsid w:val="008B0E7E"/>
    <w:rsid w:val="008B1B73"/>
    <w:rsid w:val="008B65BD"/>
    <w:rsid w:val="008B75DE"/>
    <w:rsid w:val="008B7900"/>
    <w:rsid w:val="008C03B7"/>
    <w:rsid w:val="008C71BF"/>
    <w:rsid w:val="008C7FE0"/>
    <w:rsid w:val="008D37BC"/>
    <w:rsid w:val="008D4005"/>
    <w:rsid w:val="008D5717"/>
    <w:rsid w:val="008D5DDD"/>
    <w:rsid w:val="008E44A9"/>
    <w:rsid w:val="008E5324"/>
    <w:rsid w:val="008E6B4D"/>
    <w:rsid w:val="008E6BFF"/>
    <w:rsid w:val="008F10D2"/>
    <w:rsid w:val="008F21AF"/>
    <w:rsid w:val="008F2400"/>
    <w:rsid w:val="008F5C37"/>
    <w:rsid w:val="008F61BA"/>
    <w:rsid w:val="008F6E3C"/>
    <w:rsid w:val="008F7C55"/>
    <w:rsid w:val="0090115E"/>
    <w:rsid w:val="009014B1"/>
    <w:rsid w:val="00914A23"/>
    <w:rsid w:val="00917621"/>
    <w:rsid w:val="009177FE"/>
    <w:rsid w:val="00922253"/>
    <w:rsid w:val="0092261A"/>
    <w:rsid w:val="0092530F"/>
    <w:rsid w:val="00930754"/>
    <w:rsid w:val="0093325D"/>
    <w:rsid w:val="00934F68"/>
    <w:rsid w:val="009355A9"/>
    <w:rsid w:val="009355AC"/>
    <w:rsid w:val="00935F38"/>
    <w:rsid w:val="00937586"/>
    <w:rsid w:val="009375B8"/>
    <w:rsid w:val="0094203D"/>
    <w:rsid w:val="00947889"/>
    <w:rsid w:val="009478BD"/>
    <w:rsid w:val="00954469"/>
    <w:rsid w:val="00957563"/>
    <w:rsid w:val="00960E98"/>
    <w:rsid w:val="00961BFB"/>
    <w:rsid w:val="00963A82"/>
    <w:rsid w:val="00966AC3"/>
    <w:rsid w:val="00970822"/>
    <w:rsid w:val="00972912"/>
    <w:rsid w:val="00974090"/>
    <w:rsid w:val="00976D1F"/>
    <w:rsid w:val="00981C81"/>
    <w:rsid w:val="00984322"/>
    <w:rsid w:val="00997147"/>
    <w:rsid w:val="009A2D24"/>
    <w:rsid w:val="009A456C"/>
    <w:rsid w:val="009A459F"/>
    <w:rsid w:val="009B00E0"/>
    <w:rsid w:val="009B292A"/>
    <w:rsid w:val="009B76D5"/>
    <w:rsid w:val="009C165D"/>
    <w:rsid w:val="009C3CEA"/>
    <w:rsid w:val="009C583D"/>
    <w:rsid w:val="009D2611"/>
    <w:rsid w:val="009D79D2"/>
    <w:rsid w:val="009E247C"/>
    <w:rsid w:val="009E31BA"/>
    <w:rsid w:val="009E502E"/>
    <w:rsid w:val="009F0528"/>
    <w:rsid w:val="009F06C6"/>
    <w:rsid w:val="009F0806"/>
    <w:rsid w:val="009F1B07"/>
    <w:rsid w:val="009F233B"/>
    <w:rsid w:val="00A05D16"/>
    <w:rsid w:val="00A0659F"/>
    <w:rsid w:val="00A079BA"/>
    <w:rsid w:val="00A10486"/>
    <w:rsid w:val="00A10B0D"/>
    <w:rsid w:val="00A14E8C"/>
    <w:rsid w:val="00A20C70"/>
    <w:rsid w:val="00A33875"/>
    <w:rsid w:val="00A360A1"/>
    <w:rsid w:val="00A402B3"/>
    <w:rsid w:val="00A40C14"/>
    <w:rsid w:val="00A5268A"/>
    <w:rsid w:val="00A544B7"/>
    <w:rsid w:val="00A5497B"/>
    <w:rsid w:val="00A5508D"/>
    <w:rsid w:val="00A55D89"/>
    <w:rsid w:val="00A618CF"/>
    <w:rsid w:val="00A62770"/>
    <w:rsid w:val="00A62EEB"/>
    <w:rsid w:val="00A660FF"/>
    <w:rsid w:val="00A6685F"/>
    <w:rsid w:val="00A73395"/>
    <w:rsid w:val="00A771E3"/>
    <w:rsid w:val="00A77C83"/>
    <w:rsid w:val="00A812C0"/>
    <w:rsid w:val="00A81C4F"/>
    <w:rsid w:val="00A823EA"/>
    <w:rsid w:val="00A82B4C"/>
    <w:rsid w:val="00A863B5"/>
    <w:rsid w:val="00A86D38"/>
    <w:rsid w:val="00A86E2B"/>
    <w:rsid w:val="00A877A7"/>
    <w:rsid w:val="00A92E04"/>
    <w:rsid w:val="00A93A4C"/>
    <w:rsid w:val="00A94D5D"/>
    <w:rsid w:val="00A95C76"/>
    <w:rsid w:val="00AA1D9B"/>
    <w:rsid w:val="00AA2543"/>
    <w:rsid w:val="00AA3804"/>
    <w:rsid w:val="00AA5052"/>
    <w:rsid w:val="00AA53EE"/>
    <w:rsid w:val="00AA55C2"/>
    <w:rsid w:val="00AB0ACA"/>
    <w:rsid w:val="00AB1D41"/>
    <w:rsid w:val="00AB58B3"/>
    <w:rsid w:val="00AB60B5"/>
    <w:rsid w:val="00AC27A7"/>
    <w:rsid w:val="00AC5E9A"/>
    <w:rsid w:val="00AC704B"/>
    <w:rsid w:val="00AD553E"/>
    <w:rsid w:val="00AD5848"/>
    <w:rsid w:val="00AD77F9"/>
    <w:rsid w:val="00AD7EB0"/>
    <w:rsid w:val="00AD7FDB"/>
    <w:rsid w:val="00AE5ADA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233A8"/>
    <w:rsid w:val="00B30D97"/>
    <w:rsid w:val="00B31074"/>
    <w:rsid w:val="00B3181A"/>
    <w:rsid w:val="00B33515"/>
    <w:rsid w:val="00B35A7C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410"/>
    <w:rsid w:val="00B60326"/>
    <w:rsid w:val="00B6077B"/>
    <w:rsid w:val="00B618C3"/>
    <w:rsid w:val="00B622B2"/>
    <w:rsid w:val="00B63652"/>
    <w:rsid w:val="00B668B0"/>
    <w:rsid w:val="00B70F5C"/>
    <w:rsid w:val="00B71873"/>
    <w:rsid w:val="00B736B8"/>
    <w:rsid w:val="00B75AE5"/>
    <w:rsid w:val="00B800C0"/>
    <w:rsid w:val="00B8132B"/>
    <w:rsid w:val="00B8295C"/>
    <w:rsid w:val="00B84C5A"/>
    <w:rsid w:val="00B858F5"/>
    <w:rsid w:val="00B876BD"/>
    <w:rsid w:val="00B93668"/>
    <w:rsid w:val="00B94428"/>
    <w:rsid w:val="00B94A8F"/>
    <w:rsid w:val="00B9580C"/>
    <w:rsid w:val="00B974FA"/>
    <w:rsid w:val="00B97650"/>
    <w:rsid w:val="00BA68C6"/>
    <w:rsid w:val="00BB12F1"/>
    <w:rsid w:val="00BB15BC"/>
    <w:rsid w:val="00BB276E"/>
    <w:rsid w:val="00BB3FEE"/>
    <w:rsid w:val="00BB5EB0"/>
    <w:rsid w:val="00BC00EC"/>
    <w:rsid w:val="00BC08F1"/>
    <w:rsid w:val="00BC245A"/>
    <w:rsid w:val="00BD16FA"/>
    <w:rsid w:val="00BD41C3"/>
    <w:rsid w:val="00BD488B"/>
    <w:rsid w:val="00BD5F9B"/>
    <w:rsid w:val="00BD654A"/>
    <w:rsid w:val="00BD7CCC"/>
    <w:rsid w:val="00BE002A"/>
    <w:rsid w:val="00BE0283"/>
    <w:rsid w:val="00BE1BC9"/>
    <w:rsid w:val="00BE5CDA"/>
    <w:rsid w:val="00BE608F"/>
    <w:rsid w:val="00BE6E22"/>
    <w:rsid w:val="00BE75B6"/>
    <w:rsid w:val="00BF23BB"/>
    <w:rsid w:val="00BF33DD"/>
    <w:rsid w:val="00BF5755"/>
    <w:rsid w:val="00BF684B"/>
    <w:rsid w:val="00C016F3"/>
    <w:rsid w:val="00C07136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E28"/>
    <w:rsid w:val="00C426AF"/>
    <w:rsid w:val="00C469C1"/>
    <w:rsid w:val="00C47973"/>
    <w:rsid w:val="00C50659"/>
    <w:rsid w:val="00C51B39"/>
    <w:rsid w:val="00C52963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3D0D"/>
    <w:rsid w:val="00C64C6B"/>
    <w:rsid w:val="00C6588D"/>
    <w:rsid w:val="00C66F2E"/>
    <w:rsid w:val="00C6785C"/>
    <w:rsid w:val="00C7028B"/>
    <w:rsid w:val="00C70FD1"/>
    <w:rsid w:val="00C72B76"/>
    <w:rsid w:val="00C733AA"/>
    <w:rsid w:val="00C7637F"/>
    <w:rsid w:val="00C83027"/>
    <w:rsid w:val="00C84B8A"/>
    <w:rsid w:val="00C85E65"/>
    <w:rsid w:val="00C87CA1"/>
    <w:rsid w:val="00C911B4"/>
    <w:rsid w:val="00C91A44"/>
    <w:rsid w:val="00C91B3B"/>
    <w:rsid w:val="00C94262"/>
    <w:rsid w:val="00C9461D"/>
    <w:rsid w:val="00C95A92"/>
    <w:rsid w:val="00C976E1"/>
    <w:rsid w:val="00CA148E"/>
    <w:rsid w:val="00CA3A9A"/>
    <w:rsid w:val="00CA61C5"/>
    <w:rsid w:val="00CA78FA"/>
    <w:rsid w:val="00CB1CFC"/>
    <w:rsid w:val="00CB6855"/>
    <w:rsid w:val="00CB6BC1"/>
    <w:rsid w:val="00CB7021"/>
    <w:rsid w:val="00CD2498"/>
    <w:rsid w:val="00CD305D"/>
    <w:rsid w:val="00CD3294"/>
    <w:rsid w:val="00CD3630"/>
    <w:rsid w:val="00CD4524"/>
    <w:rsid w:val="00CD784D"/>
    <w:rsid w:val="00CF3A1C"/>
    <w:rsid w:val="00CF40F8"/>
    <w:rsid w:val="00CF544B"/>
    <w:rsid w:val="00CF608C"/>
    <w:rsid w:val="00CF6799"/>
    <w:rsid w:val="00D008DA"/>
    <w:rsid w:val="00D019EE"/>
    <w:rsid w:val="00D0416F"/>
    <w:rsid w:val="00D05517"/>
    <w:rsid w:val="00D055D6"/>
    <w:rsid w:val="00D05851"/>
    <w:rsid w:val="00D0644C"/>
    <w:rsid w:val="00D10FED"/>
    <w:rsid w:val="00D11736"/>
    <w:rsid w:val="00D12EE8"/>
    <w:rsid w:val="00D14CDF"/>
    <w:rsid w:val="00D15FF1"/>
    <w:rsid w:val="00D167F4"/>
    <w:rsid w:val="00D2092A"/>
    <w:rsid w:val="00D2216D"/>
    <w:rsid w:val="00D23079"/>
    <w:rsid w:val="00D25352"/>
    <w:rsid w:val="00D3063B"/>
    <w:rsid w:val="00D30D96"/>
    <w:rsid w:val="00D31A6F"/>
    <w:rsid w:val="00D35328"/>
    <w:rsid w:val="00D353D1"/>
    <w:rsid w:val="00D367DB"/>
    <w:rsid w:val="00D36E05"/>
    <w:rsid w:val="00D408F4"/>
    <w:rsid w:val="00D413D6"/>
    <w:rsid w:val="00D43977"/>
    <w:rsid w:val="00D44AC9"/>
    <w:rsid w:val="00D44F27"/>
    <w:rsid w:val="00D45304"/>
    <w:rsid w:val="00D46165"/>
    <w:rsid w:val="00D461C7"/>
    <w:rsid w:val="00D46830"/>
    <w:rsid w:val="00D50424"/>
    <w:rsid w:val="00D5081E"/>
    <w:rsid w:val="00D525C9"/>
    <w:rsid w:val="00D53105"/>
    <w:rsid w:val="00D57C9A"/>
    <w:rsid w:val="00D57D3E"/>
    <w:rsid w:val="00D633F7"/>
    <w:rsid w:val="00D67F50"/>
    <w:rsid w:val="00D76249"/>
    <w:rsid w:val="00D849D4"/>
    <w:rsid w:val="00D8737C"/>
    <w:rsid w:val="00D90284"/>
    <w:rsid w:val="00D95D17"/>
    <w:rsid w:val="00D977FD"/>
    <w:rsid w:val="00DA1633"/>
    <w:rsid w:val="00DA1B90"/>
    <w:rsid w:val="00DA38A7"/>
    <w:rsid w:val="00DA7D12"/>
    <w:rsid w:val="00DB1B7A"/>
    <w:rsid w:val="00DB23ED"/>
    <w:rsid w:val="00DB51F3"/>
    <w:rsid w:val="00DB7BEB"/>
    <w:rsid w:val="00DC23CF"/>
    <w:rsid w:val="00DC3E25"/>
    <w:rsid w:val="00DC6562"/>
    <w:rsid w:val="00DD40E1"/>
    <w:rsid w:val="00DD6455"/>
    <w:rsid w:val="00DE1263"/>
    <w:rsid w:val="00DE130D"/>
    <w:rsid w:val="00DE24CF"/>
    <w:rsid w:val="00DE407C"/>
    <w:rsid w:val="00DE7C7D"/>
    <w:rsid w:val="00DF2992"/>
    <w:rsid w:val="00DF2D0C"/>
    <w:rsid w:val="00DF7F99"/>
    <w:rsid w:val="00E00058"/>
    <w:rsid w:val="00E01B9D"/>
    <w:rsid w:val="00E0468F"/>
    <w:rsid w:val="00E04F5E"/>
    <w:rsid w:val="00E050AF"/>
    <w:rsid w:val="00E0522E"/>
    <w:rsid w:val="00E114B9"/>
    <w:rsid w:val="00E120F4"/>
    <w:rsid w:val="00E17172"/>
    <w:rsid w:val="00E24491"/>
    <w:rsid w:val="00E2525D"/>
    <w:rsid w:val="00E30282"/>
    <w:rsid w:val="00E3181C"/>
    <w:rsid w:val="00E32603"/>
    <w:rsid w:val="00E3280A"/>
    <w:rsid w:val="00E372AF"/>
    <w:rsid w:val="00E37D68"/>
    <w:rsid w:val="00E40EAE"/>
    <w:rsid w:val="00E41C80"/>
    <w:rsid w:val="00E436AC"/>
    <w:rsid w:val="00E44F7A"/>
    <w:rsid w:val="00E44FF8"/>
    <w:rsid w:val="00E470FA"/>
    <w:rsid w:val="00E5066A"/>
    <w:rsid w:val="00E52CF9"/>
    <w:rsid w:val="00E60755"/>
    <w:rsid w:val="00E61A5F"/>
    <w:rsid w:val="00E63F34"/>
    <w:rsid w:val="00E63FEA"/>
    <w:rsid w:val="00E6644A"/>
    <w:rsid w:val="00E66F21"/>
    <w:rsid w:val="00E6715A"/>
    <w:rsid w:val="00E749E5"/>
    <w:rsid w:val="00E74ACD"/>
    <w:rsid w:val="00E75DC9"/>
    <w:rsid w:val="00E7685F"/>
    <w:rsid w:val="00E81610"/>
    <w:rsid w:val="00E83B6C"/>
    <w:rsid w:val="00E84910"/>
    <w:rsid w:val="00E85B28"/>
    <w:rsid w:val="00E91976"/>
    <w:rsid w:val="00E93D88"/>
    <w:rsid w:val="00E947A6"/>
    <w:rsid w:val="00E94F43"/>
    <w:rsid w:val="00E95616"/>
    <w:rsid w:val="00E97A4A"/>
    <w:rsid w:val="00E97FC7"/>
    <w:rsid w:val="00EA0690"/>
    <w:rsid w:val="00EA38A7"/>
    <w:rsid w:val="00EA3956"/>
    <w:rsid w:val="00EA7136"/>
    <w:rsid w:val="00EB0D30"/>
    <w:rsid w:val="00EB2259"/>
    <w:rsid w:val="00EB28BF"/>
    <w:rsid w:val="00EB3000"/>
    <w:rsid w:val="00EB325A"/>
    <w:rsid w:val="00EB5A3F"/>
    <w:rsid w:val="00EC02A5"/>
    <w:rsid w:val="00EC176B"/>
    <w:rsid w:val="00EC2793"/>
    <w:rsid w:val="00EC33CD"/>
    <w:rsid w:val="00EC5BE5"/>
    <w:rsid w:val="00EC6904"/>
    <w:rsid w:val="00ED1261"/>
    <w:rsid w:val="00ED2650"/>
    <w:rsid w:val="00ED396A"/>
    <w:rsid w:val="00ED6DF8"/>
    <w:rsid w:val="00ED721A"/>
    <w:rsid w:val="00EE393D"/>
    <w:rsid w:val="00EF01CF"/>
    <w:rsid w:val="00EF5E63"/>
    <w:rsid w:val="00EF65D3"/>
    <w:rsid w:val="00EF6A47"/>
    <w:rsid w:val="00EF7AF9"/>
    <w:rsid w:val="00F00952"/>
    <w:rsid w:val="00F01495"/>
    <w:rsid w:val="00F06D07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38E7"/>
    <w:rsid w:val="00F366A2"/>
    <w:rsid w:val="00F37418"/>
    <w:rsid w:val="00F44F43"/>
    <w:rsid w:val="00F450E1"/>
    <w:rsid w:val="00F50DF4"/>
    <w:rsid w:val="00F555BC"/>
    <w:rsid w:val="00F57AFE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63E3"/>
    <w:rsid w:val="00F80821"/>
    <w:rsid w:val="00F82FA6"/>
    <w:rsid w:val="00F86AD4"/>
    <w:rsid w:val="00F935CA"/>
    <w:rsid w:val="00FA0113"/>
    <w:rsid w:val="00FA02B6"/>
    <w:rsid w:val="00FA12B2"/>
    <w:rsid w:val="00FA25D8"/>
    <w:rsid w:val="00FA5F4A"/>
    <w:rsid w:val="00FA5FDC"/>
    <w:rsid w:val="00FA7610"/>
    <w:rsid w:val="00FB02BD"/>
    <w:rsid w:val="00FB398F"/>
    <w:rsid w:val="00FB4EF8"/>
    <w:rsid w:val="00FB54AE"/>
    <w:rsid w:val="00FB56EB"/>
    <w:rsid w:val="00FB709A"/>
    <w:rsid w:val="00FB78DD"/>
    <w:rsid w:val="00FC3EF3"/>
    <w:rsid w:val="00FC5D35"/>
    <w:rsid w:val="00FD09CB"/>
    <w:rsid w:val="00FD2049"/>
    <w:rsid w:val="00FD2140"/>
    <w:rsid w:val="00FD2AF7"/>
    <w:rsid w:val="00FD4869"/>
    <w:rsid w:val="00FD5B5F"/>
    <w:rsid w:val="00FD5BDE"/>
    <w:rsid w:val="00FD68EC"/>
    <w:rsid w:val="00FE24A5"/>
    <w:rsid w:val="00FE2B32"/>
    <w:rsid w:val="00FE3076"/>
    <w:rsid w:val="00FE31E5"/>
    <w:rsid w:val="00FE412B"/>
    <w:rsid w:val="00FE5DDC"/>
    <w:rsid w:val="00FE6C7B"/>
    <w:rsid w:val="00FF19AD"/>
    <w:rsid w:val="00FF1EB5"/>
    <w:rsid w:val="00FF292D"/>
    <w:rsid w:val="00FF298D"/>
    <w:rsid w:val="00FF34A1"/>
    <w:rsid w:val="00FF4B55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7F914"/>
  <w15:chartTrackingRefBased/>
  <w15:docId w15:val="{23F8D366-2F20-47CE-A254-0C17E6DD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536D6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7DA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kakouts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voutouris@cystat.mof.gov.c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kis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6755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6</cp:revision>
  <cp:lastPrinted>2026-03-18T10:28:00Z</cp:lastPrinted>
  <dcterms:created xsi:type="dcterms:W3CDTF">2026-03-18T06:40:00Z</dcterms:created>
  <dcterms:modified xsi:type="dcterms:W3CDTF">2026-03-18T10:39:00Z</dcterms:modified>
</cp:coreProperties>
</file>