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3C3F" w14:textId="77777777" w:rsidR="00AF5CC6" w:rsidRPr="00F06D07" w:rsidRDefault="00AF5CC6" w:rsidP="00AF5CC6">
      <w:pPr>
        <w:jc w:val="right"/>
        <w:rPr>
          <w:rFonts w:ascii="Verdana" w:hAnsi="Verdana" w:cs="Arial"/>
          <w:sz w:val="18"/>
          <w:szCs w:val="18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69BE60D6" w:rsidR="00AF5CC6" w:rsidRDefault="00167549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7E06D7">
        <w:rPr>
          <w:rFonts w:ascii="Verdana" w:eastAsia="Malgun Gothic" w:hAnsi="Verdana" w:cs="Arial"/>
          <w:sz w:val="18"/>
          <w:szCs w:val="18"/>
          <w:lang w:val="el-GR"/>
        </w:rPr>
        <w:t>17</w:t>
      </w:r>
      <w:r w:rsidR="0079784F" w:rsidRPr="007D708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Ιου</w:t>
      </w:r>
      <w:r w:rsidR="00962B09">
        <w:rPr>
          <w:rFonts w:ascii="Verdana" w:eastAsia="Malgun Gothic" w:hAnsi="Verdana" w:cs="Arial"/>
          <w:sz w:val="18"/>
          <w:szCs w:val="18"/>
          <w:lang w:val="el-GR"/>
        </w:rPr>
        <w:t>λ</w:t>
      </w:r>
      <w:r>
        <w:rPr>
          <w:rFonts w:ascii="Verdana" w:eastAsia="Malgun Gothic" w:hAnsi="Verdana" w:cs="Arial"/>
          <w:sz w:val="18"/>
          <w:szCs w:val="18"/>
          <w:lang w:val="el-GR"/>
        </w:rPr>
        <w:t>ίου</w:t>
      </w:r>
      <w:r w:rsidR="0079784F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26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7A496F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ΤΥΠΟΥ</w:t>
      </w:r>
    </w:p>
    <w:p w14:paraId="5A8AFFDB" w14:textId="77777777" w:rsidR="004702E4" w:rsidRPr="007A496F" w:rsidRDefault="004702E4" w:rsidP="00AF5CC6">
      <w:pPr>
        <w:jc w:val="center"/>
        <w:rPr>
          <w:rFonts w:ascii="Verdana" w:eastAsia="Malgun Gothic" w:hAnsi="Verdana" w:cs="Arial"/>
          <w:b/>
          <w:lang w:val="el-GR"/>
        </w:rPr>
      </w:pP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493A148F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>(</w:t>
      </w:r>
      <w:proofErr w:type="spellStart"/>
      <w:r w:rsidRPr="00FE5DDC">
        <w:rPr>
          <w:rFonts w:ascii="Verdana" w:eastAsia="Malgun Gothic" w:hAnsi="Verdana" w:cs="Arial"/>
          <w:b w:val="0"/>
          <w:szCs w:val="22"/>
        </w:rPr>
        <w:t>ΕνΔΤΚ</w:t>
      </w:r>
      <w:proofErr w:type="spellEnd"/>
      <w:r w:rsidRPr="00FE5DDC">
        <w:rPr>
          <w:rFonts w:ascii="Verdana" w:eastAsia="Malgun Gothic" w:hAnsi="Verdana" w:cs="Arial"/>
          <w:b w:val="0"/>
          <w:szCs w:val="22"/>
        </w:rPr>
        <w:t xml:space="preserve">): </w:t>
      </w:r>
      <w:r w:rsidR="00962B09">
        <w:rPr>
          <w:rFonts w:ascii="Verdana" w:eastAsia="Malgun Gothic" w:hAnsi="Verdana" w:cs="Arial"/>
          <w:caps/>
          <w:szCs w:val="22"/>
        </w:rPr>
        <w:t>ΙΟΥΝΙΟΣ</w:t>
      </w:r>
      <w:r w:rsidR="00171AFE">
        <w:rPr>
          <w:rFonts w:ascii="Verdana" w:eastAsia="Malgun Gothic" w:hAnsi="Verdana" w:cs="Arial"/>
          <w:caps/>
          <w:szCs w:val="22"/>
        </w:rPr>
        <w:t xml:space="preserve"> </w:t>
      </w:r>
      <w:r w:rsidRPr="00FE5DDC">
        <w:rPr>
          <w:rFonts w:ascii="Verdana" w:eastAsia="Malgun Gothic" w:hAnsi="Verdana" w:cs="Arial"/>
          <w:szCs w:val="22"/>
        </w:rPr>
        <w:t>202</w:t>
      </w:r>
      <w:r w:rsidR="00FD2AF7">
        <w:rPr>
          <w:rFonts w:ascii="Verdana" w:eastAsia="Malgun Gothic" w:hAnsi="Verdana" w:cs="Arial"/>
          <w:szCs w:val="22"/>
        </w:rPr>
        <w:t>6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1982695E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>Ετήσια Μεταβολή</w:t>
      </w:r>
      <w:r w:rsidRPr="00963346">
        <w:rPr>
          <w:rFonts w:ascii="Verdana" w:eastAsia="Malgun Gothic" w:hAnsi="Verdana" w:cs="Arial"/>
          <w:b/>
          <w:color w:val="EE0000"/>
          <w:lang w:val="el-GR"/>
        </w:rPr>
        <w:t xml:space="preserve"> </w:t>
      </w:r>
      <w:r w:rsidR="00962B09">
        <w:rPr>
          <w:rFonts w:ascii="Verdana" w:eastAsia="Malgun Gothic" w:hAnsi="Verdana" w:cs="Arial"/>
          <w:b/>
          <w:lang w:val="el-GR"/>
        </w:rPr>
        <w:t>4</w:t>
      </w:r>
      <w:r w:rsidRPr="00CF77B5">
        <w:rPr>
          <w:rFonts w:ascii="Verdana" w:eastAsia="Malgun Gothic" w:hAnsi="Verdana" w:cs="Arial"/>
          <w:b/>
          <w:lang w:val="el-GR"/>
        </w:rPr>
        <w:t>,</w:t>
      </w:r>
      <w:r w:rsidR="00962B09">
        <w:rPr>
          <w:rFonts w:ascii="Verdana" w:eastAsia="Malgun Gothic" w:hAnsi="Verdana" w:cs="Arial"/>
          <w:b/>
          <w:lang w:val="el-GR"/>
        </w:rPr>
        <w:t>1</w:t>
      </w:r>
      <w:r w:rsidRPr="00CF77B5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7A496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62C77076" w14:textId="77777777" w:rsidR="004702E4" w:rsidRPr="007A496F" w:rsidRDefault="004702E4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4E220C5B" w14:textId="1261BEA6" w:rsidR="00CF6799" w:rsidRPr="00167549" w:rsidRDefault="00AF5CC6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Εναρμονισμένος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Δείκτης Τιμών Καταναλωτή </w:t>
      </w:r>
      <w:r>
        <w:rPr>
          <w:rFonts w:ascii="Verdana" w:eastAsia="Malgun Gothic" w:hAnsi="Verdana" w:cs="Arial"/>
          <w:sz w:val="18"/>
          <w:szCs w:val="18"/>
          <w:lang w:val="el-GR"/>
        </w:rPr>
        <w:t>τον</w:t>
      </w:r>
      <w:r w:rsidR="004E3A6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62B09">
        <w:rPr>
          <w:rFonts w:ascii="Verdana" w:eastAsia="Malgun Gothic" w:hAnsi="Verdana" w:cs="Arial"/>
          <w:sz w:val="18"/>
          <w:szCs w:val="18"/>
          <w:lang w:val="el-GR"/>
        </w:rPr>
        <w:t>Ιούνιο</w:t>
      </w:r>
      <w:r w:rsidR="00EB5A3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20</w:t>
      </w:r>
      <w:r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FF628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αυξήθηκε κατά </w:t>
      </w:r>
      <w:r w:rsidR="00962B09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7665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62B09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% </w:t>
      </w:r>
      <w:r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E94F4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8074A">
        <w:rPr>
          <w:rFonts w:ascii="Verdana" w:eastAsia="Malgun Gothic" w:hAnsi="Verdana" w:cs="Arial"/>
          <w:sz w:val="18"/>
          <w:szCs w:val="18"/>
          <w:lang w:val="el-GR"/>
        </w:rPr>
        <w:t>Ιούνιο</w:t>
      </w:r>
      <w:r w:rsidR="00171A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5</w:t>
      </w:r>
      <w:r>
        <w:rPr>
          <w:rFonts w:ascii="Verdana" w:eastAsia="Malgun Gothic" w:hAnsi="Verdana" w:cs="Arial"/>
          <w:sz w:val="18"/>
          <w:szCs w:val="18"/>
          <w:lang w:val="el-GR"/>
        </w:rPr>
        <w:t>, ενώ σε σχέση με τον</w:t>
      </w:r>
      <w:r w:rsidR="00F8074A" w:rsidRPr="00F8074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8074A">
        <w:rPr>
          <w:rFonts w:ascii="Verdana" w:eastAsia="Malgun Gothic" w:hAnsi="Verdana" w:cs="Arial"/>
          <w:sz w:val="18"/>
          <w:szCs w:val="18"/>
          <w:lang w:val="el-GR"/>
        </w:rPr>
        <w:t>Μάιο 2026</w:t>
      </w:r>
      <w:r w:rsidR="007A496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929D3" w:rsidRPr="00CF77B5">
        <w:rPr>
          <w:rFonts w:ascii="Verdana" w:eastAsia="Malgun Gothic" w:hAnsi="Verdana" w:cs="Arial"/>
          <w:sz w:val="18"/>
          <w:szCs w:val="18"/>
          <w:lang w:val="el-GR"/>
        </w:rPr>
        <w:t>αυξή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θηκε κατά </w:t>
      </w:r>
      <w:r w:rsidR="00167549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62B09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0A1781" w:rsidRPr="00CF77B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B11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876E0">
        <w:rPr>
          <w:rFonts w:ascii="Verdana" w:eastAsia="Malgun Gothic" w:hAnsi="Verdana" w:cs="Arial"/>
          <w:sz w:val="18"/>
          <w:szCs w:val="18"/>
          <w:lang w:val="el-GR"/>
        </w:rPr>
        <w:t>(</w:t>
      </w:r>
      <w:r>
        <w:rPr>
          <w:rFonts w:ascii="Verdana" w:eastAsia="Malgun Gothic" w:hAnsi="Verdana" w:cs="Arial"/>
          <w:sz w:val="18"/>
          <w:szCs w:val="18"/>
          <w:lang w:val="el-GR"/>
        </w:rPr>
        <w:t>Πίνακας 1)</w:t>
      </w:r>
    </w:p>
    <w:p w14:paraId="2E6D3AAE" w14:textId="77777777" w:rsidR="00167549" w:rsidRPr="00962B09" w:rsidRDefault="00167549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EE9C930" w14:textId="77777777" w:rsidR="00E70396" w:rsidRPr="00962B09" w:rsidRDefault="00E70396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9175F4F" w14:textId="1E607583" w:rsidR="00EB5A3F" w:rsidRDefault="00F018BA" w:rsidP="00E7039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27BAB147" wp14:editId="717E8926">
            <wp:extent cx="6096635" cy="4498975"/>
            <wp:effectExtent l="0" t="0" r="0" b="0"/>
            <wp:docPr id="241151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0D60" w14:textId="7FA6FC8B" w:rsidR="00AF5CC6" w:rsidRPr="00E7039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558ED5"/>
          <w:sz w:val="16"/>
          <w:szCs w:val="16"/>
          <w:lang w:val="el-GR"/>
        </w:rPr>
      </w:pP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Σημείωση: Ο </w:t>
      </w:r>
      <w:proofErr w:type="spellStart"/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>ΕνΔΤΚ</w:t>
      </w:r>
      <w:proofErr w:type="spellEnd"/>
      <w:r w:rsidR="00B24F95"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της 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Ευρωζώνης για τον τελευταίο μήνα βασίζεται σε εκτίμηση της 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n-GB"/>
        </w:rPr>
        <w:t>EUROSTAT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(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n-GB"/>
        </w:rPr>
        <w:t>flash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n-GB"/>
        </w:rPr>
        <w:t>estimate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). </w:t>
      </w:r>
    </w:p>
    <w:p w14:paraId="01F3CC9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Pr="007A496F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0919790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4D7ABA1F" w:rsidR="00AF5CC6" w:rsidRPr="00C23701" w:rsidRDefault="00AF5CC6" w:rsidP="00114DB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lastRenderedPageBreak/>
        <w:t>Συγκριτικά με τον</w:t>
      </w:r>
      <w:r w:rsidR="00114D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5006C">
        <w:rPr>
          <w:rFonts w:ascii="Verdana" w:eastAsia="Malgun Gothic" w:hAnsi="Verdana" w:cs="Arial"/>
          <w:sz w:val="18"/>
          <w:szCs w:val="18"/>
          <w:lang w:val="el-GR"/>
        </w:rPr>
        <w:t>Ιούνιο</w:t>
      </w:r>
      <w:r w:rsidR="002658F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590727" w:rsidRPr="0059072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2B4E6C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9E502E" w:rsidRPr="00CF77B5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502E" w:rsidRPr="00CF77B5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55006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429E8" w:rsidRPr="004429E8">
        <w:rPr>
          <w:rFonts w:ascii="Verdana" w:eastAsia="Malgun Gothic" w:hAnsi="Verdana" w:cs="Arial"/>
          <w:i/>
          <w:sz w:val="18"/>
          <w:szCs w:val="18"/>
          <w:lang w:val="el-GR"/>
        </w:rPr>
        <w:t xml:space="preserve">Αναψυχή, Αθλητισμός και Πολιτισμός </w:t>
      </w:r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55006C">
        <w:rPr>
          <w:rFonts w:ascii="Verdana" w:eastAsia="Malgun Gothic" w:hAnsi="Verdana" w:cs="Arial"/>
          <w:iCs/>
          <w:sz w:val="18"/>
          <w:szCs w:val="18"/>
          <w:lang w:val="el-GR"/>
        </w:rPr>
        <w:t>9</w:t>
      </w:r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55006C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55006C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και </w:t>
      </w:r>
      <w:r w:rsidR="0055006C" w:rsidRPr="004429E8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Υπηρεσίες Παροχής </w:t>
      </w:r>
      <w:r w:rsidR="0055006C" w:rsidRPr="0055006C">
        <w:rPr>
          <w:rFonts w:ascii="Verdana" w:eastAsia="Malgun Gothic" w:hAnsi="Verdana" w:cs="Arial"/>
          <w:sz w:val="18"/>
          <w:szCs w:val="18"/>
          <w:lang w:val="el-GR"/>
        </w:rPr>
        <w:t>Καταλύματος</w:t>
      </w:r>
      <w:r w:rsidR="0055006C">
        <w:rPr>
          <w:rFonts w:ascii="Verdana" w:eastAsia="Malgun Gothic" w:hAnsi="Verdana" w:cs="Arial"/>
          <w:sz w:val="18"/>
          <w:szCs w:val="18"/>
          <w:lang w:val="el-GR"/>
        </w:rPr>
        <w:t xml:space="preserve"> (8,9%) </w:t>
      </w:r>
      <w:r w:rsidRPr="0055006C"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9E502E" w:rsidRPr="0055006C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F2415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E74ACD" w:rsidRPr="00CF77B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αρνητικ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καταγράφηκ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1870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AA5052" w:rsidRPr="00CF77B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4429E8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006C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4870FD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4870FD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CF77B5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Ενημέρωση και Επικοινωνία 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(-2,</w:t>
      </w:r>
      <w:r w:rsidR="004429E8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B1170" w:rsidRPr="00CF77B5">
        <w:rPr>
          <w:rFonts w:ascii="Verdana" w:eastAsia="Times New Roman" w:hAnsi="Verdana" w:cs="Arial"/>
          <w:sz w:val="18"/>
          <w:szCs w:val="18"/>
          <w:lang w:val="el-GR"/>
        </w:rPr>
        <w:t>.</w:t>
      </w:r>
      <w:r w:rsidR="00E74ACD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(Πίνακας </w:t>
      </w:r>
      <w:r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867E2B" w14:textId="46BD478F" w:rsidR="00AF5CC6" w:rsidRDefault="00AF5CC6" w:rsidP="0024027B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Σε σχέση με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55006C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31762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439A8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καν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E2B32" w:rsidRPr="0082105F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FE2B32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4429E8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429E8" w:rsidRPr="004429E8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Υπηρεσίες Παροχής Καταλύματος </w:t>
      </w:r>
      <w:r w:rsidR="004429E8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55006C">
        <w:rPr>
          <w:rFonts w:ascii="Verdana" w:eastAsia="Malgun Gothic" w:hAnsi="Verdana" w:cs="Arial"/>
          <w:iCs/>
          <w:sz w:val="18"/>
          <w:szCs w:val="18"/>
          <w:lang w:val="el-GR"/>
        </w:rPr>
        <w:t>3</w:t>
      </w:r>
      <w:r w:rsidR="004429E8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55006C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4429E8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1A5B7C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55006C" w:rsidRPr="004429E8">
        <w:rPr>
          <w:rFonts w:ascii="Verdana" w:eastAsia="Malgun Gothic" w:hAnsi="Verdana" w:cs="Arial"/>
          <w:i/>
          <w:sz w:val="18"/>
          <w:szCs w:val="18"/>
          <w:lang w:val="el-GR"/>
        </w:rPr>
        <w:t xml:space="preserve">Αναψυχή, Αθλητισμός και Πολιτισμός </w:t>
      </w:r>
      <w:r w:rsidR="0082105F" w:rsidRPr="0082105F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55006C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82105F" w:rsidRPr="0082105F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006C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82105F" w:rsidRPr="0082105F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A5B7C" w:rsidRPr="001A5B7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A5B7C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1A5B7C" w:rsidRPr="001A5B7C">
        <w:rPr>
          <w:rFonts w:ascii="Verdana" w:eastAsia="Malgun Gothic" w:hAnsi="Verdana" w:cs="Arial"/>
          <w:i/>
          <w:sz w:val="18"/>
          <w:szCs w:val="18"/>
          <w:lang w:val="el-GR"/>
        </w:rPr>
        <w:t>Στέγαση, Ύδρευση, Ηλεκτρικό Ρεύμα, Φυσικό Αέριο και Άλλα Καύσιμα</w:t>
      </w:r>
      <w:r w:rsidR="001A5B7C">
        <w:rPr>
          <w:rFonts w:ascii="Verdana" w:eastAsia="Malgun Gothic" w:hAnsi="Verdana" w:cs="Arial"/>
          <w:i/>
          <w:sz w:val="18"/>
          <w:szCs w:val="18"/>
          <w:lang w:val="el-GR"/>
        </w:rPr>
        <w:t xml:space="preserve"> </w:t>
      </w:r>
      <w:r w:rsidR="001A5B7C" w:rsidRPr="001A5B7C">
        <w:rPr>
          <w:rFonts w:ascii="Verdana" w:eastAsia="Malgun Gothic" w:hAnsi="Verdana" w:cs="Arial"/>
          <w:iCs/>
          <w:sz w:val="18"/>
          <w:szCs w:val="18"/>
          <w:lang w:val="el-GR"/>
        </w:rPr>
        <w:t>(1,6%)</w:t>
      </w:r>
      <w:r w:rsidR="00E114B9" w:rsidRPr="001A5B7C">
        <w:rPr>
          <w:rFonts w:ascii="Verdana" w:eastAsia="Malgun Gothic" w:hAnsi="Verdana" w:cs="Arial"/>
          <w:iCs/>
          <w:sz w:val="18"/>
          <w:szCs w:val="18"/>
          <w:lang w:val="el-GR"/>
        </w:rPr>
        <w:t>.</w:t>
      </w:r>
      <w:r w:rsidRPr="001A5B7C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(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Πίνακας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9A31EF2" w14:textId="77777777" w:rsidR="007B2DD9" w:rsidRPr="000156B4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D4DFF9B" w14:textId="5CA86ADB" w:rsidR="00850F43" w:rsidRPr="00601870" w:rsidRDefault="005E7DDA" w:rsidP="00850F4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156B4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0156B4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0156B4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</w:t>
      </w:r>
      <w:r w:rsidR="001A2238" w:rsidRPr="001A223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>ε το</w:t>
      </w:r>
      <w:r w:rsidR="006D66C8">
        <w:rPr>
          <w:rFonts w:ascii="Verdana" w:eastAsia="Malgun Gothic" w:hAnsi="Verdana" w:cs="Arial"/>
          <w:sz w:val="18"/>
          <w:szCs w:val="18"/>
          <w:lang w:val="el-GR"/>
        </w:rPr>
        <w:t>ν Ιούνιο</w:t>
      </w:r>
      <w:r w:rsidR="005F036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D66C8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παρατηρήθηκε στην κατηγορία </w:t>
      </w:r>
      <w:r w:rsidR="006D66C8" w:rsidRPr="000156B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 w:rsidR="006D66C8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6D66C8">
        <w:rPr>
          <w:rFonts w:ascii="Verdana" w:eastAsia="Malgun Gothic" w:hAnsi="Verdana" w:cs="Arial"/>
          <w:sz w:val="18"/>
          <w:szCs w:val="18"/>
          <w:lang w:val="el-GR"/>
        </w:rPr>
        <w:t>(13,0%), ενώ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</w:t>
      </w:r>
      <w:r w:rsidR="006D66C8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 2026</w:t>
      </w:r>
      <w:r w:rsidR="006D66C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>παρατηρήθηκε</w:t>
      </w:r>
      <w:r w:rsidR="00895B4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82105F" w:rsidRPr="000156B4">
        <w:rPr>
          <w:rFonts w:ascii="Verdana" w:eastAsia="Malgun Gothic" w:hAnsi="Verdana" w:cs="Arial"/>
          <w:sz w:val="18"/>
          <w:szCs w:val="18"/>
          <w:lang w:val="el-GR"/>
        </w:rPr>
        <w:t>ην</w:t>
      </w:r>
      <w:r w:rsidR="00895B4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82105F" w:rsidRPr="000156B4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6D66C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D66C8" w:rsidRPr="006D66C8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6D66C8">
        <w:rPr>
          <w:rFonts w:ascii="Verdana" w:eastAsia="Malgun Gothic" w:hAnsi="Verdana" w:cs="Arial"/>
          <w:sz w:val="18"/>
          <w:szCs w:val="18"/>
          <w:lang w:val="el-GR"/>
        </w:rPr>
        <w:t xml:space="preserve"> (1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D66C8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B24F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50F43" w:rsidRPr="00601870">
        <w:rPr>
          <w:rFonts w:ascii="Verdana" w:eastAsia="Malgun Gothic" w:hAnsi="Verdana" w:cs="Arial"/>
          <w:sz w:val="18"/>
          <w:szCs w:val="18"/>
          <w:lang w:val="el-GR"/>
        </w:rPr>
        <w:t>(Πίνακας 2)</w:t>
      </w:r>
    </w:p>
    <w:p w14:paraId="1D5E4402" w14:textId="77777777" w:rsidR="00E74ACD" w:rsidRPr="005C4C32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"/>
        <w:tblW w:w="105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417"/>
        <w:gridCol w:w="1420"/>
        <w:gridCol w:w="240"/>
        <w:gridCol w:w="1318"/>
        <w:gridCol w:w="1275"/>
        <w:gridCol w:w="1701"/>
        <w:gridCol w:w="19"/>
      </w:tblGrid>
      <w:tr w:rsidR="00437E36" w:rsidRPr="00437E36" w14:paraId="2E7A17C5" w14:textId="61EF746F" w:rsidTr="00E70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7" w:type="dxa"/>
            <w:gridSpan w:val="8"/>
            <w:tcBorders>
              <w:bottom w:val="single" w:sz="4" w:space="0" w:color="366092"/>
            </w:tcBorders>
          </w:tcPr>
          <w:p w14:paraId="3A52B7B1" w14:textId="7B69FF08" w:rsidR="00594514" w:rsidRPr="00437E36" w:rsidRDefault="00594514" w:rsidP="00D25AB6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</w:tr>
      <w:tr w:rsidR="00437E36" w:rsidRPr="00437E36" w14:paraId="5785043C" w14:textId="125DD453" w:rsidTr="00962B0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Merge w:val="restart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CEEBE74" w14:textId="77777777" w:rsidR="00594514" w:rsidRPr="00437E36" w:rsidRDefault="00594514" w:rsidP="00F018BA">
            <w:pPr>
              <w:ind w:right="-130"/>
              <w:jc w:val="center"/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0E0D3279" w14:textId="77777777" w:rsidR="00594514" w:rsidRPr="00437E36" w:rsidRDefault="00594514" w:rsidP="00F018BA">
            <w:pPr>
              <w:jc w:val="center"/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2837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B5606A1" w14:textId="1F657FED" w:rsidR="00594514" w:rsidRPr="00437E36" w:rsidRDefault="00594514" w:rsidP="00D25AB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(2025=100)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noWrap/>
            <w:tcMar>
              <w:left w:w="0" w:type="dxa"/>
              <w:right w:w="28" w:type="dxa"/>
            </w:tcMar>
          </w:tcPr>
          <w:p w14:paraId="1E490A95" w14:textId="77777777" w:rsidR="00594514" w:rsidRPr="00437E36" w:rsidRDefault="00594514" w:rsidP="00D25AB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4313" w:type="dxa"/>
            <w:gridSpan w:val="4"/>
            <w:tcBorders>
              <w:top w:val="single" w:sz="4" w:space="0" w:color="366092"/>
              <w:bottom w:val="single" w:sz="4" w:space="0" w:color="366092"/>
            </w:tcBorders>
          </w:tcPr>
          <w:p w14:paraId="34A73185" w14:textId="0A086CEB" w:rsidR="00594514" w:rsidRPr="00437E36" w:rsidRDefault="00594514" w:rsidP="00D25AB6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437E36" w:rsidRPr="00437E36" w14:paraId="4549DBDE" w14:textId="0D238C18" w:rsidTr="00E70396">
        <w:trPr>
          <w:gridAfter w:val="1"/>
          <w:wAfter w:w="1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250044BF" w14:textId="77777777" w:rsidR="00DE2F1E" w:rsidRPr="00437E36" w:rsidRDefault="00DE2F1E" w:rsidP="00DE2F1E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D8B3344" w14:textId="77777777" w:rsidR="00962B09" w:rsidRPr="00437E36" w:rsidRDefault="00962B09" w:rsidP="00962B09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</w:p>
          <w:p w14:paraId="173638EB" w14:textId="303A7E70" w:rsidR="00DE2F1E" w:rsidRPr="00437E36" w:rsidRDefault="00962B09" w:rsidP="00962B09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9830DAB" w14:textId="1A0FE659" w:rsidR="00DE2F1E" w:rsidRPr="00437E36" w:rsidRDefault="00962B09" w:rsidP="00DE2F1E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Ιούνιος</w:t>
            </w:r>
          </w:p>
          <w:p w14:paraId="20133DD4" w14:textId="04B0B100" w:rsidR="00DE2F1E" w:rsidRPr="00437E36" w:rsidRDefault="00DE2F1E" w:rsidP="00DE2F1E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</w:tcPr>
          <w:p w14:paraId="1D37A384" w14:textId="77777777" w:rsidR="00DE2F1E" w:rsidRPr="00437E36" w:rsidRDefault="00DE2F1E" w:rsidP="00DE2F1E">
            <w:pPr>
              <w:tabs>
                <w:tab w:val="left" w:pos="1080"/>
                <w:tab w:val="left" w:pos="6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31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D2B89D9" w14:textId="4A749F1E" w:rsidR="00DE2F1E" w:rsidRPr="00437E36" w:rsidRDefault="00962B09" w:rsidP="00DE2F1E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DE2F1E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DE2F1E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127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E6F8F9A" w14:textId="7F10EB0D" w:rsidR="00DE2F1E" w:rsidRPr="00437E36" w:rsidRDefault="00962B09" w:rsidP="00DE2F1E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DE2F1E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DE2F1E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</w:p>
        </w:tc>
        <w:tc>
          <w:tcPr>
            <w:tcW w:w="1701" w:type="dxa"/>
            <w:tcBorders>
              <w:top w:val="single" w:sz="4" w:space="0" w:color="366092"/>
              <w:bottom w:val="single" w:sz="4" w:space="0" w:color="366092"/>
            </w:tcBorders>
          </w:tcPr>
          <w:p w14:paraId="14124BBE" w14:textId="56551C51" w:rsidR="00DE2F1E" w:rsidRPr="00437E36" w:rsidRDefault="00DE2F1E" w:rsidP="00DE2F1E">
            <w:pPr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962B09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E70396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="00962B09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Ιούν</w:t>
            </w: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 /</w:t>
            </w:r>
          </w:p>
          <w:p w14:paraId="27C220DA" w14:textId="23B389EA" w:rsidR="00DE2F1E" w:rsidRPr="00437E36" w:rsidRDefault="00DE2F1E" w:rsidP="00DE2F1E">
            <w:pPr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962B09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E70396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="00962B09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Ιούν</w:t>
            </w: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</w:tr>
      <w:tr w:rsidR="00437E36" w:rsidRPr="00437E36" w14:paraId="6E325E2B" w14:textId="5D732482" w:rsidTr="00962B09">
        <w:trPr>
          <w:gridAfter w:val="1"/>
          <w:wAfter w:w="19" w:type="dxa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tcBorders>
              <w:top w:val="single" w:sz="4" w:space="0" w:color="366092"/>
            </w:tcBorders>
            <w:vAlign w:val="center"/>
          </w:tcPr>
          <w:p w14:paraId="3D84B894" w14:textId="61AE473D" w:rsidR="00962B09" w:rsidRPr="00437E36" w:rsidRDefault="00962B09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417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7A9D2F2" w14:textId="22F8C1BE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104,16</w:t>
            </w:r>
          </w:p>
        </w:tc>
        <w:tc>
          <w:tcPr>
            <w:tcW w:w="1420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390E44D6" w14:textId="4CC47D3B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103,89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7373A50C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368FBF5C" w14:textId="456E8E59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4,78</w:t>
            </w:r>
          </w:p>
        </w:tc>
        <w:tc>
          <w:tcPr>
            <w:tcW w:w="1275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3AD0BF5" w14:textId="6DB8DC5E" w:rsidR="00962B09" w:rsidRPr="00437E36" w:rsidRDefault="00962B09" w:rsidP="00962B09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-0,26</w:t>
            </w:r>
          </w:p>
        </w:tc>
        <w:tc>
          <w:tcPr>
            <w:tcW w:w="1701" w:type="dxa"/>
            <w:tcBorders>
              <w:top w:val="single" w:sz="4" w:space="0" w:color="366092"/>
            </w:tcBorders>
            <w:vAlign w:val="center"/>
          </w:tcPr>
          <w:p w14:paraId="254C7CD9" w14:textId="39E0953E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4,25</w:t>
            </w:r>
          </w:p>
        </w:tc>
      </w:tr>
      <w:tr w:rsidR="00437E36" w:rsidRPr="00437E36" w14:paraId="1B95C1A8" w14:textId="025E60B6" w:rsidTr="00962B09">
        <w:trPr>
          <w:gridAfter w:val="1"/>
          <w:wAfter w:w="19" w:type="dxa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1D538252" w14:textId="1A54044E" w:rsidR="00962B09" w:rsidRPr="00437E36" w:rsidRDefault="00962B09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Αλκοολούχα </w:t>
            </w:r>
            <w:r w:rsidR="00551B85"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Ποτά</w:t>
            </w: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="00551B85"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Καπνός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27BB5071" w14:textId="3340C474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101,29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5809D1EC" w14:textId="2757E100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101,16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BC72088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7137B40E" w14:textId="783969A8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1,45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01037533" w14:textId="41FE10C0" w:rsidR="00962B09" w:rsidRPr="00437E36" w:rsidRDefault="00962B09" w:rsidP="00962B09">
            <w:pPr>
              <w:ind w:leftChars="-38" w:left="1" w:hangingChars="47" w:hanging="8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-0,13</w:t>
            </w:r>
          </w:p>
        </w:tc>
        <w:tc>
          <w:tcPr>
            <w:tcW w:w="1701" w:type="dxa"/>
            <w:vAlign w:val="center"/>
          </w:tcPr>
          <w:p w14:paraId="79B0CB5A" w14:textId="78606E73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1,25</w:t>
            </w:r>
          </w:p>
        </w:tc>
      </w:tr>
      <w:tr w:rsidR="00437E36" w:rsidRPr="00437E36" w14:paraId="2601AA75" w14:textId="0E764678" w:rsidTr="00962B09">
        <w:trPr>
          <w:gridAfter w:val="1"/>
          <w:wAfter w:w="19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5B331D93" w14:textId="0BFBEFCF" w:rsidR="00962B09" w:rsidRPr="00437E36" w:rsidRDefault="00551B85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Ένδυση</w:t>
            </w:r>
            <w:r w:rsidR="00962B09"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Υπόδηση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3027E8C" w14:textId="3B66EE67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98,29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21BD9B26" w14:textId="3569C38F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98,78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F5D5ED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4F1CA5C3" w14:textId="0EF91F42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-8,01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90FFA51" w14:textId="1A28521A" w:rsidR="00962B09" w:rsidRPr="00437E36" w:rsidRDefault="00962B09" w:rsidP="00962B09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0,50</w:t>
            </w:r>
          </w:p>
        </w:tc>
        <w:tc>
          <w:tcPr>
            <w:tcW w:w="1701" w:type="dxa"/>
            <w:vAlign w:val="center"/>
          </w:tcPr>
          <w:p w14:paraId="6A7A1D11" w14:textId="64165C9A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-6,69</w:t>
            </w:r>
          </w:p>
        </w:tc>
      </w:tr>
      <w:tr w:rsidR="00437E36" w:rsidRPr="00437E36" w14:paraId="221396AC" w14:textId="69BA0D35" w:rsidTr="00962B09">
        <w:trPr>
          <w:gridAfter w:val="1"/>
          <w:wAfter w:w="19" w:type="dxa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28F51117" w14:textId="708AE489" w:rsidR="00962B09" w:rsidRPr="00437E36" w:rsidRDefault="00962B09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C9D56E0" w14:textId="57531FD5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101,96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1B1AC012" w14:textId="09E88E49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103,54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6C472D35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019E2CB7" w14:textId="628AB93A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4,61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2C260FAB" w14:textId="7518FE26" w:rsidR="00962B09" w:rsidRPr="00437E36" w:rsidRDefault="00962B09" w:rsidP="00962B09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1,55</w:t>
            </w:r>
          </w:p>
        </w:tc>
        <w:tc>
          <w:tcPr>
            <w:tcW w:w="1701" w:type="dxa"/>
            <w:vAlign w:val="center"/>
          </w:tcPr>
          <w:p w14:paraId="2199AA02" w14:textId="1D8BB4ED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-0,26</w:t>
            </w:r>
          </w:p>
        </w:tc>
      </w:tr>
      <w:tr w:rsidR="00437E36" w:rsidRPr="00437E36" w14:paraId="48E93CF3" w14:textId="1F1BDCF4" w:rsidTr="00962B09">
        <w:trPr>
          <w:gridAfter w:val="1"/>
          <w:wAfter w:w="19" w:type="dxa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64880A51" w14:textId="73A8B2C1" w:rsidR="00962B09" w:rsidRPr="00437E36" w:rsidRDefault="00962B09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200AA5A" w14:textId="31D67A53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99,60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7E94323B" w14:textId="45B5CFF7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99,58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16580516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49C7D603" w14:textId="46FD011A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-0,96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26A13B3" w14:textId="3342DEAC" w:rsidR="00962B09" w:rsidRPr="00437E36" w:rsidRDefault="00962B09" w:rsidP="00962B09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-0,02</w:t>
            </w:r>
          </w:p>
        </w:tc>
        <w:tc>
          <w:tcPr>
            <w:tcW w:w="1701" w:type="dxa"/>
            <w:vAlign w:val="center"/>
          </w:tcPr>
          <w:p w14:paraId="0AF84866" w14:textId="73DD2919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-0,23</w:t>
            </w:r>
          </w:p>
        </w:tc>
      </w:tr>
      <w:tr w:rsidR="00437E36" w:rsidRPr="00437E36" w14:paraId="22ED156A" w14:textId="71FE16AA" w:rsidTr="00962B09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36D409F9" w14:textId="42649B01" w:rsidR="00962B09" w:rsidRPr="00437E36" w:rsidRDefault="00551B85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Υγεία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7F8F6B2C" w14:textId="2FE49CA9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100,84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3C0F6F65" w14:textId="4001BDD7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100,86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7314BA3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792F6CCD" w14:textId="383904DF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0,97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2B6DE458" w14:textId="10428697" w:rsidR="00962B09" w:rsidRPr="00437E36" w:rsidRDefault="00962B09" w:rsidP="00962B09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0,02</w:t>
            </w:r>
          </w:p>
        </w:tc>
        <w:tc>
          <w:tcPr>
            <w:tcW w:w="1701" w:type="dxa"/>
            <w:vAlign w:val="center"/>
          </w:tcPr>
          <w:p w14:paraId="3BB87F01" w14:textId="214C40D5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0,70</w:t>
            </w:r>
          </w:p>
        </w:tc>
      </w:tr>
      <w:tr w:rsidR="00437E36" w:rsidRPr="00437E36" w14:paraId="573C0426" w14:textId="2FED1DF5" w:rsidTr="00962B09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7C5B48AA" w14:textId="45168870" w:rsidR="00962B09" w:rsidRPr="00437E36" w:rsidRDefault="00551B85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Μεταφορές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4FF94B2" w14:textId="6441D306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107,52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6BF86314" w14:textId="5151B0D8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107,27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2FDDE1E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503EF572" w14:textId="2B3F1579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7,6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A5AFA5F" w14:textId="3EABE752" w:rsidR="00962B09" w:rsidRPr="00437E36" w:rsidRDefault="00962B09" w:rsidP="00962B09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-0,23</w:t>
            </w:r>
          </w:p>
        </w:tc>
        <w:tc>
          <w:tcPr>
            <w:tcW w:w="1701" w:type="dxa"/>
            <w:vAlign w:val="center"/>
          </w:tcPr>
          <w:p w14:paraId="36A31C9E" w14:textId="2355A6AF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3,92</w:t>
            </w:r>
          </w:p>
        </w:tc>
      </w:tr>
      <w:tr w:rsidR="00437E36" w:rsidRPr="00437E36" w14:paraId="4E4A4FB2" w14:textId="2A8DA05B" w:rsidTr="00962B09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3478003F" w14:textId="4BCBF196" w:rsidR="00962B09" w:rsidRPr="00437E36" w:rsidRDefault="00962B09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="00551B85"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Επικοινωνία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7AAE2D93" w14:textId="3AD35085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97,31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0717658E" w14:textId="15225CE5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97,61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79FA386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3251023B" w14:textId="116E0E23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-2,93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68CF4DE6" w14:textId="000FA5C4" w:rsidR="00962B09" w:rsidRPr="00437E36" w:rsidRDefault="00962B09" w:rsidP="00962B09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0,31</w:t>
            </w:r>
          </w:p>
        </w:tc>
        <w:tc>
          <w:tcPr>
            <w:tcW w:w="1701" w:type="dxa"/>
            <w:vAlign w:val="center"/>
          </w:tcPr>
          <w:p w14:paraId="164D9D6D" w14:textId="6A5D9117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-2,62</w:t>
            </w:r>
          </w:p>
        </w:tc>
      </w:tr>
      <w:tr w:rsidR="00437E36" w:rsidRPr="00437E36" w14:paraId="3168295C" w14:textId="3A9D1452" w:rsidTr="00962B09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13E03490" w14:textId="00E95C77" w:rsidR="00962B09" w:rsidRPr="00437E36" w:rsidRDefault="00551B85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bookmarkStart w:id="0" w:name="_Hlk232495335"/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Αναψυχή</w:t>
            </w:r>
            <w:r w:rsidR="00962B09"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, Αθλητισμός</w:t>
            </w:r>
            <w:r w:rsidR="00962B09"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</w:t>
            </w:r>
            <w:r w:rsidR="00962B09"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</w:t>
            </w:r>
            <w:bookmarkEnd w:id="0"/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Πολιτισμός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1B4D2413" w14:textId="3291ABA4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104,62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796DA35F" w14:textId="2757C4F3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106,56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E2175BC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64AEA1CF" w14:textId="3738EDBF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9,66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A826D6D" w14:textId="52B13BD1" w:rsidR="00962B09" w:rsidRPr="00437E36" w:rsidRDefault="00962B09" w:rsidP="00962B09">
            <w:pPr>
              <w:ind w:firstLineChars="20" w:firstLine="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1,85</w:t>
            </w:r>
          </w:p>
        </w:tc>
        <w:tc>
          <w:tcPr>
            <w:tcW w:w="1701" w:type="dxa"/>
            <w:vAlign w:val="center"/>
          </w:tcPr>
          <w:p w14:paraId="372170B2" w14:textId="53D25CED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6,84</w:t>
            </w:r>
          </w:p>
        </w:tc>
      </w:tr>
      <w:tr w:rsidR="00437E36" w:rsidRPr="00437E36" w14:paraId="4DA8FE93" w14:textId="18ED2D84" w:rsidTr="00962B09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040786D7" w14:textId="1328F1F4" w:rsidR="00962B09" w:rsidRPr="00437E36" w:rsidRDefault="00551B85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Εκπαιδευτικές</w:t>
            </w:r>
            <w:r w:rsidR="00962B09"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Υπηρεσίες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2FCCA678" w14:textId="572EDCD3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102,33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591B248E" w14:textId="6BEBCAC1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102,33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56490F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663D8662" w14:textId="353B323B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615957CF" w14:textId="7566D7D6" w:rsidR="00962B09" w:rsidRPr="00437E36" w:rsidRDefault="00962B09" w:rsidP="00962B09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  <w:tc>
          <w:tcPr>
            <w:tcW w:w="1701" w:type="dxa"/>
            <w:vAlign w:val="center"/>
          </w:tcPr>
          <w:p w14:paraId="5DF7D40D" w14:textId="2AE9DBC5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</w:tr>
      <w:tr w:rsidR="00437E36" w:rsidRPr="00437E36" w14:paraId="2F3D1C78" w14:textId="078EF248" w:rsidTr="00962B09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673B39AC" w14:textId="1073A21D" w:rsidR="00962B09" w:rsidRPr="00437E36" w:rsidRDefault="00962B09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66206761" w14:textId="4311D5AC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107,01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042AE3A9" w14:textId="7CAB2E35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110,67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C6C81B0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69B83F16" w14:textId="1FE90731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8,85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5C591C76" w14:textId="3D84838F" w:rsidR="00962B09" w:rsidRPr="00437E36" w:rsidRDefault="00962B09" w:rsidP="00962B09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3,42</w:t>
            </w:r>
          </w:p>
        </w:tc>
        <w:tc>
          <w:tcPr>
            <w:tcW w:w="1701" w:type="dxa"/>
            <w:vAlign w:val="center"/>
          </w:tcPr>
          <w:p w14:paraId="11F17BCA" w14:textId="6AA02BED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5,61</w:t>
            </w:r>
          </w:p>
        </w:tc>
      </w:tr>
      <w:tr w:rsidR="00437E36" w:rsidRPr="00437E36" w14:paraId="64D9DA00" w14:textId="7826C0BB" w:rsidTr="00962B09">
        <w:trPr>
          <w:gridAfter w:val="1"/>
          <w:wAfter w:w="19" w:type="dxa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23E34084" w14:textId="3F1EE9C2" w:rsidR="00962B09" w:rsidRPr="00437E36" w:rsidRDefault="00962B09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602EC338" w14:textId="71032BC1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100,05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7D042F2E" w14:textId="38085E3A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100,05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492F0DF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342F69EA" w14:textId="738D7FC5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0,03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9FEF3C0" w14:textId="38BB1BF8" w:rsidR="00962B09" w:rsidRPr="00437E36" w:rsidRDefault="00962B09" w:rsidP="00962B09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  <w:tc>
          <w:tcPr>
            <w:tcW w:w="1701" w:type="dxa"/>
            <w:vAlign w:val="center"/>
          </w:tcPr>
          <w:p w14:paraId="01BCC9A9" w14:textId="3C2C066B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0,08</w:t>
            </w:r>
          </w:p>
        </w:tc>
      </w:tr>
      <w:tr w:rsidR="00437E36" w:rsidRPr="00437E36" w14:paraId="63DB8116" w14:textId="42911875" w:rsidTr="00962B09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tcBorders>
              <w:bottom w:val="single" w:sz="4" w:space="0" w:color="366092"/>
            </w:tcBorders>
            <w:vAlign w:val="center"/>
          </w:tcPr>
          <w:p w14:paraId="5679E4E2" w14:textId="69E50AC3" w:rsidR="00962B09" w:rsidRPr="00437E36" w:rsidRDefault="00962B09" w:rsidP="00962B09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417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1D4EA246" w14:textId="580AC605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100,69</w:t>
            </w:r>
          </w:p>
        </w:tc>
        <w:tc>
          <w:tcPr>
            <w:tcW w:w="1420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CB407AE" w14:textId="76DAABAA" w:rsidR="00962B09" w:rsidRPr="00437E36" w:rsidRDefault="00962B09" w:rsidP="00962B09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100,93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51979D83" w14:textId="77777777" w:rsidR="00962B09" w:rsidRPr="00437E36" w:rsidRDefault="00962B09" w:rsidP="00962B09">
            <w:pPr>
              <w:ind w:right="228" w:firstLineChars="100" w:firstLin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829BCF" w14:textId="06475927" w:rsidR="00962B09" w:rsidRPr="00437E36" w:rsidRDefault="00962B09" w:rsidP="00962B09">
            <w:pPr>
              <w:ind w:right="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0,62</w:t>
            </w:r>
          </w:p>
        </w:tc>
        <w:tc>
          <w:tcPr>
            <w:tcW w:w="1275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DA01948" w14:textId="30C2A832" w:rsidR="00962B09" w:rsidRPr="00437E36" w:rsidRDefault="00962B09" w:rsidP="00962B09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0,24</w:t>
            </w:r>
          </w:p>
        </w:tc>
        <w:tc>
          <w:tcPr>
            <w:tcW w:w="1701" w:type="dxa"/>
            <w:tcBorders>
              <w:bottom w:val="single" w:sz="4" w:space="0" w:color="366092"/>
            </w:tcBorders>
            <w:vAlign w:val="center"/>
          </w:tcPr>
          <w:p w14:paraId="536425F5" w14:textId="4BD229E2" w:rsidR="00962B09" w:rsidRPr="00437E36" w:rsidRDefault="00962B09" w:rsidP="00962B09">
            <w:pPr>
              <w:tabs>
                <w:tab w:val="left" w:pos="37"/>
              </w:tabs>
              <w:ind w:right="45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0,97</w:t>
            </w:r>
          </w:p>
        </w:tc>
      </w:tr>
      <w:tr w:rsidR="00437E36" w:rsidRPr="00437E36" w14:paraId="57C62558" w14:textId="44111699" w:rsidTr="00962B09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76F4097F" w14:textId="1BBDC653" w:rsidR="00962B09" w:rsidRPr="00437E36" w:rsidRDefault="00962B09" w:rsidP="00962B09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</w:t>
            </w:r>
            <w:proofErr w:type="spellStart"/>
            <w:r w:rsidRPr="00437E3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437E3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0B1D4B8B" w14:textId="145DDA1C" w:rsidR="00962B09" w:rsidRPr="00437E36" w:rsidRDefault="00962B09" w:rsidP="00962B09">
            <w:pPr>
              <w:ind w:right="82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103,45</w:t>
            </w:r>
          </w:p>
        </w:tc>
        <w:tc>
          <w:tcPr>
            <w:tcW w:w="1420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7DE7D774" w14:textId="3086A7A4" w:rsidR="00962B09" w:rsidRPr="00437E36" w:rsidRDefault="00962B09" w:rsidP="00962B09">
            <w:pPr>
              <w:ind w:right="82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104,42</w:t>
            </w:r>
          </w:p>
        </w:tc>
        <w:tc>
          <w:tcPr>
            <w:tcW w:w="240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424173AD" w14:textId="77777777" w:rsidR="00962B09" w:rsidRPr="00437E36" w:rsidRDefault="00962B09" w:rsidP="00962B09">
            <w:pPr>
              <w:ind w:right="82" w:firstLineChars="100" w:firstLine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3FF9B79" w14:textId="1DE280D8" w:rsidR="00962B09" w:rsidRPr="00437E36" w:rsidRDefault="00962B09" w:rsidP="00962B09">
            <w:pPr>
              <w:ind w:right="31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4,08</w:t>
            </w:r>
          </w:p>
        </w:tc>
        <w:tc>
          <w:tcPr>
            <w:tcW w:w="1275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5FFC52D0" w14:textId="5CFC2519" w:rsidR="00962B09" w:rsidRPr="00437E36" w:rsidRDefault="00962B09" w:rsidP="00962B09">
            <w:pPr>
              <w:ind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0,94</w:t>
            </w:r>
          </w:p>
        </w:tc>
        <w:tc>
          <w:tcPr>
            <w:tcW w:w="1701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E9CC951" w14:textId="2DEB938F" w:rsidR="00962B09" w:rsidRPr="00437E36" w:rsidRDefault="00962B09" w:rsidP="00962B09">
            <w:pPr>
              <w:tabs>
                <w:tab w:val="left" w:pos="37"/>
              </w:tabs>
              <w:ind w:right="456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2,39</w:t>
            </w:r>
          </w:p>
        </w:tc>
      </w:tr>
    </w:tbl>
    <w:p w14:paraId="5A3ED84F" w14:textId="77777777" w:rsidR="007F5FBB" w:rsidRDefault="007F5FBB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E7D144C" w14:textId="77777777" w:rsidR="00A55D89" w:rsidRPr="0055006C" w:rsidRDefault="00A55D89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3479"/>
        <w:gridCol w:w="2222"/>
        <w:gridCol w:w="2493"/>
        <w:gridCol w:w="2415"/>
      </w:tblGrid>
      <w:tr w:rsidR="00437E36" w:rsidRPr="00437E36" w14:paraId="09088547" w14:textId="77777777" w:rsidTr="001B1170">
        <w:trPr>
          <w:trHeight w:val="227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7FD3C8B" w14:textId="77777777" w:rsidR="00AF5CC6" w:rsidRPr="00437E36" w:rsidRDefault="00AF5CC6" w:rsidP="00A55D89">
            <w:pPr>
              <w:tabs>
                <w:tab w:val="left" w:pos="495"/>
              </w:tabs>
              <w:ind w:left="37"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437E36" w:rsidRPr="00437E36" w14:paraId="36F39CC8" w14:textId="77777777" w:rsidTr="001B1170">
        <w:trPr>
          <w:trHeight w:val="330"/>
          <w:jc w:val="center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437E36" w:rsidRDefault="00AF5CC6" w:rsidP="00F018B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Pr="00437E36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437E36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3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0E37870D" w:rsidR="00AF5CC6" w:rsidRPr="00437E36" w:rsidRDefault="00551B85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</w:t>
            </w:r>
            <w:r w:rsidR="00AF5CC6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437E36" w:rsidRPr="00437E36" w14:paraId="1F92CDFF" w14:textId="77777777" w:rsidTr="00233F37">
        <w:trPr>
          <w:trHeight w:val="454"/>
          <w:jc w:val="center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7B536B" w:rsidRPr="00437E36" w:rsidRDefault="007B536B" w:rsidP="007B536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7B536B" w:rsidRPr="00437E36" w:rsidRDefault="007B536B" w:rsidP="007B536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BAF57" w14:textId="5EE5E89F" w:rsidR="007B536B" w:rsidRPr="00437E36" w:rsidRDefault="003E1F51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7B536B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A7952FF" w14:textId="2516E6AB" w:rsidR="007B536B" w:rsidRPr="00437E36" w:rsidRDefault="003E1F51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7B536B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138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5C81766C" w14:textId="3845688F" w:rsidR="007B536B" w:rsidRPr="00437E36" w:rsidRDefault="003E1F51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Ιούν</w:t>
            </w:r>
            <w:r w:rsidR="007B536B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598BCE1" w14:textId="62CAD181" w:rsidR="007B536B" w:rsidRPr="00437E36" w:rsidRDefault="003E1F51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7B536B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131F3A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437E36" w:rsidRPr="00437E36" w14:paraId="4E8D6A7B" w14:textId="77777777" w:rsidTr="003907E1">
        <w:trPr>
          <w:trHeight w:val="414"/>
          <w:jc w:val="center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52AF103" w:rsidR="00962B09" w:rsidRPr="00437E36" w:rsidRDefault="00551B85" w:rsidP="00962B09">
            <w:pPr>
              <w:ind w:right="57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Γενικός</w:t>
            </w:r>
            <w:r w:rsidR="00962B09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962B09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</w:t>
            </w:r>
            <w:r w:rsidR="00962B09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</w:t>
            </w:r>
            <w:r w:rsidR="00962B09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ΤΚ</w:t>
            </w:r>
            <w:r w:rsidR="00962B09" w:rsidRPr="00437E3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0993A066" w:rsidR="00962B09" w:rsidRPr="00437E36" w:rsidRDefault="00962B09" w:rsidP="00F018B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5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4220551" w14:textId="778C01C4" w:rsidR="00962B09" w:rsidRPr="00437E36" w:rsidRDefault="00962B09" w:rsidP="003E1F51">
            <w:pPr>
              <w:ind w:right="99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  <w:r w:rsidR="00F8074A" w:rsidRPr="00437E3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</w:t>
            </w:r>
          </w:p>
        </w:tc>
        <w:tc>
          <w:tcPr>
            <w:tcW w:w="1138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  <w:hideMark/>
          </w:tcPr>
          <w:p w14:paraId="7832C3C6" w14:textId="0E47E5C1" w:rsidR="00962B09" w:rsidRPr="00437E36" w:rsidRDefault="003C6FA4" w:rsidP="003E1F51">
            <w:pPr>
              <w:ind w:right="97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</w:t>
            </w:r>
            <w:r w:rsidR="00F8074A" w:rsidRPr="00437E3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</w:t>
            </w:r>
          </w:p>
        </w:tc>
      </w:tr>
      <w:tr w:rsidR="00437E36" w:rsidRPr="00437E36" w14:paraId="479D0600" w14:textId="77777777" w:rsidTr="003907E1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962B09" w:rsidRPr="00437E36" w:rsidRDefault="00962B09" w:rsidP="00962B0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08625253" w:rsidR="00962B09" w:rsidRPr="00437E36" w:rsidRDefault="00962B09" w:rsidP="00F018BA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88,45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34D7C7EF" w:rsidR="00962B09" w:rsidRPr="00437E36" w:rsidRDefault="00962B09" w:rsidP="003E1F51">
            <w:pPr>
              <w:ind w:right="999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13</w:t>
            </w:r>
            <w:r w:rsidR="00F8074A"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52A02F65" w:rsidR="00962B09" w:rsidRPr="00437E36" w:rsidRDefault="00962B09" w:rsidP="003E1F51">
            <w:pPr>
              <w:ind w:right="971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F8074A"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6</w:t>
            </w:r>
          </w:p>
        </w:tc>
      </w:tr>
      <w:tr w:rsidR="00437E36" w:rsidRPr="00437E36" w14:paraId="675AD979" w14:textId="77777777" w:rsidTr="003907E1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3F76D704" w:rsidR="00962B09" w:rsidRPr="00437E36" w:rsidRDefault="00551B85" w:rsidP="00962B0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</w:t>
            </w:r>
            <w:r w:rsidR="00962B09" w:rsidRPr="00437E3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</w:t>
            </w: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</w:t>
            </w:r>
            <w:r w:rsidR="00962B09" w:rsidRPr="00437E3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Ποτά</w:t>
            </w:r>
            <w:r w:rsidR="00962B09" w:rsidRPr="00437E3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</w:t>
            </w: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Καπνός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09AABA5A" w:rsidR="00962B09" w:rsidRPr="00437E36" w:rsidRDefault="00962B09" w:rsidP="00F018BA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205,02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74714689" w:rsidR="00962B09" w:rsidRPr="00437E36" w:rsidRDefault="00962B09" w:rsidP="003E1F51">
            <w:pPr>
              <w:ind w:right="999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="00F8074A"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51988A25" w:rsidR="00962B09" w:rsidRPr="00437E36" w:rsidRDefault="00962B09" w:rsidP="003E1F51">
            <w:pPr>
              <w:ind w:right="971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-0</w:t>
            </w:r>
            <w:r w:rsidR="00F8074A"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</w:p>
        </w:tc>
      </w:tr>
      <w:tr w:rsidR="00437E36" w:rsidRPr="00437E36" w14:paraId="1C369CAC" w14:textId="77777777" w:rsidTr="003907E1">
        <w:trPr>
          <w:trHeight w:val="51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355D7FE" w14:textId="2A802D87" w:rsidR="00962B09" w:rsidRPr="00437E36" w:rsidRDefault="00551B85" w:rsidP="00962B0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1" w:name="_Hlk159486445"/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</w:t>
            </w:r>
            <w:r w:rsidR="00962B09" w:rsidRPr="00437E3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Ενεργειακά Βιομηχανικά</w:t>
            </w:r>
            <w:bookmarkEnd w:id="1"/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Προϊόντα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4BE75E" w14:textId="3F37621B" w:rsidR="00962B09" w:rsidRPr="00437E36" w:rsidRDefault="00962B09" w:rsidP="00F018BA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223,72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0DF7CE8E" w14:textId="2A5630C6" w:rsidR="00962B09" w:rsidRPr="00437E36" w:rsidRDefault="00962B09" w:rsidP="003E1F51">
            <w:pPr>
              <w:ind w:right="999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-3</w:t>
            </w:r>
            <w:r w:rsidR="00F8074A"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4F2E750E" w:rsidR="00962B09" w:rsidRPr="00437E36" w:rsidRDefault="00962B09" w:rsidP="003E1F51">
            <w:pPr>
              <w:ind w:right="971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F8074A"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</w:p>
        </w:tc>
      </w:tr>
      <w:tr w:rsidR="00437E36" w:rsidRPr="00437E36" w14:paraId="365CC113" w14:textId="77777777" w:rsidTr="003907E1">
        <w:trPr>
          <w:trHeight w:val="394"/>
          <w:jc w:val="center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6D5C7EB8" w:rsidR="00962B09" w:rsidRPr="00437E36" w:rsidRDefault="00551B85" w:rsidP="00962B0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2" w:name="_Hlk169517282"/>
            <w:r w:rsidRPr="00437E3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Υπηρεσίες</w:t>
            </w:r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1467E8A3" w:rsidR="00962B09" w:rsidRPr="00437E36" w:rsidRDefault="00962B09" w:rsidP="00F018BA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482,81</w:t>
            </w:r>
          </w:p>
        </w:tc>
        <w:tc>
          <w:tcPr>
            <w:tcW w:w="1175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0CC952F5" w:rsidR="00962B09" w:rsidRPr="00437E36" w:rsidRDefault="00962B09" w:rsidP="003E1F51">
            <w:pPr>
              <w:ind w:right="999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5</w:t>
            </w:r>
            <w:r w:rsidR="00F8074A"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</w:p>
        </w:tc>
        <w:tc>
          <w:tcPr>
            <w:tcW w:w="1138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6945A9B3" w:rsidR="00962B09" w:rsidRPr="00437E36" w:rsidRDefault="00962B09" w:rsidP="003E1F51">
            <w:pPr>
              <w:ind w:right="971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F8074A"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437E36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</w:p>
        </w:tc>
      </w:tr>
    </w:tbl>
    <w:bookmarkEnd w:id="2"/>
    <w:p w14:paraId="4DBA567E" w14:textId="77777777" w:rsidR="00B24F95" w:rsidRPr="00E70396" w:rsidRDefault="00AF5CC6" w:rsidP="00B24F95">
      <w:pPr>
        <w:tabs>
          <w:tab w:val="left" w:pos="1080"/>
          <w:tab w:val="left" w:pos="6840"/>
        </w:tabs>
        <w:ind w:left="-426" w:right="-335"/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</w:pPr>
      <w:r w:rsidRPr="00E70396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Σημείωση: Οι επιμέρους συντελεστές στάθμισης υπολογίζονται με άπειρα δεκαδικά και δημοσιεύονται με στρογγυλοποίηση</w:t>
      </w:r>
      <w:r w:rsidR="001B1170" w:rsidRPr="00E70396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 </w:t>
      </w:r>
      <w:r w:rsidRPr="00E70396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δυο δεκαδικών. </w:t>
      </w:r>
      <w:r w:rsidR="00B24F95" w:rsidRPr="00E70396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Η διαφορά στο άθροισμα οφείλεται σε σφάλμα στρογγυλοποίησης.</w:t>
      </w:r>
    </w:p>
    <w:p w14:paraId="3C67892F" w14:textId="786D453C" w:rsidR="001B1170" w:rsidRPr="00E70396" w:rsidRDefault="001B1170" w:rsidP="00E70396">
      <w:pPr>
        <w:tabs>
          <w:tab w:val="left" w:pos="1080"/>
          <w:tab w:val="left" w:pos="6840"/>
        </w:tabs>
        <w:ind w:left="-426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9E53EB">
        <w:rPr>
          <w:rFonts w:ascii="Verdana" w:eastAsia="Malgun Gothic" w:hAnsi="Verdana" w:cs="Arial"/>
          <w:b/>
          <w:u w:val="single"/>
          <w:lang w:val="el-GR"/>
        </w:rPr>
        <w:t xml:space="preserve"> </w:t>
      </w:r>
    </w:p>
    <w:p w14:paraId="301AA67E" w14:textId="4C986AB5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720785" w14:textId="77777777" w:rsidR="00AF5CC6" w:rsidRPr="009E53EB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133C2C60" w14:textId="77777777" w:rsidR="001B1170" w:rsidRPr="009E53EB" w:rsidRDefault="001B11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76972153" w14:textId="77777777" w:rsidR="00AF5CC6" w:rsidRPr="00D353D1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997CFB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08F84E11" w14:textId="77777777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proofErr w:type="spellStart"/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σύμφωνα με μια εναρμονισμένη προσέγγιση και μεθοδολογία όπως καθορίστηκαν από την Ε.Ε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ανονισμών. </w:t>
      </w:r>
    </w:p>
    <w:p w14:paraId="38D7A46A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77777777" w:rsidR="00AF5CC6" w:rsidRPr="00E44FF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μήνα του προηγούμενου έτους.</w:t>
      </w:r>
    </w:p>
    <w:p w14:paraId="675DD474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1B1170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720F8BB8" w:rsidR="00AF5CC6" w:rsidRPr="001922DC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>ό τον Ιανουάριο του 20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26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AA4758"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αναθεωρήθηκαν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2D7490">
        <w:rPr>
          <w:rFonts w:ascii="Verdana" w:eastAsia="Malgun Gothic" w:hAnsi="Verdana" w:cs="Arial"/>
          <w:sz w:val="18"/>
          <w:szCs w:val="18"/>
          <w:lang w:val="el-GR"/>
        </w:rPr>
        <w:t>. Η αναθεώρηση βασίστηκε στα αποτελέσματα της Έρευνας Οικογενειακών Προϋπολογισμών 2</w:t>
      </w:r>
      <w:r w:rsidR="00CF608C" w:rsidRPr="00F06D07">
        <w:rPr>
          <w:rFonts w:ascii="Verdana" w:eastAsia="Malgun Gothic" w:hAnsi="Verdana" w:cs="Arial"/>
          <w:sz w:val="18"/>
          <w:szCs w:val="18"/>
          <w:lang w:val="el-GR"/>
        </w:rPr>
        <w:t>023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. Περισσότερες πληροφορίες είναι διαθέσιμες στον </w:t>
      </w:r>
      <w:proofErr w:type="spellStart"/>
      <w:r w:rsidR="00551B85">
        <w:rPr>
          <w:rFonts w:ascii="Verdana" w:eastAsia="Malgun Gothic" w:hAnsi="Verdana" w:cs="Arial"/>
          <w:sz w:val="18"/>
          <w:szCs w:val="18"/>
          <w:lang w:val="el-GR"/>
        </w:rPr>
        <w:t>ιστότοπο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Καταναλωτή.</w:t>
      </w:r>
    </w:p>
    <w:p w14:paraId="240BA12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C6FA4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05E0EF4" w14:textId="77777777" w:rsidR="00AF5CC6" w:rsidRPr="0092261A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7B8171AA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Πάφου.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πληθυσμό.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</w:t>
      </w:r>
      <w:r w:rsidR="00B24F95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: Λευκωσία 4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%. </w:t>
      </w:r>
    </w:p>
    <w:p w14:paraId="62D1C8B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2C5C94E3" w:rsidR="00AF5CC6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50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(π.χ. λαχανικά και φρούτα), τα κρέατα και τα καύσιμα, των οποίων οι τιμές συλλέγονται κάθε βδομάδα (κάθε Πέμπτη).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.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όρους.</w:t>
      </w:r>
    </w:p>
    <w:p w14:paraId="4F4F8D31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18240624" w:rsidR="00AF5CC6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υπολογίζονται βάσει των καταναλωτικών δαπανών (των νοικοκυριών και τουριστών), που πραγματοποιούνται στην οικονομική επικράτεια της χώρας.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</w:t>
      </w:r>
      <w:r w:rsidR="00B24F95">
        <w:rPr>
          <w:rFonts w:ascii="Verdana" w:eastAsia="Malgun Gothic" w:hAnsi="Verdana" w:cs="Arial"/>
          <w:sz w:val="18"/>
          <w:szCs w:val="18"/>
          <w:lang w:val="el-GR"/>
        </w:rPr>
        <w:t xml:space="preserve">ει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κανονισμ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</w:p>
    <w:p w14:paraId="2EA5216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7C9EEB28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77B06A78" w14:textId="77777777" w:rsidR="00FA5FDC" w:rsidRPr="00FA5FDC" w:rsidRDefault="00FA5FDC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5F1710F" w14:textId="596FF69F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</w:t>
      </w:r>
      <w:r w:rsidR="00AA4758" w:rsidRPr="00AA475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2016 μέχρι το</w:t>
      </w:r>
      <w:r w:rsidR="00B24F95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Δεκέμβριο του 2025 ήταν το 2015=100.</w:t>
      </w:r>
    </w:p>
    <w:p w14:paraId="5A8B22D7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6C47C81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AE93801" w14:textId="77777777" w:rsidR="00FA5FDC" w:rsidRPr="00FA5FDC" w:rsidRDefault="00FA5FDC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01661B8" w14:textId="009B52CE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υπολογιζόταν και δημοσιευόταν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και δημοσιεύεται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</w:t>
      </w:r>
      <w:r w:rsidR="003D7D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Το χαμηλότερο επίπεδο λεπτομέρειας για την ταξινόμηση ECOICOP ver.2 που χρησιμοποιείται στον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είναι τα πέντε ψηφία ανάλυσης.</w:t>
      </w:r>
    </w:p>
    <w:p w14:paraId="54D9FFF4" w14:textId="77777777" w:rsidR="008A2E77" w:rsidRPr="00C23701" w:rsidRDefault="008A2E77" w:rsidP="00AF5CC6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</w:p>
    <w:p w14:paraId="748D8D18" w14:textId="77777777" w:rsidR="008A2E77" w:rsidRPr="00BE4A4D" w:rsidRDefault="008A2E77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58F3AB3B" w14:textId="7A380EF5" w:rsidR="00AF5CC6" w:rsidRPr="00233F3C" w:rsidRDefault="00AF5CC6" w:rsidP="008A2E77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0237DE5" w14:textId="04F469A4" w:rsidR="00C35B86" w:rsidRPr="00B536D6" w:rsidRDefault="00C35B86" w:rsidP="00C35B86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begin"/>
      </w:r>
      <w:r w:rsidR="001C6728">
        <w:rPr>
          <w:rFonts w:ascii="Verdana" w:hAnsi="Verdana"/>
          <w:sz w:val="18"/>
          <w:szCs w:val="18"/>
          <w:lang w:val="el-GR"/>
        </w:rPr>
        <w:instrText>HYPERLINK "https://www.cystat.gov.cy/el/MethodologicalDetails?m=2359" \o "Μεθοδολογικές Πληροφορίες"</w:instrText>
      </w:r>
      <w:r w:rsidR="001C6728">
        <w:rPr>
          <w:rFonts w:ascii="Verdana" w:hAnsi="Verdana"/>
          <w:sz w:val="18"/>
          <w:szCs w:val="18"/>
          <w:lang w:val="el-GR"/>
        </w:rPr>
      </w:r>
      <w:r>
        <w:rPr>
          <w:rFonts w:ascii="Verdana" w:hAnsi="Verdana"/>
          <w:sz w:val="18"/>
          <w:szCs w:val="18"/>
          <w:lang w:val="el-GR"/>
        </w:rPr>
        <w:fldChar w:fldCharType="separate"/>
      </w:r>
      <w:r w:rsidRPr="00B536D6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</w:t>
      </w:r>
      <w:r w:rsidRPr="00B536D6">
        <w:rPr>
          <w:rStyle w:val="Hyperlink"/>
          <w:rFonts w:ascii="Verdana" w:hAnsi="Verdana"/>
          <w:sz w:val="18"/>
          <w:szCs w:val="18"/>
          <w:lang w:val="el-GR"/>
        </w:rPr>
        <w:t>ρίες</w:t>
      </w:r>
    </w:p>
    <w:p w14:paraId="0900F87C" w14:textId="4FBB7EF2" w:rsidR="008774AA" w:rsidRPr="003204B7" w:rsidRDefault="00C35B86" w:rsidP="008C47BF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end"/>
      </w:r>
      <w:hyperlink r:id="rId11" w:tooltip="Μεθοδολογικές Πληροφορίες" w:history="1"/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6F6B833E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3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Βίκης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    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2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486488A4" w14:textId="2CD5D3A4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3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0529C785" w14:textId="0A96DA3D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4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3"/>
    </w:p>
    <w:sectPr w:rsidR="001712CF" w:rsidRPr="00AF2BC9" w:rsidSect="00104370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BBC3" w14:textId="77777777" w:rsidR="00F446D3" w:rsidRDefault="00F446D3" w:rsidP="00FB398F">
      <w:r>
        <w:separator/>
      </w:r>
    </w:p>
  </w:endnote>
  <w:endnote w:type="continuationSeparator" w:id="0">
    <w:p w14:paraId="6EB8E075" w14:textId="77777777" w:rsidR="00F446D3" w:rsidRDefault="00F446D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F96" w14:textId="77777777" w:rsidR="004E4F42" w:rsidRPr="00555A0A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555A0A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555A0A">
      <w:rPr>
        <w:rFonts w:ascii="Verdana" w:hAnsi="Verdana" w:cs="Arial"/>
        <w:sz w:val="16"/>
        <w:szCs w:val="16"/>
        <w:lang w:val="el-GR"/>
      </w:rPr>
      <w:t>ήλ</w:t>
    </w:r>
    <w:r w:rsidRPr="00555A0A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16E06551" w14:textId="098DCACE" w:rsidR="004E4F42" w:rsidRPr="00555A0A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Τηλ</w:t>
    </w:r>
    <w:r w:rsidRPr="00FD2AF7">
      <w:rPr>
        <w:rFonts w:ascii="Verdana" w:hAnsi="Verdana" w:cs="Arial"/>
        <w:sz w:val="16"/>
        <w:szCs w:val="16"/>
        <w:lang w:val="el-GR"/>
      </w:rPr>
      <w:t>.: 22 602129,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="00555A0A" w:rsidRPr="00555A0A">
      <w:rPr>
        <w:rFonts w:ascii="Verdana" w:hAnsi="Verdana" w:cs="Arial"/>
        <w:sz w:val="16"/>
        <w:szCs w:val="16"/>
        <w:lang w:val="de-DE"/>
      </w:rPr>
      <w:t>Ηλ. Ταχ.</w:t>
    </w:r>
    <w:r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555A0A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555A0A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2FBA9DB0" w:rsidR="004E4F42" w:rsidRPr="00555A0A" w:rsidRDefault="00555A0A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Διαδικτυακή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Pr="00555A0A">
      <w:rPr>
        <w:rFonts w:ascii="Verdana" w:hAnsi="Verdana" w:cs="Arial"/>
        <w:sz w:val="16"/>
        <w:szCs w:val="16"/>
        <w:lang w:val="el-GR"/>
      </w:rPr>
      <w:t>Πύλη</w:t>
    </w:r>
    <w:r w:rsidR="004E4F42"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555A0A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555A0A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A4C1" w14:textId="77777777" w:rsidR="00F446D3" w:rsidRDefault="00F446D3" w:rsidP="00FB398F">
      <w:r>
        <w:separator/>
      </w:r>
    </w:p>
  </w:footnote>
  <w:footnote w:type="continuationSeparator" w:id="0">
    <w:p w14:paraId="705D4870" w14:textId="77777777" w:rsidR="00F446D3" w:rsidRDefault="00F446D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C038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FF80C91" wp14:editId="1A07032D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2DD1D74A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D10A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8A2E9" wp14:editId="567B5651">
              <wp:simplePos x="0" y="0"/>
              <wp:positionH relativeFrom="column">
                <wp:posOffset>3985260</wp:posOffset>
              </wp:positionH>
              <wp:positionV relativeFrom="paragraph">
                <wp:posOffset>102870</wp:posOffset>
              </wp:positionV>
              <wp:extent cx="2000250" cy="419100"/>
              <wp:effectExtent l="0" t="0" r="0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555A0A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8A2E9" id="Text Box 1" o:spid="_x0000_s1028" type="#_x0000_t202" style="position:absolute;margin-left:313.8pt;margin-top:8.1pt;width:15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" stroked="f">
              <v:textbox>
                <w:txbxContent>
                  <w:p w14:paraId="0BDC090A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555A0A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33194769" w:rsidR="004E4F42" w:rsidRPr="00555A0A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555A0A">
      <w:rPr>
        <w:rFonts w:ascii="Verdana" w:hAnsi="Verdana" w:cs="Arial"/>
        <w:bCs/>
        <w:sz w:val="20"/>
        <w:szCs w:val="20"/>
      </w:rPr>
      <w:t>ΚΥΠΡΙΑΚΗ ΔΗΜΟΚΡΑΤΙΑ</w:t>
    </w:r>
    <w:r w:rsidRPr="00555A0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555A0A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391563">
    <w:abstractNumId w:val="4"/>
  </w:num>
  <w:num w:numId="2" w16cid:durableId="1074477141">
    <w:abstractNumId w:val="1"/>
  </w:num>
  <w:num w:numId="3" w16cid:durableId="1361249385">
    <w:abstractNumId w:val="2"/>
  </w:num>
  <w:num w:numId="4" w16cid:durableId="1440567803">
    <w:abstractNumId w:val="3"/>
  </w:num>
  <w:num w:numId="5" w16cid:durableId="1455489493">
    <w:abstractNumId w:val="0"/>
  </w:num>
  <w:num w:numId="6" w16cid:durableId="171044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2CC5"/>
    <w:rsid w:val="000039A3"/>
    <w:rsid w:val="0000542E"/>
    <w:rsid w:val="00007254"/>
    <w:rsid w:val="00013E40"/>
    <w:rsid w:val="000156B4"/>
    <w:rsid w:val="000161B1"/>
    <w:rsid w:val="0002032F"/>
    <w:rsid w:val="000241BB"/>
    <w:rsid w:val="00025A39"/>
    <w:rsid w:val="00027853"/>
    <w:rsid w:val="00027D7D"/>
    <w:rsid w:val="000304A1"/>
    <w:rsid w:val="00030B4D"/>
    <w:rsid w:val="00030E18"/>
    <w:rsid w:val="00031D32"/>
    <w:rsid w:val="00033DEE"/>
    <w:rsid w:val="0003603D"/>
    <w:rsid w:val="00043B1E"/>
    <w:rsid w:val="00045088"/>
    <w:rsid w:val="00045A06"/>
    <w:rsid w:val="00047520"/>
    <w:rsid w:val="00047BA7"/>
    <w:rsid w:val="00050391"/>
    <w:rsid w:val="00051C7D"/>
    <w:rsid w:val="00054D3C"/>
    <w:rsid w:val="00055291"/>
    <w:rsid w:val="00055734"/>
    <w:rsid w:val="0005631A"/>
    <w:rsid w:val="000563D3"/>
    <w:rsid w:val="00057B87"/>
    <w:rsid w:val="00057E44"/>
    <w:rsid w:val="00061299"/>
    <w:rsid w:val="00065F22"/>
    <w:rsid w:val="00070576"/>
    <w:rsid w:val="000723AD"/>
    <w:rsid w:val="00074798"/>
    <w:rsid w:val="000752BB"/>
    <w:rsid w:val="00081ADF"/>
    <w:rsid w:val="00084A02"/>
    <w:rsid w:val="00084BF7"/>
    <w:rsid w:val="0008561E"/>
    <w:rsid w:val="000870E9"/>
    <w:rsid w:val="00090717"/>
    <w:rsid w:val="000916C7"/>
    <w:rsid w:val="000932CF"/>
    <w:rsid w:val="00096ED8"/>
    <w:rsid w:val="000A1781"/>
    <w:rsid w:val="000A1A88"/>
    <w:rsid w:val="000A2B5C"/>
    <w:rsid w:val="000A3601"/>
    <w:rsid w:val="000A47D3"/>
    <w:rsid w:val="000A615B"/>
    <w:rsid w:val="000A6FA8"/>
    <w:rsid w:val="000B37AC"/>
    <w:rsid w:val="000C1070"/>
    <w:rsid w:val="000C4E72"/>
    <w:rsid w:val="000C6DCC"/>
    <w:rsid w:val="000C73E0"/>
    <w:rsid w:val="000D1E7A"/>
    <w:rsid w:val="000D314F"/>
    <w:rsid w:val="000D33FB"/>
    <w:rsid w:val="000D3914"/>
    <w:rsid w:val="000E1C04"/>
    <w:rsid w:val="000E24B1"/>
    <w:rsid w:val="000E2735"/>
    <w:rsid w:val="000E32D6"/>
    <w:rsid w:val="000E3759"/>
    <w:rsid w:val="000E4CB0"/>
    <w:rsid w:val="000E57F2"/>
    <w:rsid w:val="000E7206"/>
    <w:rsid w:val="000E72A7"/>
    <w:rsid w:val="000E7FF2"/>
    <w:rsid w:val="000F1162"/>
    <w:rsid w:val="000F1F6D"/>
    <w:rsid w:val="000F2415"/>
    <w:rsid w:val="000F3467"/>
    <w:rsid w:val="000F38DE"/>
    <w:rsid w:val="000F532A"/>
    <w:rsid w:val="000F5D6C"/>
    <w:rsid w:val="000F601C"/>
    <w:rsid w:val="000F756B"/>
    <w:rsid w:val="00103851"/>
    <w:rsid w:val="00104370"/>
    <w:rsid w:val="00106852"/>
    <w:rsid w:val="00106F35"/>
    <w:rsid w:val="00110F9D"/>
    <w:rsid w:val="0011161B"/>
    <w:rsid w:val="001116EA"/>
    <w:rsid w:val="00114A67"/>
    <w:rsid w:val="00114DB4"/>
    <w:rsid w:val="00117523"/>
    <w:rsid w:val="00121E69"/>
    <w:rsid w:val="001253B6"/>
    <w:rsid w:val="00125E06"/>
    <w:rsid w:val="001262AC"/>
    <w:rsid w:val="001262C3"/>
    <w:rsid w:val="00127320"/>
    <w:rsid w:val="00127456"/>
    <w:rsid w:val="001312D8"/>
    <w:rsid w:val="0013137B"/>
    <w:rsid w:val="00131F3A"/>
    <w:rsid w:val="00137F0E"/>
    <w:rsid w:val="0015118B"/>
    <w:rsid w:val="001519CE"/>
    <w:rsid w:val="0015445A"/>
    <w:rsid w:val="0015494E"/>
    <w:rsid w:val="00160AE7"/>
    <w:rsid w:val="00160B48"/>
    <w:rsid w:val="00160D74"/>
    <w:rsid w:val="00161CF3"/>
    <w:rsid w:val="00162C00"/>
    <w:rsid w:val="001639EF"/>
    <w:rsid w:val="00163D60"/>
    <w:rsid w:val="00164C83"/>
    <w:rsid w:val="0016589F"/>
    <w:rsid w:val="00167549"/>
    <w:rsid w:val="00167D75"/>
    <w:rsid w:val="001712CF"/>
    <w:rsid w:val="00171AFE"/>
    <w:rsid w:val="00172185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2018"/>
    <w:rsid w:val="001A2238"/>
    <w:rsid w:val="001A34BF"/>
    <w:rsid w:val="001A3EE4"/>
    <w:rsid w:val="001A5B7C"/>
    <w:rsid w:val="001B1170"/>
    <w:rsid w:val="001B25A4"/>
    <w:rsid w:val="001B2C39"/>
    <w:rsid w:val="001B3675"/>
    <w:rsid w:val="001B5E10"/>
    <w:rsid w:val="001B6AB3"/>
    <w:rsid w:val="001B73D5"/>
    <w:rsid w:val="001C0681"/>
    <w:rsid w:val="001C27C0"/>
    <w:rsid w:val="001C62B3"/>
    <w:rsid w:val="001C6728"/>
    <w:rsid w:val="001C7C8C"/>
    <w:rsid w:val="001D0D6A"/>
    <w:rsid w:val="001D20A4"/>
    <w:rsid w:val="001E00D1"/>
    <w:rsid w:val="001E0E26"/>
    <w:rsid w:val="001E0E58"/>
    <w:rsid w:val="001E14F3"/>
    <w:rsid w:val="001E15ED"/>
    <w:rsid w:val="001E35EF"/>
    <w:rsid w:val="001E61AA"/>
    <w:rsid w:val="001E7F26"/>
    <w:rsid w:val="001F3FAD"/>
    <w:rsid w:val="001F72BF"/>
    <w:rsid w:val="00200657"/>
    <w:rsid w:val="002024AD"/>
    <w:rsid w:val="0020309E"/>
    <w:rsid w:val="002063AE"/>
    <w:rsid w:val="0020684A"/>
    <w:rsid w:val="00210B58"/>
    <w:rsid w:val="00216F9E"/>
    <w:rsid w:val="00222423"/>
    <w:rsid w:val="00225B28"/>
    <w:rsid w:val="00226891"/>
    <w:rsid w:val="00230D9B"/>
    <w:rsid w:val="002313AC"/>
    <w:rsid w:val="00233F37"/>
    <w:rsid w:val="00233F3C"/>
    <w:rsid w:val="00235FB2"/>
    <w:rsid w:val="00237B98"/>
    <w:rsid w:val="00237BC1"/>
    <w:rsid w:val="0024027B"/>
    <w:rsid w:val="002430B4"/>
    <w:rsid w:val="002443EB"/>
    <w:rsid w:val="002447D0"/>
    <w:rsid w:val="002454C5"/>
    <w:rsid w:val="00245E19"/>
    <w:rsid w:val="0024658B"/>
    <w:rsid w:val="00246AEB"/>
    <w:rsid w:val="00247E90"/>
    <w:rsid w:val="00250005"/>
    <w:rsid w:val="0025254F"/>
    <w:rsid w:val="0025566D"/>
    <w:rsid w:val="0025595C"/>
    <w:rsid w:val="00257149"/>
    <w:rsid w:val="002573AA"/>
    <w:rsid w:val="002576E7"/>
    <w:rsid w:val="00260357"/>
    <w:rsid w:val="00264F04"/>
    <w:rsid w:val="002658FA"/>
    <w:rsid w:val="00267554"/>
    <w:rsid w:val="002819EF"/>
    <w:rsid w:val="0028275A"/>
    <w:rsid w:val="0028338F"/>
    <w:rsid w:val="002834F6"/>
    <w:rsid w:val="002915C4"/>
    <w:rsid w:val="00297E6B"/>
    <w:rsid w:val="002A1D1C"/>
    <w:rsid w:val="002A4D64"/>
    <w:rsid w:val="002B3BC7"/>
    <w:rsid w:val="002B4969"/>
    <w:rsid w:val="002B6500"/>
    <w:rsid w:val="002B6554"/>
    <w:rsid w:val="002B7A07"/>
    <w:rsid w:val="002C21CB"/>
    <w:rsid w:val="002C42EC"/>
    <w:rsid w:val="002D05F0"/>
    <w:rsid w:val="002D2829"/>
    <w:rsid w:val="002D3334"/>
    <w:rsid w:val="002D39A6"/>
    <w:rsid w:val="002D3EE7"/>
    <w:rsid w:val="002D49AE"/>
    <w:rsid w:val="002D59F0"/>
    <w:rsid w:val="002D71B3"/>
    <w:rsid w:val="002D7D4A"/>
    <w:rsid w:val="002E3846"/>
    <w:rsid w:val="002E3F78"/>
    <w:rsid w:val="002F3208"/>
    <w:rsid w:val="002F400C"/>
    <w:rsid w:val="002F4D76"/>
    <w:rsid w:val="002F6D26"/>
    <w:rsid w:val="002F72E9"/>
    <w:rsid w:val="0030231E"/>
    <w:rsid w:val="003042C4"/>
    <w:rsid w:val="00304CB4"/>
    <w:rsid w:val="00307F8E"/>
    <w:rsid w:val="003104F0"/>
    <w:rsid w:val="00311522"/>
    <w:rsid w:val="003115FB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C36"/>
    <w:rsid w:val="00343815"/>
    <w:rsid w:val="003439A8"/>
    <w:rsid w:val="00351BEC"/>
    <w:rsid w:val="003522BB"/>
    <w:rsid w:val="00352F6C"/>
    <w:rsid w:val="00354B70"/>
    <w:rsid w:val="003556EA"/>
    <w:rsid w:val="00360B86"/>
    <w:rsid w:val="00361290"/>
    <w:rsid w:val="003613BF"/>
    <w:rsid w:val="00367DE9"/>
    <w:rsid w:val="00370333"/>
    <w:rsid w:val="00386FC7"/>
    <w:rsid w:val="003907E1"/>
    <w:rsid w:val="00390A32"/>
    <w:rsid w:val="003A1359"/>
    <w:rsid w:val="003A1E91"/>
    <w:rsid w:val="003A40F2"/>
    <w:rsid w:val="003A50D1"/>
    <w:rsid w:val="003B196D"/>
    <w:rsid w:val="003B2710"/>
    <w:rsid w:val="003B4608"/>
    <w:rsid w:val="003B5D25"/>
    <w:rsid w:val="003B6FD8"/>
    <w:rsid w:val="003B7C52"/>
    <w:rsid w:val="003C0411"/>
    <w:rsid w:val="003C2392"/>
    <w:rsid w:val="003C31EF"/>
    <w:rsid w:val="003C5174"/>
    <w:rsid w:val="003C5240"/>
    <w:rsid w:val="003C64E8"/>
    <w:rsid w:val="003C6FA4"/>
    <w:rsid w:val="003C76E6"/>
    <w:rsid w:val="003D05B3"/>
    <w:rsid w:val="003D14E0"/>
    <w:rsid w:val="003D17AA"/>
    <w:rsid w:val="003D1EA5"/>
    <w:rsid w:val="003D2DCC"/>
    <w:rsid w:val="003D3348"/>
    <w:rsid w:val="003D4E63"/>
    <w:rsid w:val="003D6822"/>
    <w:rsid w:val="003D724C"/>
    <w:rsid w:val="003D7DAE"/>
    <w:rsid w:val="003E0CE2"/>
    <w:rsid w:val="003E0CEB"/>
    <w:rsid w:val="003E1F51"/>
    <w:rsid w:val="003E5657"/>
    <w:rsid w:val="003E6210"/>
    <w:rsid w:val="003F49E4"/>
    <w:rsid w:val="003F4D2F"/>
    <w:rsid w:val="003F5E32"/>
    <w:rsid w:val="003F66A1"/>
    <w:rsid w:val="003F6F93"/>
    <w:rsid w:val="003F75F6"/>
    <w:rsid w:val="00404670"/>
    <w:rsid w:val="00414CA0"/>
    <w:rsid w:val="004164CC"/>
    <w:rsid w:val="00422F54"/>
    <w:rsid w:val="00431516"/>
    <w:rsid w:val="00433515"/>
    <w:rsid w:val="004361B3"/>
    <w:rsid w:val="00437E36"/>
    <w:rsid w:val="00437F41"/>
    <w:rsid w:val="0044249D"/>
    <w:rsid w:val="004429E8"/>
    <w:rsid w:val="0044379F"/>
    <w:rsid w:val="00444FCC"/>
    <w:rsid w:val="00446FB1"/>
    <w:rsid w:val="004472D6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2E4"/>
    <w:rsid w:val="00470FF1"/>
    <w:rsid w:val="00471D77"/>
    <w:rsid w:val="00475587"/>
    <w:rsid w:val="00476116"/>
    <w:rsid w:val="00476CB0"/>
    <w:rsid w:val="00480BC2"/>
    <w:rsid w:val="00482EDC"/>
    <w:rsid w:val="004845C3"/>
    <w:rsid w:val="004870FD"/>
    <w:rsid w:val="004929C2"/>
    <w:rsid w:val="00493FDD"/>
    <w:rsid w:val="0049586B"/>
    <w:rsid w:val="004962BF"/>
    <w:rsid w:val="004966BA"/>
    <w:rsid w:val="004A3E44"/>
    <w:rsid w:val="004B064C"/>
    <w:rsid w:val="004B2018"/>
    <w:rsid w:val="004B2896"/>
    <w:rsid w:val="004B326A"/>
    <w:rsid w:val="004B38E9"/>
    <w:rsid w:val="004B3E5A"/>
    <w:rsid w:val="004B3FBA"/>
    <w:rsid w:val="004B6599"/>
    <w:rsid w:val="004C2B79"/>
    <w:rsid w:val="004C5A97"/>
    <w:rsid w:val="004C6CA7"/>
    <w:rsid w:val="004D133A"/>
    <w:rsid w:val="004D30FD"/>
    <w:rsid w:val="004D4357"/>
    <w:rsid w:val="004D4950"/>
    <w:rsid w:val="004D6F6C"/>
    <w:rsid w:val="004D7614"/>
    <w:rsid w:val="004E0E32"/>
    <w:rsid w:val="004E2393"/>
    <w:rsid w:val="004E258E"/>
    <w:rsid w:val="004E3630"/>
    <w:rsid w:val="004E3745"/>
    <w:rsid w:val="004E3A6B"/>
    <w:rsid w:val="004E3BAD"/>
    <w:rsid w:val="004E42BE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5503"/>
    <w:rsid w:val="0051107B"/>
    <w:rsid w:val="00512F9C"/>
    <w:rsid w:val="00513EA9"/>
    <w:rsid w:val="00526BFC"/>
    <w:rsid w:val="00527CDB"/>
    <w:rsid w:val="0053358E"/>
    <w:rsid w:val="005341C9"/>
    <w:rsid w:val="00534CD1"/>
    <w:rsid w:val="00535D01"/>
    <w:rsid w:val="005369CA"/>
    <w:rsid w:val="00536DE9"/>
    <w:rsid w:val="00541E08"/>
    <w:rsid w:val="005425F7"/>
    <w:rsid w:val="00545FD8"/>
    <w:rsid w:val="0055006C"/>
    <w:rsid w:val="00550824"/>
    <w:rsid w:val="00551328"/>
    <w:rsid w:val="00551B85"/>
    <w:rsid w:val="005544D8"/>
    <w:rsid w:val="00554FE0"/>
    <w:rsid w:val="00555A0A"/>
    <w:rsid w:val="00556564"/>
    <w:rsid w:val="0055789A"/>
    <w:rsid w:val="00560952"/>
    <w:rsid w:val="00565109"/>
    <w:rsid w:val="005652D1"/>
    <w:rsid w:val="005653F5"/>
    <w:rsid w:val="005660A0"/>
    <w:rsid w:val="00566A4F"/>
    <w:rsid w:val="00566ACF"/>
    <w:rsid w:val="00567D64"/>
    <w:rsid w:val="00573DC8"/>
    <w:rsid w:val="00574A48"/>
    <w:rsid w:val="00574DDF"/>
    <w:rsid w:val="00590727"/>
    <w:rsid w:val="005923C4"/>
    <w:rsid w:val="00594514"/>
    <w:rsid w:val="005947E1"/>
    <w:rsid w:val="00594A83"/>
    <w:rsid w:val="0059552E"/>
    <w:rsid w:val="005978D4"/>
    <w:rsid w:val="005A0A20"/>
    <w:rsid w:val="005A23FA"/>
    <w:rsid w:val="005A27EE"/>
    <w:rsid w:val="005A2E13"/>
    <w:rsid w:val="005A55DC"/>
    <w:rsid w:val="005A587B"/>
    <w:rsid w:val="005A7282"/>
    <w:rsid w:val="005A79C1"/>
    <w:rsid w:val="005B2A67"/>
    <w:rsid w:val="005B3DCD"/>
    <w:rsid w:val="005B4AD4"/>
    <w:rsid w:val="005C2798"/>
    <w:rsid w:val="005C2ECE"/>
    <w:rsid w:val="005C36C3"/>
    <w:rsid w:val="005C380F"/>
    <w:rsid w:val="005C4C32"/>
    <w:rsid w:val="005C56EE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601542"/>
    <w:rsid w:val="00601870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4052"/>
    <w:rsid w:val="00617316"/>
    <w:rsid w:val="0062327B"/>
    <w:rsid w:val="006240C2"/>
    <w:rsid w:val="006320B4"/>
    <w:rsid w:val="00632777"/>
    <w:rsid w:val="00633750"/>
    <w:rsid w:val="00634491"/>
    <w:rsid w:val="00634639"/>
    <w:rsid w:val="0063546B"/>
    <w:rsid w:val="0063679C"/>
    <w:rsid w:val="00637055"/>
    <w:rsid w:val="006418B6"/>
    <w:rsid w:val="00641D59"/>
    <w:rsid w:val="00644507"/>
    <w:rsid w:val="00646880"/>
    <w:rsid w:val="00646CC7"/>
    <w:rsid w:val="00647D2A"/>
    <w:rsid w:val="0065263A"/>
    <w:rsid w:val="006537BB"/>
    <w:rsid w:val="0065643E"/>
    <w:rsid w:val="0066103D"/>
    <w:rsid w:val="006625B2"/>
    <w:rsid w:val="00663CA9"/>
    <w:rsid w:val="00667C0B"/>
    <w:rsid w:val="00667E07"/>
    <w:rsid w:val="006706E8"/>
    <w:rsid w:val="00671785"/>
    <w:rsid w:val="00671D9E"/>
    <w:rsid w:val="00672BA9"/>
    <w:rsid w:val="00673005"/>
    <w:rsid w:val="00674681"/>
    <w:rsid w:val="006800D1"/>
    <w:rsid w:val="006804BE"/>
    <w:rsid w:val="006813A4"/>
    <w:rsid w:val="00681EED"/>
    <w:rsid w:val="00683456"/>
    <w:rsid w:val="0068434A"/>
    <w:rsid w:val="00686514"/>
    <w:rsid w:val="0069008E"/>
    <w:rsid w:val="0069087E"/>
    <w:rsid w:val="006925C4"/>
    <w:rsid w:val="006929D3"/>
    <w:rsid w:val="006A02B7"/>
    <w:rsid w:val="006A46B9"/>
    <w:rsid w:val="006A7019"/>
    <w:rsid w:val="006A75E1"/>
    <w:rsid w:val="006B2083"/>
    <w:rsid w:val="006B46D5"/>
    <w:rsid w:val="006B46F4"/>
    <w:rsid w:val="006C11F9"/>
    <w:rsid w:val="006C3D86"/>
    <w:rsid w:val="006C5303"/>
    <w:rsid w:val="006C7AF3"/>
    <w:rsid w:val="006D0B9D"/>
    <w:rsid w:val="006D6548"/>
    <w:rsid w:val="006D66C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3E09"/>
    <w:rsid w:val="006F4DD2"/>
    <w:rsid w:val="006F5486"/>
    <w:rsid w:val="006F64F6"/>
    <w:rsid w:val="007012C2"/>
    <w:rsid w:val="00702F26"/>
    <w:rsid w:val="0070313E"/>
    <w:rsid w:val="00703799"/>
    <w:rsid w:val="00704AF7"/>
    <w:rsid w:val="00705C5C"/>
    <w:rsid w:val="007108E9"/>
    <w:rsid w:val="00711475"/>
    <w:rsid w:val="00712F06"/>
    <w:rsid w:val="00714E22"/>
    <w:rsid w:val="00716DC7"/>
    <w:rsid w:val="00721C1B"/>
    <w:rsid w:val="0072446D"/>
    <w:rsid w:val="0072548A"/>
    <w:rsid w:val="00726473"/>
    <w:rsid w:val="007273B3"/>
    <w:rsid w:val="007277A6"/>
    <w:rsid w:val="0074243C"/>
    <w:rsid w:val="007437AB"/>
    <w:rsid w:val="00745425"/>
    <w:rsid w:val="007534F8"/>
    <w:rsid w:val="007545AD"/>
    <w:rsid w:val="00760C30"/>
    <w:rsid w:val="00762DA1"/>
    <w:rsid w:val="00763722"/>
    <w:rsid w:val="007645E4"/>
    <w:rsid w:val="00764BC1"/>
    <w:rsid w:val="0076654B"/>
    <w:rsid w:val="00770869"/>
    <w:rsid w:val="007738AA"/>
    <w:rsid w:val="007776A8"/>
    <w:rsid w:val="00780A62"/>
    <w:rsid w:val="00783241"/>
    <w:rsid w:val="007840E5"/>
    <w:rsid w:val="00784BDC"/>
    <w:rsid w:val="007863D6"/>
    <w:rsid w:val="007903FF"/>
    <w:rsid w:val="007909F8"/>
    <w:rsid w:val="00791479"/>
    <w:rsid w:val="00792F28"/>
    <w:rsid w:val="007935CA"/>
    <w:rsid w:val="0079543F"/>
    <w:rsid w:val="00795880"/>
    <w:rsid w:val="00796ABC"/>
    <w:rsid w:val="0079784F"/>
    <w:rsid w:val="007A3035"/>
    <w:rsid w:val="007A4367"/>
    <w:rsid w:val="007A496F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C4CDC"/>
    <w:rsid w:val="007C70C9"/>
    <w:rsid w:val="007D7083"/>
    <w:rsid w:val="007D7B57"/>
    <w:rsid w:val="007E041B"/>
    <w:rsid w:val="007E06D7"/>
    <w:rsid w:val="007E189D"/>
    <w:rsid w:val="007E199A"/>
    <w:rsid w:val="007E1AED"/>
    <w:rsid w:val="007E2415"/>
    <w:rsid w:val="007E39F3"/>
    <w:rsid w:val="007E3B04"/>
    <w:rsid w:val="007E405E"/>
    <w:rsid w:val="007E68F4"/>
    <w:rsid w:val="007E6DE2"/>
    <w:rsid w:val="007F0964"/>
    <w:rsid w:val="007F1828"/>
    <w:rsid w:val="007F31BA"/>
    <w:rsid w:val="007F4078"/>
    <w:rsid w:val="007F5FBB"/>
    <w:rsid w:val="007F68DD"/>
    <w:rsid w:val="0080014B"/>
    <w:rsid w:val="008013F2"/>
    <w:rsid w:val="00801793"/>
    <w:rsid w:val="00803642"/>
    <w:rsid w:val="00803D1C"/>
    <w:rsid w:val="00806EA2"/>
    <w:rsid w:val="00810419"/>
    <w:rsid w:val="00812A2B"/>
    <w:rsid w:val="00813A56"/>
    <w:rsid w:val="00814A4C"/>
    <w:rsid w:val="0082105F"/>
    <w:rsid w:val="00822B64"/>
    <w:rsid w:val="00825D66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90A"/>
    <w:rsid w:val="0084157B"/>
    <w:rsid w:val="00842BFB"/>
    <w:rsid w:val="008432B2"/>
    <w:rsid w:val="00846B85"/>
    <w:rsid w:val="00847DC3"/>
    <w:rsid w:val="00847F49"/>
    <w:rsid w:val="00850F43"/>
    <w:rsid w:val="0085234C"/>
    <w:rsid w:val="008535C5"/>
    <w:rsid w:val="00853765"/>
    <w:rsid w:val="0085516F"/>
    <w:rsid w:val="00856A74"/>
    <w:rsid w:val="0086184D"/>
    <w:rsid w:val="008629A4"/>
    <w:rsid w:val="008634D3"/>
    <w:rsid w:val="00864F80"/>
    <w:rsid w:val="008652AD"/>
    <w:rsid w:val="00867186"/>
    <w:rsid w:val="00870AF6"/>
    <w:rsid w:val="00871E9E"/>
    <w:rsid w:val="00875215"/>
    <w:rsid w:val="0087652F"/>
    <w:rsid w:val="00877452"/>
    <w:rsid w:val="008774AA"/>
    <w:rsid w:val="00881268"/>
    <w:rsid w:val="00881779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964EE"/>
    <w:rsid w:val="008A0596"/>
    <w:rsid w:val="008A2050"/>
    <w:rsid w:val="008A20B0"/>
    <w:rsid w:val="008A256D"/>
    <w:rsid w:val="008A2DAD"/>
    <w:rsid w:val="008A2E77"/>
    <w:rsid w:val="008B0E7E"/>
    <w:rsid w:val="008B1B73"/>
    <w:rsid w:val="008B65BD"/>
    <w:rsid w:val="008B75DE"/>
    <w:rsid w:val="008B7900"/>
    <w:rsid w:val="008C03B7"/>
    <w:rsid w:val="008C47BF"/>
    <w:rsid w:val="008C71BF"/>
    <w:rsid w:val="008C7FE0"/>
    <w:rsid w:val="008D1875"/>
    <w:rsid w:val="008D37BC"/>
    <w:rsid w:val="008D4005"/>
    <w:rsid w:val="008D5717"/>
    <w:rsid w:val="008D5DDD"/>
    <w:rsid w:val="008E44A9"/>
    <w:rsid w:val="008E5324"/>
    <w:rsid w:val="008E6B4D"/>
    <w:rsid w:val="008E6BFF"/>
    <w:rsid w:val="008E7084"/>
    <w:rsid w:val="008F10D2"/>
    <w:rsid w:val="008F21AF"/>
    <w:rsid w:val="008F2400"/>
    <w:rsid w:val="008F5AB5"/>
    <w:rsid w:val="008F5C37"/>
    <w:rsid w:val="008F61BA"/>
    <w:rsid w:val="008F6E3C"/>
    <w:rsid w:val="008F7C55"/>
    <w:rsid w:val="0090115E"/>
    <w:rsid w:val="009014B1"/>
    <w:rsid w:val="00914A23"/>
    <w:rsid w:val="00917621"/>
    <w:rsid w:val="009177FE"/>
    <w:rsid w:val="00922253"/>
    <w:rsid w:val="0092261A"/>
    <w:rsid w:val="0092530F"/>
    <w:rsid w:val="00930754"/>
    <w:rsid w:val="0093325D"/>
    <w:rsid w:val="00934F68"/>
    <w:rsid w:val="009355A9"/>
    <w:rsid w:val="009355AC"/>
    <w:rsid w:val="00935F38"/>
    <w:rsid w:val="00937586"/>
    <w:rsid w:val="009375B8"/>
    <w:rsid w:val="0094203D"/>
    <w:rsid w:val="00947889"/>
    <w:rsid w:val="009478BD"/>
    <w:rsid w:val="00954469"/>
    <w:rsid w:val="00957563"/>
    <w:rsid w:val="009604E1"/>
    <w:rsid w:val="00960E98"/>
    <w:rsid w:val="00961BFB"/>
    <w:rsid w:val="00962B09"/>
    <w:rsid w:val="00963346"/>
    <w:rsid w:val="00963602"/>
    <w:rsid w:val="00963A82"/>
    <w:rsid w:val="00966AC3"/>
    <w:rsid w:val="00970822"/>
    <w:rsid w:val="00972912"/>
    <w:rsid w:val="00974090"/>
    <w:rsid w:val="00976D1F"/>
    <w:rsid w:val="009773EF"/>
    <w:rsid w:val="00981C81"/>
    <w:rsid w:val="00984322"/>
    <w:rsid w:val="00997147"/>
    <w:rsid w:val="00997CFB"/>
    <w:rsid w:val="009A2D24"/>
    <w:rsid w:val="009A456C"/>
    <w:rsid w:val="009A459F"/>
    <w:rsid w:val="009B00E0"/>
    <w:rsid w:val="009B292A"/>
    <w:rsid w:val="009B76D5"/>
    <w:rsid w:val="009C165D"/>
    <w:rsid w:val="009C167F"/>
    <w:rsid w:val="009C3CEA"/>
    <w:rsid w:val="009C583D"/>
    <w:rsid w:val="009D2611"/>
    <w:rsid w:val="009D79D2"/>
    <w:rsid w:val="009E247C"/>
    <w:rsid w:val="009E31BA"/>
    <w:rsid w:val="009E502E"/>
    <w:rsid w:val="009E53EB"/>
    <w:rsid w:val="009F0528"/>
    <w:rsid w:val="009F06C6"/>
    <w:rsid w:val="009F0806"/>
    <w:rsid w:val="009F1B07"/>
    <w:rsid w:val="009F233B"/>
    <w:rsid w:val="00A05D16"/>
    <w:rsid w:val="00A0659F"/>
    <w:rsid w:val="00A079BA"/>
    <w:rsid w:val="00A10486"/>
    <w:rsid w:val="00A10B0D"/>
    <w:rsid w:val="00A14BA4"/>
    <w:rsid w:val="00A14E8C"/>
    <w:rsid w:val="00A20C70"/>
    <w:rsid w:val="00A33875"/>
    <w:rsid w:val="00A360A1"/>
    <w:rsid w:val="00A402B3"/>
    <w:rsid w:val="00A40C14"/>
    <w:rsid w:val="00A5268A"/>
    <w:rsid w:val="00A544B7"/>
    <w:rsid w:val="00A5497B"/>
    <w:rsid w:val="00A5508D"/>
    <w:rsid w:val="00A55D89"/>
    <w:rsid w:val="00A618CF"/>
    <w:rsid w:val="00A62770"/>
    <w:rsid w:val="00A62EEB"/>
    <w:rsid w:val="00A660FF"/>
    <w:rsid w:val="00A6685F"/>
    <w:rsid w:val="00A73395"/>
    <w:rsid w:val="00A75A50"/>
    <w:rsid w:val="00A771E3"/>
    <w:rsid w:val="00A77C83"/>
    <w:rsid w:val="00A812C0"/>
    <w:rsid w:val="00A81C4F"/>
    <w:rsid w:val="00A82207"/>
    <w:rsid w:val="00A823EA"/>
    <w:rsid w:val="00A82B4C"/>
    <w:rsid w:val="00A863B5"/>
    <w:rsid w:val="00A86D38"/>
    <w:rsid w:val="00A86E2B"/>
    <w:rsid w:val="00A877A7"/>
    <w:rsid w:val="00A92E04"/>
    <w:rsid w:val="00A93A4C"/>
    <w:rsid w:val="00A94D5D"/>
    <w:rsid w:val="00A95C76"/>
    <w:rsid w:val="00AA1D9B"/>
    <w:rsid w:val="00AA2543"/>
    <w:rsid w:val="00AA3804"/>
    <w:rsid w:val="00AA4758"/>
    <w:rsid w:val="00AA5052"/>
    <w:rsid w:val="00AA53EE"/>
    <w:rsid w:val="00AA55C2"/>
    <w:rsid w:val="00AB0ACA"/>
    <w:rsid w:val="00AB1D41"/>
    <w:rsid w:val="00AB2973"/>
    <w:rsid w:val="00AB58B3"/>
    <w:rsid w:val="00AB60B5"/>
    <w:rsid w:val="00AC27A7"/>
    <w:rsid w:val="00AC5E9A"/>
    <w:rsid w:val="00AC6383"/>
    <w:rsid w:val="00AC704B"/>
    <w:rsid w:val="00AD553E"/>
    <w:rsid w:val="00AD5848"/>
    <w:rsid w:val="00AD5897"/>
    <w:rsid w:val="00AD77F9"/>
    <w:rsid w:val="00AD7EB0"/>
    <w:rsid w:val="00AD7FDB"/>
    <w:rsid w:val="00AE5ADA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233A8"/>
    <w:rsid w:val="00B24F95"/>
    <w:rsid w:val="00B30D97"/>
    <w:rsid w:val="00B31074"/>
    <w:rsid w:val="00B3181A"/>
    <w:rsid w:val="00B33515"/>
    <w:rsid w:val="00B35A7C"/>
    <w:rsid w:val="00B446E0"/>
    <w:rsid w:val="00B44ECD"/>
    <w:rsid w:val="00B450D1"/>
    <w:rsid w:val="00B526A7"/>
    <w:rsid w:val="00B536D6"/>
    <w:rsid w:val="00B53D47"/>
    <w:rsid w:val="00B54A25"/>
    <w:rsid w:val="00B54B8E"/>
    <w:rsid w:val="00B552F8"/>
    <w:rsid w:val="00B56410"/>
    <w:rsid w:val="00B60326"/>
    <w:rsid w:val="00B6077B"/>
    <w:rsid w:val="00B618C3"/>
    <w:rsid w:val="00B622B2"/>
    <w:rsid w:val="00B63652"/>
    <w:rsid w:val="00B65199"/>
    <w:rsid w:val="00B668B0"/>
    <w:rsid w:val="00B70F5C"/>
    <w:rsid w:val="00B71873"/>
    <w:rsid w:val="00B736B8"/>
    <w:rsid w:val="00B75AE5"/>
    <w:rsid w:val="00B800C0"/>
    <w:rsid w:val="00B8132B"/>
    <w:rsid w:val="00B8295C"/>
    <w:rsid w:val="00B84C5A"/>
    <w:rsid w:val="00B858F5"/>
    <w:rsid w:val="00B876BD"/>
    <w:rsid w:val="00B93668"/>
    <w:rsid w:val="00B94428"/>
    <w:rsid w:val="00B94A8F"/>
    <w:rsid w:val="00B9580C"/>
    <w:rsid w:val="00B97077"/>
    <w:rsid w:val="00B974FA"/>
    <w:rsid w:val="00B97650"/>
    <w:rsid w:val="00BA68C6"/>
    <w:rsid w:val="00BB12F1"/>
    <w:rsid w:val="00BB15BC"/>
    <w:rsid w:val="00BB276E"/>
    <w:rsid w:val="00BB3FEE"/>
    <w:rsid w:val="00BB5EB0"/>
    <w:rsid w:val="00BC00EC"/>
    <w:rsid w:val="00BC08F1"/>
    <w:rsid w:val="00BC245A"/>
    <w:rsid w:val="00BD16FA"/>
    <w:rsid w:val="00BD41C3"/>
    <w:rsid w:val="00BD488B"/>
    <w:rsid w:val="00BD5F9B"/>
    <w:rsid w:val="00BD654A"/>
    <w:rsid w:val="00BD7CCC"/>
    <w:rsid w:val="00BE002A"/>
    <w:rsid w:val="00BE0283"/>
    <w:rsid w:val="00BE1BC9"/>
    <w:rsid w:val="00BE5CDA"/>
    <w:rsid w:val="00BE608F"/>
    <w:rsid w:val="00BE6E22"/>
    <w:rsid w:val="00BE75B6"/>
    <w:rsid w:val="00BF23BB"/>
    <w:rsid w:val="00BF33DD"/>
    <w:rsid w:val="00BF5755"/>
    <w:rsid w:val="00BF684B"/>
    <w:rsid w:val="00C016F3"/>
    <w:rsid w:val="00C07136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B86"/>
    <w:rsid w:val="00C35E28"/>
    <w:rsid w:val="00C426AF"/>
    <w:rsid w:val="00C469C1"/>
    <w:rsid w:val="00C47973"/>
    <w:rsid w:val="00C50659"/>
    <w:rsid w:val="00C51B39"/>
    <w:rsid w:val="00C52963"/>
    <w:rsid w:val="00C5332F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2FCC"/>
    <w:rsid w:val="00C63D0D"/>
    <w:rsid w:val="00C64C6B"/>
    <w:rsid w:val="00C6588D"/>
    <w:rsid w:val="00C66F2E"/>
    <w:rsid w:val="00C6785C"/>
    <w:rsid w:val="00C7028B"/>
    <w:rsid w:val="00C70FD1"/>
    <w:rsid w:val="00C72B76"/>
    <w:rsid w:val="00C733AA"/>
    <w:rsid w:val="00C7637F"/>
    <w:rsid w:val="00C8234B"/>
    <w:rsid w:val="00C83027"/>
    <w:rsid w:val="00C84B8A"/>
    <w:rsid w:val="00C85E65"/>
    <w:rsid w:val="00C87CA1"/>
    <w:rsid w:val="00C911B4"/>
    <w:rsid w:val="00C91A44"/>
    <w:rsid w:val="00C91B3B"/>
    <w:rsid w:val="00C94262"/>
    <w:rsid w:val="00C9461D"/>
    <w:rsid w:val="00C95A92"/>
    <w:rsid w:val="00C976E1"/>
    <w:rsid w:val="00CA148E"/>
    <w:rsid w:val="00CA15C6"/>
    <w:rsid w:val="00CA3A9A"/>
    <w:rsid w:val="00CA52DB"/>
    <w:rsid w:val="00CA61C5"/>
    <w:rsid w:val="00CA78FA"/>
    <w:rsid w:val="00CB16C2"/>
    <w:rsid w:val="00CB1CFC"/>
    <w:rsid w:val="00CB6855"/>
    <w:rsid w:val="00CB6BC1"/>
    <w:rsid w:val="00CB7021"/>
    <w:rsid w:val="00CD0876"/>
    <w:rsid w:val="00CD2498"/>
    <w:rsid w:val="00CD305D"/>
    <w:rsid w:val="00CD3294"/>
    <w:rsid w:val="00CD3630"/>
    <w:rsid w:val="00CD4524"/>
    <w:rsid w:val="00CD784D"/>
    <w:rsid w:val="00CF3A1C"/>
    <w:rsid w:val="00CF40F8"/>
    <w:rsid w:val="00CF544B"/>
    <w:rsid w:val="00CF608C"/>
    <w:rsid w:val="00CF6799"/>
    <w:rsid w:val="00CF77B5"/>
    <w:rsid w:val="00D008DA"/>
    <w:rsid w:val="00D019EE"/>
    <w:rsid w:val="00D0416F"/>
    <w:rsid w:val="00D05517"/>
    <w:rsid w:val="00D055D6"/>
    <w:rsid w:val="00D05851"/>
    <w:rsid w:val="00D0644C"/>
    <w:rsid w:val="00D10FED"/>
    <w:rsid w:val="00D11736"/>
    <w:rsid w:val="00D12EE8"/>
    <w:rsid w:val="00D14CDF"/>
    <w:rsid w:val="00D15FF1"/>
    <w:rsid w:val="00D167F4"/>
    <w:rsid w:val="00D2092A"/>
    <w:rsid w:val="00D2216D"/>
    <w:rsid w:val="00D23079"/>
    <w:rsid w:val="00D25352"/>
    <w:rsid w:val="00D3063B"/>
    <w:rsid w:val="00D30D96"/>
    <w:rsid w:val="00D31A6F"/>
    <w:rsid w:val="00D35328"/>
    <w:rsid w:val="00D353D1"/>
    <w:rsid w:val="00D367DB"/>
    <w:rsid w:val="00D36E05"/>
    <w:rsid w:val="00D408F4"/>
    <w:rsid w:val="00D40C49"/>
    <w:rsid w:val="00D413D6"/>
    <w:rsid w:val="00D43977"/>
    <w:rsid w:val="00D44AC9"/>
    <w:rsid w:val="00D44F27"/>
    <w:rsid w:val="00D45304"/>
    <w:rsid w:val="00D46165"/>
    <w:rsid w:val="00D461C7"/>
    <w:rsid w:val="00D46830"/>
    <w:rsid w:val="00D50424"/>
    <w:rsid w:val="00D5081E"/>
    <w:rsid w:val="00D525C9"/>
    <w:rsid w:val="00D53105"/>
    <w:rsid w:val="00D57C9A"/>
    <w:rsid w:val="00D57D3E"/>
    <w:rsid w:val="00D633F7"/>
    <w:rsid w:val="00D655F8"/>
    <w:rsid w:val="00D67F50"/>
    <w:rsid w:val="00D76249"/>
    <w:rsid w:val="00D849D4"/>
    <w:rsid w:val="00D8737C"/>
    <w:rsid w:val="00D90284"/>
    <w:rsid w:val="00D95D17"/>
    <w:rsid w:val="00D977FD"/>
    <w:rsid w:val="00DA1633"/>
    <w:rsid w:val="00DA1B90"/>
    <w:rsid w:val="00DA38A7"/>
    <w:rsid w:val="00DA7D12"/>
    <w:rsid w:val="00DB1B7A"/>
    <w:rsid w:val="00DB23ED"/>
    <w:rsid w:val="00DB51F3"/>
    <w:rsid w:val="00DB7BEB"/>
    <w:rsid w:val="00DC23CF"/>
    <w:rsid w:val="00DC3E25"/>
    <w:rsid w:val="00DC6562"/>
    <w:rsid w:val="00DD40E1"/>
    <w:rsid w:val="00DD6455"/>
    <w:rsid w:val="00DE1263"/>
    <w:rsid w:val="00DE130D"/>
    <w:rsid w:val="00DE24CF"/>
    <w:rsid w:val="00DE2F1E"/>
    <w:rsid w:val="00DE407C"/>
    <w:rsid w:val="00DE7C7D"/>
    <w:rsid w:val="00DF2992"/>
    <w:rsid w:val="00DF2D0C"/>
    <w:rsid w:val="00DF7F99"/>
    <w:rsid w:val="00E00058"/>
    <w:rsid w:val="00E01B9D"/>
    <w:rsid w:val="00E0468F"/>
    <w:rsid w:val="00E04F5E"/>
    <w:rsid w:val="00E050AF"/>
    <w:rsid w:val="00E0522E"/>
    <w:rsid w:val="00E114B9"/>
    <w:rsid w:val="00E120F4"/>
    <w:rsid w:val="00E17172"/>
    <w:rsid w:val="00E23E6F"/>
    <w:rsid w:val="00E24491"/>
    <w:rsid w:val="00E2525D"/>
    <w:rsid w:val="00E30282"/>
    <w:rsid w:val="00E3181C"/>
    <w:rsid w:val="00E32603"/>
    <w:rsid w:val="00E3280A"/>
    <w:rsid w:val="00E35299"/>
    <w:rsid w:val="00E372AF"/>
    <w:rsid w:val="00E37D68"/>
    <w:rsid w:val="00E40EAE"/>
    <w:rsid w:val="00E41C80"/>
    <w:rsid w:val="00E436AC"/>
    <w:rsid w:val="00E44F7A"/>
    <w:rsid w:val="00E44FF8"/>
    <w:rsid w:val="00E470FA"/>
    <w:rsid w:val="00E5066A"/>
    <w:rsid w:val="00E52CF9"/>
    <w:rsid w:val="00E61A5F"/>
    <w:rsid w:val="00E63F34"/>
    <w:rsid w:val="00E63FEA"/>
    <w:rsid w:val="00E6644A"/>
    <w:rsid w:val="00E66F21"/>
    <w:rsid w:val="00E6715A"/>
    <w:rsid w:val="00E70396"/>
    <w:rsid w:val="00E749E5"/>
    <w:rsid w:val="00E74ACD"/>
    <w:rsid w:val="00E75DC9"/>
    <w:rsid w:val="00E7685F"/>
    <w:rsid w:val="00E81610"/>
    <w:rsid w:val="00E83B6C"/>
    <w:rsid w:val="00E84910"/>
    <w:rsid w:val="00E85B28"/>
    <w:rsid w:val="00E91976"/>
    <w:rsid w:val="00E93D88"/>
    <w:rsid w:val="00E947A6"/>
    <w:rsid w:val="00E94F43"/>
    <w:rsid w:val="00E95616"/>
    <w:rsid w:val="00E97A4A"/>
    <w:rsid w:val="00E97FC7"/>
    <w:rsid w:val="00EA0690"/>
    <w:rsid w:val="00EA38A7"/>
    <w:rsid w:val="00EA3956"/>
    <w:rsid w:val="00EA7136"/>
    <w:rsid w:val="00EB0D30"/>
    <w:rsid w:val="00EB2259"/>
    <w:rsid w:val="00EB28BF"/>
    <w:rsid w:val="00EB3000"/>
    <w:rsid w:val="00EB325A"/>
    <w:rsid w:val="00EB5A3F"/>
    <w:rsid w:val="00EC02A5"/>
    <w:rsid w:val="00EC176B"/>
    <w:rsid w:val="00EC2793"/>
    <w:rsid w:val="00EC33CD"/>
    <w:rsid w:val="00EC5BE5"/>
    <w:rsid w:val="00EC6904"/>
    <w:rsid w:val="00ED1261"/>
    <w:rsid w:val="00ED2650"/>
    <w:rsid w:val="00ED396A"/>
    <w:rsid w:val="00ED6DF8"/>
    <w:rsid w:val="00ED721A"/>
    <w:rsid w:val="00EE393D"/>
    <w:rsid w:val="00EE4744"/>
    <w:rsid w:val="00EF01CF"/>
    <w:rsid w:val="00EF5E63"/>
    <w:rsid w:val="00EF65D3"/>
    <w:rsid w:val="00EF6A47"/>
    <w:rsid w:val="00EF7AF9"/>
    <w:rsid w:val="00F00952"/>
    <w:rsid w:val="00F01495"/>
    <w:rsid w:val="00F018BA"/>
    <w:rsid w:val="00F06D07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23B5"/>
    <w:rsid w:val="00F338E7"/>
    <w:rsid w:val="00F366A2"/>
    <w:rsid w:val="00F37418"/>
    <w:rsid w:val="00F446D3"/>
    <w:rsid w:val="00F44F43"/>
    <w:rsid w:val="00F450E1"/>
    <w:rsid w:val="00F50DF4"/>
    <w:rsid w:val="00F555BC"/>
    <w:rsid w:val="00F57AFE"/>
    <w:rsid w:val="00F60A45"/>
    <w:rsid w:val="00F61B4F"/>
    <w:rsid w:val="00F626C0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3140"/>
    <w:rsid w:val="00F763E3"/>
    <w:rsid w:val="00F8074A"/>
    <w:rsid w:val="00F80821"/>
    <w:rsid w:val="00F82FA6"/>
    <w:rsid w:val="00F86AD4"/>
    <w:rsid w:val="00F935CA"/>
    <w:rsid w:val="00F97BA3"/>
    <w:rsid w:val="00FA0113"/>
    <w:rsid w:val="00FA02B6"/>
    <w:rsid w:val="00FA12B2"/>
    <w:rsid w:val="00FA25D8"/>
    <w:rsid w:val="00FA5F4A"/>
    <w:rsid w:val="00FA5FDC"/>
    <w:rsid w:val="00FA7610"/>
    <w:rsid w:val="00FB02BD"/>
    <w:rsid w:val="00FB398F"/>
    <w:rsid w:val="00FB4EF8"/>
    <w:rsid w:val="00FB54AE"/>
    <w:rsid w:val="00FB56EB"/>
    <w:rsid w:val="00FB709A"/>
    <w:rsid w:val="00FB78DD"/>
    <w:rsid w:val="00FC3EF3"/>
    <w:rsid w:val="00FC5D35"/>
    <w:rsid w:val="00FD09CB"/>
    <w:rsid w:val="00FD2049"/>
    <w:rsid w:val="00FD2140"/>
    <w:rsid w:val="00FD2AF7"/>
    <w:rsid w:val="00FD4869"/>
    <w:rsid w:val="00FD5B5F"/>
    <w:rsid w:val="00FD5BDE"/>
    <w:rsid w:val="00FD68EC"/>
    <w:rsid w:val="00FE104A"/>
    <w:rsid w:val="00FE24A5"/>
    <w:rsid w:val="00FE2B32"/>
    <w:rsid w:val="00FE3076"/>
    <w:rsid w:val="00FE31E5"/>
    <w:rsid w:val="00FE412B"/>
    <w:rsid w:val="00FE5DDC"/>
    <w:rsid w:val="00FE6C7B"/>
    <w:rsid w:val="00FF19AD"/>
    <w:rsid w:val="00FF1EB5"/>
    <w:rsid w:val="00FF292D"/>
    <w:rsid w:val="00FF298D"/>
    <w:rsid w:val="00FF34A1"/>
    <w:rsid w:val="00FF3E5A"/>
    <w:rsid w:val="00FF4B55"/>
    <w:rsid w:val="00FF6287"/>
    <w:rsid w:val="00FF6A74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F914"/>
  <w15:chartTrackingRefBased/>
  <w15:docId w15:val="{23F8D366-2F20-47CE-A254-0C17E6DD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536D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7DA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voutouri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ikis@cystat.mof.gov.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9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fkakouts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6808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</cp:revision>
  <cp:lastPrinted>2026-07-17T08:06:00Z</cp:lastPrinted>
  <dcterms:created xsi:type="dcterms:W3CDTF">2026-07-17T08:05:00Z</dcterms:created>
  <dcterms:modified xsi:type="dcterms:W3CDTF">2026-07-17T08:07:00Z</dcterms:modified>
</cp:coreProperties>
</file>