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A8E0A8" w14:textId="77777777" w:rsidR="00B7227E" w:rsidRPr="00792B9C" w:rsidRDefault="00B7227E" w:rsidP="00B7227E">
      <w:pPr>
        <w:rPr>
          <w:rFonts w:ascii="Arial" w:hAnsi="Arial" w:cs="Arial"/>
          <w:color w:val="000000" w:themeColor="text1"/>
          <w:sz w:val="20"/>
          <w:szCs w:val="20"/>
          <w:lang w:val="el-GR"/>
        </w:rPr>
      </w:pPr>
    </w:p>
    <w:p w14:paraId="7FBF5868" w14:textId="77777777" w:rsidR="00B7227E" w:rsidRPr="00970856" w:rsidRDefault="00B7227E" w:rsidP="00792B9C">
      <w:pPr>
        <w:jc w:val="right"/>
        <w:rPr>
          <w:rFonts w:ascii="Verdana" w:hAnsi="Verdana"/>
          <w:sz w:val="18"/>
          <w:szCs w:val="18"/>
          <w:shd w:val="clear" w:color="auto" w:fill="FFFFFF"/>
        </w:rPr>
      </w:pPr>
    </w:p>
    <w:p w14:paraId="6AAF83A4" w14:textId="77777777" w:rsidR="00B7227E" w:rsidRDefault="00B7227E" w:rsidP="00B7227E">
      <w:pPr>
        <w:tabs>
          <w:tab w:val="left" w:pos="1080"/>
          <w:tab w:val="left" w:pos="7088"/>
        </w:tabs>
        <w:jc w:val="right"/>
        <w:rPr>
          <w:rFonts w:ascii="Verdana" w:hAnsi="Verdana" w:cs="Arial"/>
          <w:sz w:val="18"/>
          <w:szCs w:val="18"/>
        </w:rPr>
      </w:pPr>
    </w:p>
    <w:p w14:paraId="6A5A2023" w14:textId="35A527C2" w:rsidR="00B7227E" w:rsidRPr="0057380B" w:rsidRDefault="0087342D" w:rsidP="00B7227E">
      <w:pPr>
        <w:tabs>
          <w:tab w:val="left" w:pos="1080"/>
          <w:tab w:val="left" w:pos="7088"/>
        </w:tabs>
        <w:jc w:val="right"/>
        <w:rPr>
          <w:rFonts w:ascii="Verdana" w:eastAsia="Malgun Gothic" w:hAnsi="Verdana" w:cs="Arial"/>
          <w:sz w:val="18"/>
          <w:szCs w:val="18"/>
        </w:rPr>
      </w:pPr>
      <w:r>
        <w:rPr>
          <w:rFonts w:ascii="Verdana" w:hAnsi="Verdana" w:cs="Arial"/>
          <w:sz w:val="18"/>
          <w:szCs w:val="18"/>
        </w:rPr>
        <w:t>1</w:t>
      </w:r>
      <w:r w:rsidR="0067669F" w:rsidRPr="00054A6F">
        <w:rPr>
          <w:rFonts w:ascii="Verdana" w:hAnsi="Verdana" w:cs="Arial"/>
          <w:sz w:val="18"/>
          <w:szCs w:val="18"/>
        </w:rPr>
        <w:t>8</w:t>
      </w:r>
      <w:r w:rsidR="00B7227E">
        <w:rPr>
          <w:rFonts w:ascii="Verdana" w:hAnsi="Verdana" w:cs="Arial"/>
          <w:sz w:val="18"/>
          <w:szCs w:val="18"/>
        </w:rPr>
        <w:t xml:space="preserve"> </w:t>
      </w:r>
      <w:r w:rsidR="0067669F">
        <w:rPr>
          <w:rFonts w:ascii="Verdana" w:hAnsi="Verdana" w:cs="Arial"/>
          <w:sz w:val="18"/>
          <w:szCs w:val="18"/>
        </w:rPr>
        <w:t>June</w:t>
      </w:r>
      <w:r w:rsidR="00B7227E">
        <w:rPr>
          <w:rFonts w:ascii="Verdana" w:eastAsia="Malgun Gothic" w:hAnsi="Verdana" w:cs="Arial"/>
          <w:sz w:val="18"/>
          <w:szCs w:val="18"/>
        </w:rPr>
        <w:t>, 202</w:t>
      </w:r>
      <w:r w:rsidR="00442411">
        <w:rPr>
          <w:rFonts w:ascii="Verdana" w:eastAsia="Malgun Gothic" w:hAnsi="Verdana" w:cs="Arial"/>
          <w:sz w:val="18"/>
          <w:szCs w:val="18"/>
        </w:rPr>
        <w:t>4</w:t>
      </w:r>
    </w:p>
    <w:p w14:paraId="1E8FDEB2" w14:textId="77777777" w:rsidR="00B7227E" w:rsidRDefault="00B7227E" w:rsidP="00792B9C">
      <w:pPr>
        <w:jc w:val="right"/>
        <w:rPr>
          <w:rFonts w:ascii="Arial" w:hAnsi="Arial" w:cs="Arial"/>
          <w:sz w:val="18"/>
          <w:szCs w:val="18"/>
        </w:rPr>
      </w:pPr>
    </w:p>
    <w:p w14:paraId="105F0F6F" w14:textId="77777777" w:rsidR="008C0E22" w:rsidRDefault="008C0E22" w:rsidP="00792B9C">
      <w:pPr>
        <w:jc w:val="right"/>
        <w:rPr>
          <w:rFonts w:ascii="Arial" w:hAnsi="Arial" w:cs="Arial"/>
          <w:sz w:val="18"/>
          <w:szCs w:val="18"/>
        </w:rPr>
      </w:pPr>
    </w:p>
    <w:p w14:paraId="29DFD4B7" w14:textId="77777777" w:rsidR="00B7227E" w:rsidRPr="004F6A92" w:rsidRDefault="00B7227E" w:rsidP="00B7227E">
      <w:pPr>
        <w:jc w:val="center"/>
        <w:rPr>
          <w:rFonts w:ascii="Verdana" w:eastAsia="Malgun Gothic" w:hAnsi="Verdana" w:cs="Arial"/>
          <w:b/>
          <w:sz w:val="24"/>
          <w:szCs w:val="24"/>
          <w:lang w:val="en-GB"/>
        </w:rPr>
      </w:pPr>
      <w:r>
        <w:rPr>
          <w:rFonts w:ascii="Verdana" w:eastAsia="Malgun Gothic" w:hAnsi="Verdana" w:cs="Arial"/>
          <w:b/>
          <w:sz w:val="24"/>
          <w:szCs w:val="24"/>
          <w:lang w:val="en-GB"/>
        </w:rPr>
        <w:t>PRESS RELEASE</w:t>
      </w:r>
    </w:p>
    <w:p w14:paraId="0AF03D96" w14:textId="77777777" w:rsidR="00B7227E" w:rsidRDefault="00B7227E" w:rsidP="00B7227E">
      <w:pPr>
        <w:rPr>
          <w:rFonts w:ascii="Verdana" w:eastAsia="Malgun Gothic" w:hAnsi="Verdana" w:cs="Arial"/>
        </w:rPr>
      </w:pPr>
    </w:p>
    <w:p w14:paraId="3D775372" w14:textId="77777777" w:rsidR="008C0E22" w:rsidRPr="004F6A92" w:rsidRDefault="008C0E22" w:rsidP="00B7227E">
      <w:pPr>
        <w:rPr>
          <w:rFonts w:ascii="Verdana" w:eastAsia="Malgun Gothic" w:hAnsi="Verdana" w:cs="Arial"/>
        </w:rPr>
      </w:pPr>
    </w:p>
    <w:p w14:paraId="25C91FD9" w14:textId="2C6D17F7" w:rsidR="00B7227E" w:rsidRPr="00556123" w:rsidRDefault="00B7227E" w:rsidP="00B7227E">
      <w:pPr>
        <w:pStyle w:val="Heading6"/>
        <w:jc w:val="left"/>
        <w:rPr>
          <w:rFonts w:ascii="Verdana" w:eastAsia="Malgun Gothic" w:hAnsi="Verdana" w:cs="Arial"/>
          <w:szCs w:val="22"/>
          <w:lang w:val="en-US"/>
        </w:rPr>
      </w:pPr>
      <w:r>
        <w:rPr>
          <w:rFonts w:ascii="Verdana" w:eastAsia="Malgun Gothic" w:hAnsi="Verdana" w:cs="Arial"/>
          <w:b w:val="0"/>
          <w:szCs w:val="22"/>
          <w:lang w:val="en-GB"/>
        </w:rPr>
        <w:t xml:space="preserve">HARMONIZED INDEX OF CONSUMER PRICES </w:t>
      </w:r>
      <w:r w:rsidRPr="004F6A92">
        <w:rPr>
          <w:rFonts w:ascii="Verdana" w:eastAsia="Malgun Gothic" w:hAnsi="Verdana" w:cs="Arial"/>
          <w:b w:val="0"/>
          <w:szCs w:val="22"/>
          <w:lang w:val="en-US"/>
        </w:rPr>
        <w:t>(</w:t>
      </w:r>
      <w:r>
        <w:rPr>
          <w:rFonts w:ascii="Verdana" w:eastAsia="Malgun Gothic" w:hAnsi="Verdana" w:cs="Arial"/>
          <w:b w:val="0"/>
          <w:szCs w:val="22"/>
          <w:lang w:val="en-GB"/>
        </w:rPr>
        <w:t>HICP</w:t>
      </w:r>
      <w:r w:rsidRPr="004F6A92">
        <w:rPr>
          <w:rFonts w:ascii="Verdana" w:eastAsia="Malgun Gothic" w:hAnsi="Verdana" w:cs="Arial"/>
          <w:b w:val="0"/>
          <w:szCs w:val="22"/>
          <w:lang w:val="en-US"/>
        </w:rPr>
        <w:t>):</w:t>
      </w:r>
      <w:r>
        <w:rPr>
          <w:rFonts w:ascii="Verdana" w:eastAsia="Malgun Gothic" w:hAnsi="Verdana" w:cs="Arial"/>
          <w:b w:val="0"/>
          <w:szCs w:val="22"/>
          <w:lang w:val="en-US"/>
        </w:rPr>
        <w:t xml:space="preserve"> </w:t>
      </w:r>
      <w:r w:rsidR="00B84C8B">
        <w:rPr>
          <w:rFonts w:ascii="Verdana" w:eastAsia="Malgun Gothic" w:hAnsi="Verdana" w:cs="Arial"/>
          <w:szCs w:val="22"/>
          <w:lang w:val="en-US"/>
        </w:rPr>
        <w:t>MAY</w:t>
      </w:r>
      <w:r w:rsidR="00AA370E">
        <w:rPr>
          <w:rFonts w:ascii="Verdana" w:eastAsia="Malgun Gothic" w:hAnsi="Verdana" w:cs="Arial"/>
          <w:szCs w:val="22"/>
          <w:lang w:val="en-US"/>
        </w:rPr>
        <w:t xml:space="preserve"> </w:t>
      </w:r>
      <w:r>
        <w:rPr>
          <w:rFonts w:ascii="Verdana" w:eastAsia="Malgun Gothic" w:hAnsi="Verdana" w:cs="Arial"/>
          <w:szCs w:val="22"/>
          <w:lang w:val="en-US"/>
        </w:rPr>
        <w:t>202</w:t>
      </w:r>
      <w:r w:rsidR="005B6B8F">
        <w:rPr>
          <w:rFonts w:ascii="Verdana" w:eastAsia="Malgun Gothic" w:hAnsi="Verdana" w:cs="Arial"/>
          <w:szCs w:val="22"/>
          <w:lang w:val="en-US"/>
        </w:rPr>
        <w:t>4</w:t>
      </w:r>
    </w:p>
    <w:p w14:paraId="2FD77CBC" w14:textId="77777777" w:rsidR="00B7227E" w:rsidRDefault="00B7227E" w:rsidP="00B7227E">
      <w:pPr>
        <w:rPr>
          <w:rFonts w:ascii="Verdana" w:eastAsia="Malgun Gothic" w:hAnsi="Verdana" w:cs="Arial"/>
        </w:rPr>
      </w:pPr>
    </w:p>
    <w:p w14:paraId="78D8F4E9" w14:textId="3023DABD" w:rsidR="00B7227E" w:rsidRPr="00867142" w:rsidRDefault="00B7227E" w:rsidP="00B7227E">
      <w:pPr>
        <w:tabs>
          <w:tab w:val="left" w:pos="1080"/>
          <w:tab w:val="left" w:pos="6840"/>
        </w:tabs>
        <w:jc w:val="center"/>
        <w:rPr>
          <w:rFonts w:ascii="Verdana" w:eastAsia="Malgun Gothic" w:hAnsi="Verdana" w:cs="Arial"/>
          <w:b/>
        </w:rPr>
      </w:pPr>
      <w:r>
        <w:rPr>
          <w:rFonts w:ascii="Verdana" w:eastAsia="Malgun Gothic" w:hAnsi="Verdana" w:cs="Arial"/>
          <w:b/>
          <w:lang w:val="en-GB"/>
        </w:rPr>
        <w:t>Annual Rate of Change</w:t>
      </w:r>
      <w:r>
        <w:rPr>
          <w:rFonts w:ascii="Verdana" w:eastAsia="Malgun Gothic" w:hAnsi="Verdana" w:cs="Arial"/>
          <w:b/>
        </w:rPr>
        <w:t xml:space="preserve"> </w:t>
      </w:r>
      <w:r w:rsidR="00B84C8B">
        <w:rPr>
          <w:rFonts w:ascii="Verdana" w:eastAsia="Malgun Gothic" w:hAnsi="Verdana" w:cs="Arial"/>
          <w:b/>
        </w:rPr>
        <w:t>3</w:t>
      </w:r>
      <w:r>
        <w:rPr>
          <w:rFonts w:ascii="Verdana" w:eastAsia="Malgun Gothic" w:hAnsi="Verdana" w:cs="Arial"/>
          <w:b/>
        </w:rPr>
        <w:t>,</w:t>
      </w:r>
      <w:r w:rsidR="00B84C8B">
        <w:rPr>
          <w:rFonts w:ascii="Verdana" w:eastAsia="Malgun Gothic" w:hAnsi="Verdana" w:cs="Arial"/>
          <w:b/>
        </w:rPr>
        <w:t>0</w:t>
      </w:r>
      <w:r w:rsidRPr="00867142">
        <w:rPr>
          <w:rFonts w:ascii="Verdana" w:eastAsia="Malgun Gothic" w:hAnsi="Verdana" w:cs="Arial"/>
          <w:b/>
        </w:rPr>
        <w:t>%</w:t>
      </w:r>
    </w:p>
    <w:p w14:paraId="36388CD3" w14:textId="77777777" w:rsidR="00B7227E" w:rsidRDefault="00B7227E" w:rsidP="00B7227E">
      <w:pPr>
        <w:tabs>
          <w:tab w:val="left" w:pos="1080"/>
          <w:tab w:val="left" w:pos="6840"/>
        </w:tabs>
        <w:jc w:val="both"/>
        <w:rPr>
          <w:rFonts w:ascii="Arial" w:hAnsi="Arial" w:cs="Arial"/>
          <w:sz w:val="20"/>
          <w:szCs w:val="20"/>
        </w:rPr>
      </w:pPr>
    </w:p>
    <w:p w14:paraId="327F4FFF" w14:textId="77777777" w:rsidR="00B7227E" w:rsidRDefault="00B7227E" w:rsidP="00B7227E">
      <w:pPr>
        <w:tabs>
          <w:tab w:val="left" w:pos="1080"/>
          <w:tab w:val="left" w:pos="6840"/>
        </w:tabs>
        <w:jc w:val="both"/>
        <w:rPr>
          <w:rFonts w:ascii="Arial" w:hAnsi="Arial" w:cs="Arial"/>
          <w:sz w:val="20"/>
          <w:szCs w:val="20"/>
        </w:rPr>
      </w:pPr>
    </w:p>
    <w:p w14:paraId="592CBF34" w14:textId="094D9DE4" w:rsidR="00DE6CD6" w:rsidRDefault="00FD12E7" w:rsidP="00DE6CD6">
      <w:pPr>
        <w:tabs>
          <w:tab w:val="left" w:pos="1080"/>
          <w:tab w:val="left" w:pos="6840"/>
        </w:tabs>
        <w:jc w:val="both"/>
        <w:rPr>
          <w:rFonts w:ascii="Verdana" w:eastAsia="Malgun Gothic" w:hAnsi="Verdana" w:cs="Arial"/>
          <w:sz w:val="18"/>
          <w:szCs w:val="18"/>
        </w:rPr>
      </w:pPr>
      <w:r>
        <w:rPr>
          <w:rFonts w:ascii="Verdana" w:eastAsia="Malgun Gothic" w:hAnsi="Verdana" w:cs="Arial"/>
          <w:sz w:val="18"/>
          <w:szCs w:val="18"/>
        </w:rPr>
        <w:t xml:space="preserve">The HICP rose by </w:t>
      </w:r>
      <w:r w:rsidR="00B84C8B">
        <w:rPr>
          <w:rFonts w:ascii="Verdana" w:eastAsia="Malgun Gothic" w:hAnsi="Verdana" w:cs="Arial"/>
          <w:sz w:val="18"/>
          <w:szCs w:val="18"/>
        </w:rPr>
        <w:t>3</w:t>
      </w:r>
      <w:r>
        <w:rPr>
          <w:rFonts w:ascii="Verdana" w:eastAsia="Malgun Gothic" w:hAnsi="Verdana" w:cs="Arial"/>
          <w:sz w:val="18"/>
          <w:szCs w:val="18"/>
        </w:rPr>
        <w:t>,</w:t>
      </w:r>
      <w:r w:rsidR="00B84C8B">
        <w:rPr>
          <w:rFonts w:ascii="Verdana" w:eastAsia="Malgun Gothic" w:hAnsi="Verdana" w:cs="Arial"/>
          <w:sz w:val="18"/>
          <w:szCs w:val="18"/>
        </w:rPr>
        <w:t>0</w:t>
      </w:r>
      <w:r>
        <w:rPr>
          <w:rFonts w:ascii="Verdana" w:eastAsia="Malgun Gothic" w:hAnsi="Verdana" w:cs="Arial"/>
          <w:sz w:val="18"/>
          <w:szCs w:val="18"/>
        </w:rPr>
        <w:t xml:space="preserve">% between </w:t>
      </w:r>
      <w:r w:rsidR="00B84C8B">
        <w:rPr>
          <w:rFonts w:ascii="Verdana" w:eastAsia="Malgun Gothic" w:hAnsi="Verdana" w:cs="Arial"/>
          <w:sz w:val="18"/>
          <w:szCs w:val="18"/>
        </w:rPr>
        <w:t>May</w:t>
      </w:r>
      <w:r w:rsidR="00AA370E">
        <w:rPr>
          <w:rFonts w:ascii="Verdana" w:eastAsia="Malgun Gothic" w:hAnsi="Verdana" w:cs="Arial"/>
          <w:sz w:val="18"/>
          <w:szCs w:val="18"/>
        </w:rPr>
        <w:t xml:space="preserve"> </w:t>
      </w:r>
      <w:r>
        <w:rPr>
          <w:rFonts w:ascii="Verdana" w:eastAsia="Malgun Gothic" w:hAnsi="Verdana" w:cs="Arial"/>
          <w:sz w:val="18"/>
          <w:szCs w:val="18"/>
        </w:rPr>
        <w:t>202</w:t>
      </w:r>
      <w:r w:rsidR="00B736A4">
        <w:rPr>
          <w:rFonts w:ascii="Verdana" w:eastAsia="Malgun Gothic" w:hAnsi="Verdana" w:cs="Arial"/>
          <w:sz w:val="18"/>
          <w:szCs w:val="18"/>
        </w:rPr>
        <w:t>3</w:t>
      </w:r>
      <w:r>
        <w:rPr>
          <w:rFonts w:ascii="Verdana" w:eastAsia="Malgun Gothic" w:hAnsi="Verdana" w:cs="Arial"/>
          <w:sz w:val="18"/>
          <w:szCs w:val="18"/>
        </w:rPr>
        <w:t xml:space="preserve"> and </w:t>
      </w:r>
      <w:r w:rsidR="00B84C8B">
        <w:rPr>
          <w:rFonts w:ascii="Verdana" w:eastAsia="Malgun Gothic" w:hAnsi="Verdana" w:cs="Arial"/>
          <w:sz w:val="18"/>
          <w:szCs w:val="18"/>
        </w:rPr>
        <w:t>May</w:t>
      </w:r>
      <w:r>
        <w:rPr>
          <w:rFonts w:ascii="Verdana" w:eastAsia="Malgun Gothic" w:hAnsi="Verdana" w:cs="Arial"/>
          <w:sz w:val="18"/>
          <w:szCs w:val="18"/>
        </w:rPr>
        <w:t xml:space="preserve"> 202</w:t>
      </w:r>
      <w:r w:rsidR="00B736A4">
        <w:rPr>
          <w:rFonts w:ascii="Verdana" w:eastAsia="Malgun Gothic" w:hAnsi="Verdana" w:cs="Arial"/>
          <w:sz w:val="18"/>
          <w:szCs w:val="18"/>
        </w:rPr>
        <w:t>4</w:t>
      </w:r>
      <w:r>
        <w:rPr>
          <w:rFonts w:ascii="Verdana" w:eastAsia="Malgun Gothic" w:hAnsi="Verdana" w:cs="Arial"/>
          <w:sz w:val="18"/>
          <w:szCs w:val="18"/>
        </w:rPr>
        <w:t xml:space="preserve">, </w:t>
      </w:r>
      <w:r w:rsidR="001B65F5">
        <w:rPr>
          <w:rFonts w:ascii="Verdana" w:eastAsia="Malgun Gothic" w:hAnsi="Verdana" w:cs="Arial"/>
          <w:sz w:val="18"/>
          <w:szCs w:val="18"/>
        </w:rPr>
        <w:t xml:space="preserve">and </w:t>
      </w:r>
      <w:r w:rsidR="0087342D">
        <w:rPr>
          <w:rFonts w:ascii="Verdana" w:eastAsia="Malgun Gothic" w:hAnsi="Verdana" w:cs="Arial"/>
          <w:sz w:val="18"/>
          <w:szCs w:val="18"/>
        </w:rPr>
        <w:t>in</w:t>
      </w:r>
      <w:r w:rsidR="00DE2CCC">
        <w:rPr>
          <w:rFonts w:ascii="Verdana" w:eastAsia="Malgun Gothic" w:hAnsi="Verdana" w:cs="Arial"/>
          <w:sz w:val="18"/>
          <w:szCs w:val="18"/>
        </w:rPr>
        <w:t xml:space="preserve">creased </w:t>
      </w:r>
      <w:r w:rsidR="001B65F5">
        <w:rPr>
          <w:rFonts w:ascii="Verdana" w:eastAsia="Malgun Gothic" w:hAnsi="Verdana" w:cs="Arial"/>
          <w:sz w:val="18"/>
          <w:szCs w:val="18"/>
        </w:rPr>
        <w:t xml:space="preserve">by </w:t>
      </w:r>
      <w:r w:rsidR="0033704E">
        <w:rPr>
          <w:rFonts w:ascii="Verdana" w:eastAsia="Malgun Gothic" w:hAnsi="Verdana" w:cs="Arial"/>
          <w:sz w:val="18"/>
          <w:szCs w:val="18"/>
        </w:rPr>
        <w:t>1</w:t>
      </w:r>
      <w:r>
        <w:rPr>
          <w:rFonts w:ascii="Verdana" w:eastAsia="Malgun Gothic" w:hAnsi="Verdana" w:cs="Arial"/>
          <w:sz w:val="18"/>
          <w:szCs w:val="18"/>
        </w:rPr>
        <w:t>,</w:t>
      </w:r>
      <w:r w:rsidR="00B84C8B">
        <w:rPr>
          <w:rFonts w:ascii="Verdana" w:eastAsia="Malgun Gothic" w:hAnsi="Verdana" w:cs="Arial"/>
          <w:sz w:val="18"/>
          <w:szCs w:val="18"/>
        </w:rPr>
        <w:t>2</w:t>
      </w:r>
      <w:r>
        <w:rPr>
          <w:rFonts w:ascii="Verdana" w:eastAsia="Malgun Gothic" w:hAnsi="Verdana" w:cs="Arial"/>
          <w:sz w:val="18"/>
          <w:szCs w:val="18"/>
        </w:rPr>
        <w:t xml:space="preserve">% in the month between </w:t>
      </w:r>
      <w:r w:rsidR="00B84C8B">
        <w:rPr>
          <w:rFonts w:ascii="Verdana" w:eastAsia="Malgun Gothic" w:hAnsi="Verdana" w:cs="Arial"/>
          <w:sz w:val="18"/>
          <w:szCs w:val="18"/>
        </w:rPr>
        <w:t>April</w:t>
      </w:r>
      <w:r w:rsidR="005D78E6">
        <w:rPr>
          <w:rFonts w:ascii="Verdana" w:eastAsia="Malgun Gothic" w:hAnsi="Verdana" w:cs="Arial"/>
          <w:sz w:val="18"/>
          <w:szCs w:val="18"/>
        </w:rPr>
        <w:t xml:space="preserve"> </w:t>
      </w:r>
      <w:r>
        <w:rPr>
          <w:rFonts w:ascii="Verdana" w:eastAsia="Malgun Gothic" w:hAnsi="Verdana" w:cs="Arial"/>
          <w:sz w:val="18"/>
          <w:szCs w:val="18"/>
        </w:rPr>
        <w:t>202</w:t>
      </w:r>
      <w:r w:rsidR="0087342D">
        <w:rPr>
          <w:rFonts w:ascii="Verdana" w:eastAsia="Malgun Gothic" w:hAnsi="Verdana" w:cs="Arial"/>
          <w:sz w:val="18"/>
          <w:szCs w:val="18"/>
        </w:rPr>
        <w:t>4</w:t>
      </w:r>
      <w:r>
        <w:rPr>
          <w:rFonts w:ascii="Verdana" w:eastAsia="Malgun Gothic" w:hAnsi="Verdana" w:cs="Arial"/>
          <w:sz w:val="18"/>
          <w:szCs w:val="18"/>
        </w:rPr>
        <w:t xml:space="preserve"> and </w:t>
      </w:r>
      <w:r w:rsidR="00B84C8B">
        <w:rPr>
          <w:rFonts w:ascii="Verdana" w:eastAsia="Malgun Gothic" w:hAnsi="Verdana" w:cs="Arial"/>
          <w:sz w:val="18"/>
          <w:szCs w:val="18"/>
        </w:rPr>
        <w:t>May</w:t>
      </w:r>
      <w:r>
        <w:rPr>
          <w:rFonts w:ascii="Verdana" w:eastAsia="Malgun Gothic" w:hAnsi="Verdana" w:cs="Arial"/>
          <w:sz w:val="18"/>
          <w:szCs w:val="18"/>
        </w:rPr>
        <w:t xml:space="preserve"> 202</w:t>
      </w:r>
      <w:r w:rsidR="0087342D">
        <w:rPr>
          <w:rFonts w:ascii="Verdana" w:eastAsia="Malgun Gothic" w:hAnsi="Verdana" w:cs="Arial"/>
          <w:sz w:val="18"/>
          <w:szCs w:val="18"/>
        </w:rPr>
        <w:t>4</w:t>
      </w:r>
      <w:r>
        <w:rPr>
          <w:rFonts w:ascii="Verdana" w:eastAsia="Malgun Gothic" w:hAnsi="Verdana" w:cs="Arial"/>
          <w:sz w:val="18"/>
          <w:szCs w:val="18"/>
        </w:rPr>
        <w:t xml:space="preserve">. </w:t>
      </w:r>
      <w:r w:rsidR="0087342D">
        <w:rPr>
          <w:rFonts w:ascii="Verdana" w:eastAsia="Malgun Gothic" w:hAnsi="Verdana" w:cs="Arial"/>
          <w:sz w:val="18"/>
          <w:szCs w:val="18"/>
          <w:lang w:val="en-GB"/>
        </w:rPr>
        <w:t>For the</w:t>
      </w:r>
      <w:r w:rsidR="0087342D">
        <w:rPr>
          <w:rFonts w:ascii="Verdana" w:eastAsia="Malgun Gothic" w:hAnsi="Verdana" w:cs="Arial"/>
          <w:sz w:val="18"/>
          <w:szCs w:val="18"/>
        </w:rPr>
        <w:t xml:space="preserve"> </w:t>
      </w:r>
      <w:r w:rsidR="0087342D">
        <w:rPr>
          <w:rFonts w:ascii="Verdana" w:eastAsia="Malgun Gothic" w:hAnsi="Verdana" w:cs="Arial"/>
          <w:sz w:val="18"/>
          <w:szCs w:val="18"/>
          <w:lang w:val="en-GB"/>
        </w:rPr>
        <w:t>period</w:t>
      </w:r>
      <w:r w:rsidR="0087342D">
        <w:rPr>
          <w:rFonts w:ascii="Verdana" w:eastAsia="Malgun Gothic" w:hAnsi="Verdana" w:cs="Arial"/>
          <w:sz w:val="18"/>
          <w:szCs w:val="18"/>
        </w:rPr>
        <w:t xml:space="preserve"> January </w:t>
      </w:r>
      <w:r w:rsidR="0087342D">
        <w:rPr>
          <w:rFonts w:ascii="Verdana" w:eastAsia="Malgun Gothic" w:hAnsi="Verdana" w:cs="Arial"/>
          <w:sz w:val="18"/>
          <w:szCs w:val="18"/>
          <w:lang w:val="en-GB"/>
        </w:rPr>
        <w:t xml:space="preserve">– </w:t>
      </w:r>
      <w:r w:rsidR="00B84C8B">
        <w:rPr>
          <w:rFonts w:ascii="Verdana" w:eastAsia="Malgun Gothic" w:hAnsi="Verdana" w:cs="Arial"/>
          <w:sz w:val="18"/>
          <w:szCs w:val="18"/>
          <w:lang w:val="en-GB"/>
        </w:rPr>
        <w:t>May</w:t>
      </w:r>
      <w:r w:rsidR="0087342D">
        <w:rPr>
          <w:rFonts w:ascii="Verdana" w:eastAsia="Malgun Gothic" w:hAnsi="Verdana" w:cs="Arial"/>
          <w:sz w:val="18"/>
          <w:szCs w:val="18"/>
          <w:lang w:val="en-GB"/>
        </w:rPr>
        <w:t xml:space="preserve"> 20</w:t>
      </w:r>
      <w:r w:rsidR="0087342D">
        <w:rPr>
          <w:rFonts w:ascii="Verdana" w:eastAsia="Malgun Gothic" w:hAnsi="Verdana" w:cs="Arial"/>
          <w:sz w:val="18"/>
          <w:szCs w:val="18"/>
        </w:rPr>
        <w:t>24</w:t>
      </w:r>
      <w:r w:rsidR="0087342D" w:rsidRPr="00A42A5A">
        <w:rPr>
          <w:rFonts w:ascii="Verdana" w:eastAsia="Malgun Gothic" w:hAnsi="Verdana" w:cs="Arial"/>
          <w:sz w:val="18"/>
          <w:szCs w:val="18"/>
        </w:rPr>
        <w:t>,</w:t>
      </w:r>
      <w:r w:rsidR="0087342D">
        <w:rPr>
          <w:rFonts w:ascii="Verdana" w:eastAsia="Malgun Gothic" w:hAnsi="Verdana" w:cs="Arial"/>
          <w:sz w:val="18"/>
          <w:szCs w:val="18"/>
          <w:lang w:val="en-GB"/>
        </w:rPr>
        <w:t xml:space="preserve"> the HICP </w:t>
      </w:r>
      <w:r w:rsidR="0087342D">
        <w:rPr>
          <w:rFonts w:ascii="Verdana" w:eastAsia="Malgun Gothic" w:hAnsi="Verdana" w:cs="Arial"/>
          <w:sz w:val="18"/>
          <w:szCs w:val="18"/>
        </w:rPr>
        <w:t>rose by</w:t>
      </w:r>
      <w:r w:rsidR="0087342D">
        <w:rPr>
          <w:rFonts w:ascii="Verdana" w:eastAsia="Malgun Gothic" w:hAnsi="Verdana" w:cs="Arial"/>
          <w:sz w:val="18"/>
          <w:szCs w:val="18"/>
          <w:lang w:val="en-GB"/>
        </w:rPr>
        <w:t xml:space="preserve"> 2</w:t>
      </w:r>
      <w:r w:rsidR="0087342D">
        <w:rPr>
          <w:rFonts w:ascii="Verdana" w:eastAsia="Malgun Gothic" w:hAnsi="Verdana" w:cs="Arial"/>
          <w:sz w:val="18"/>
          <w:szCs w:val="18"/>
        </w:rPr>
        <w:t>,</w:t>
      </w:r>
      <w:r w:rsidR="00B84C8B">
        <w:rPr>
          <w:rFonts w:ascii="Verdana" w:eastAsia="Malgun Gothic" w:hAnsi="Verdana" w:cs="Arial"/>
          <w:sz w:val="18"/>
          <w:szCs w:val="18"/>
        </w:rPr>
        <w:t>2</w:t>
      </w:r>
      <w:r w:rsidR="0087342D">
        <w:rPr>
          <w:rFonts w:ascii="Verdana" w:eastAsia="Malgun Gothic" w:hAnsi="Verdana" w:cs="Arial"/>
          <w:sz w:val="18"/>
          <w:szCs w:val="18"/>
        </w:rPr>
        <w:t>%</w:t>
      </w:r>
      <w:r w:rsidR="0087342D">
        <w:rPr>
          <w:rFonts w:ascii="Verdana" w:eastAsia="Malgun Gothic" w:hAnsi="Verdana" w:cs="Arial"/>
          <w:sz w:val="18"/>
          <w:szCs w:val="18"/>
          <w:lang w:val="en-GB"/>
        </w:rPr>
        <w:t xml:space="preserve"> compared</w:t>
      </w:r>
      <w:r w:rsidR="0087342D">
        <w:rPr>
          <w:rFonts w:ascii="Verdana" w:eastAsia="Malgun Gothic" w:hAnsi="Verdana" w:cs="Arial"/>
          <w:sz w:val="18"/>
          <w:szCs w:val="18"/>
        </w:rPr>
        <w:t xml:space="preserve"> to the corresponding period of the previous year. </w:t>
      </w:r>
      <w:r w:rsidR="00DE6CD6" w:rsidRPr="002038B0">
        <w:rPr>
          <w:rFonts w:ascii="Verdana" w:eastAsia="Malgun Gothic" w:hAnsi="Verdana" w:cs="Arial"/>
          <w:sz w:val="18"/>
          <w:szCs w:val="18"/>
        </w:rPr>
        <w:t>(</w:t>
      </w:r>
      <w:r w:rsidR="00DE6CD6">
        <w:rPr>
          <w:rFonts w:ascii="Verdana" w:eastAsia="Malgun Gothic" w:hAnsi="Verdana" w:cs="Arial"/>
          <w:sz w:val="18"/>
          <w:szCs w:val="18"/>
          <w:lang w:val="en-GB"/>
        </w:rPr>
        <w:t>Table</w:t>
      </w:r>
      <w:r w:rsidR="00DE6CD6" w:rsidRPr="002038B0">
        <w:rPr>
          <w:rFonts w:ascii="Verdana" w:eastAsia="Malgun Gothic" w:hAnsi="Verdana" w:cs="Arial"/>
          <w:sz w:val="18"/>
          <w:szCs w:val="18"/>
        </w:rPr>
        <w:t xml:space="preserve"> 1)</w:t>
      </w:r>
    </w:p>
    <w:p w14:paraId="24B0185E" w14:textId="77777777" w:rsidR="00B7227E" w:rsidRDefault="00B7227E" w:rsidP="00B7227E">
      <w:pPr>
        <w:tabs>
          <w:tab w:val="left" w:pos="1080"/>
          <w:tab w:val="left" w:pos="6840"/>
        </w:tabs>
        <w:jc w:val="both"/>
        <w:rPr>
          <w:rFonts w:ascii="Verdana" w:eastAsia="Malgun Gothic" w:hAnsi="Verdana" w:cs="Arial"/>
          <w:sz w:val="18"/>
          <w:szCs w:val="18"/>
        </w:rPr>
      </w:pPr>
    </w:p>
    <w:p w14:paraId="53FD3BF7" w14:textId="01FB3884" w:rsidR="00B736A4" w:rsidRDefault="00B84C8B" w:rsidP="00300B86">
      <w:pPr>
        <w:tabs>
          <w:tab w:val="left" w:pos="1080"/>
          <w:tab w:val="left" w:pos="6840"/>
        </w:tabs>
        <w:jc w:val="center"/>
        <w:rPr>
          <w:rFonts w:ascii="Verdana" w:eastAsia="Malgun Gothic" w:hAnsi="Verdana" w:cs="Arial"/>
          <w:sz w:val="18"/>
          <w:szCs w:val="18"/>
        </w:rPr>
      </w:pPr>
      <w:r>
        <w:rPr>
          <w:rFonts w:ascii="Verdana" w:eastAsia="Malgun Gothic" w:hAnsi="Verdana" w:cs="Arial"/>
          <w:noProof/>
          <w:sz w:val="18"/>
          <w:szCs w:val="18"/>
        </w:rPr>
        <w:drawing>
          <wp:inline distT="0" distB="0" distL="0" distR="0" wp14:anchorId="42A40E81" wp14:editId="1FF480BB">
            <wp:extent cx="6041390" cy="4498975"/>
            <wp:effectExtent l="0" t="0" r="0" b="0"/>
            <wp:docPr id="3000808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41390" cy="4498975"/>
                    </a:xfrm>
                    <a:prstGeom prst="rect">
                      <a:avLst/>
                    </a:prstGeom>
                    <a:noFill/>
                  </pic:spPr>
                </pic:pic>
              </a:graphicData>
            </a:graphic>
          </wp:inline>
        </w:drawing>
      </w:r>
    </w:p>
    <w:p w14:paraId="12F60745" w14:textId="77777777" w:rsidR="00C82460" w:rsidRPr="00C82460" w:rsidRDefault="00C82460" w:rsidP="00B7227E">
      <w:pPr>
        <w:tabs>
          <w:tab w:val="left" w:pos="1080"/>
          <w:tab w:val="left" w:pos="6840"/>
        </w:tabs>
        <w:jc w:val="both"/>
        <w:rPr>
          <w:rFonts w:ascii="Verdana" w:eastAsia="Malgun Gothic" w:hAnsi="Verdana" w:cs="Arial"/>
          <w:color w:val="365F91"/>
          <w:sz w:val="10"/>
          <w:szCs w:val="10"/>
          <w:u w:val="single"/>
          <w:lang w:val="en-GB"/>
        </w:rPr>
      </w:pPr>
    </w:p>
    <w:p w14:paraId="03819F49" w14:textId="77777777" w:rsidR="00B7227E" w:rsidRPr="00464EA3" w:rsidRDefault="00B7227E" w:rsidP="00B7227E">
      <w:pPr>
        <w:tabs>
          <w:tab w:val="left" w:pos="1080"/>
          <w:tab w:val="left" w:pos="6840"/>
        </w:tabs>
        <w:jc w:val="both"/>
        <w:rPr>
          <w:rFonts w:ascii="Verdana" w:eastAsia="Malgun Gothic" w:hAnsi="Verdana" w:cs="Arial"/>
          <w:color w:val="365F91"/>
          <w:sz w:val="16"/>
          <w:szCs w:val="16"/>
          <w:lang w:val="en-GB"/>
        </w:rPr>
      </w:pPr>
      <w:r w:rsidRPr="00E05125">
        <w:rPr>
          <w:rFonts w:ascii="Verdana" w:eastAsia="Malgun Gothic" w:hAnsi="Verdana" w:cs="Arial"/>
          <w:color w:val="365F91"/>
          <w:sz w:val="16"/>
          <w:szCs w:val="16"/>
          <w:lang w:val="en-GB"/>
        </w:rPr>
        <w:t>Note</w:t>
      </w:r>
      <w:r w:rsidRPr="00E05125">
        <w:rPr>
          <w:rFonts w:ascii="Verdana" w:eastAsia="Malgun Gothic" w:hAnsi="Verdana" w:cs="Arial"/>
          <w:color w:val="365F91"/>
          <w:sz w:val="16"/>
          <w:szCs w:val="16"/>
        </w:rPr>
        <w:t>:</w:t>
      </w:r>
      <w:r w:rsidRPr="00435B4B">
        <w:rPr>
          <w:rFonts w:ascii="Verdana" w:eastAsia="Malgun Gothic" w:hAnsi="Verdana" w:cs="Arial"/>
          <w:color w:val="365F91"/>
          <w:sz w:val="16"/>
          <w:szCs w:val="16"/>
        </w:rPr>
        <w:t xml:space="preserve"> </w:t>
      </w:r>
      <w:r>
        <w:rPr>
          <w:rFonts w:ascii="Verdana" w:eastAsia="Malgun Gothic" w:hAnsi="Verdana" w:cs="Arial"/>
          <w:color w:val="365F91"/>
          <w:sz w:val="16"/>
          <w:szCs w:val="16"/>
          <w:lang w:val="en-GB"/>
        </w:rPr>
        <w:t>The</w:t>
      </w:r>
      <w:r w:rsidRPr="00435B4B">
        <w:rPr>
          <w:rFonts w:ascii="Verdana" w:eastAsia="Malgun Gothic" w:hAnsi="Verdana" w:cs="Arial"/>
          <w:color w:val="365F91"/>
          <w:sz w:val="16"/>
          <w:szCs w:val="16"/>
        </w:rPr>
        <w:t xml:space="preserve"> </w:t>
      </w:r>
      <w:r>
        <w:rPr>
          <w:rFonts w:ascii="Verdana" w:eastAsia="Malgun Gothic" w:hAnsi="Verdana" w:cs="Arial"/>
          <w:color w:val="365F91"/>
          <w:sz w:val="16"/>
          <w:szCs w:val="16"/>
          <w:lang w:val="en-GB"/>
        </w:rPr>
        <w:t>HICP in Euro</w:t>
      </w:r>
      <w:r w:rsidRPr="00435B4B">
        <w:rPr>
          <w:rFonts w:ascii="Verdana" w:eastAsia="Malgun Gothic" w:hAnsi="Verdana" w:cs="Arial"/>
          <w:color w:val="365F91"/>
          <w:sz w:val="16"/>
          <w:szCs w:val="16"/>
        </w:rPr>
        <w:t xml:space="preserve"> </w:t>
      </w:r>
      <w:r>
        <w:rPr>
          <w:rFonts w:ascii="Verdana" w:eastAsia="Malgun Gothic" w:hAnsi="Verdana" w:cs="Arial"/>
          <w:color w:val="365F91"/>
          <w:sz w:val="16"/>
          <w:szCs w:val="16"/>
          <w:lang w:val="en-GB"/>
        </w:rPr>
        <w:t>area for</w:t>
      </w:r>
      <w:r w:rsidRPr="00435B4B">
        <w:rPr>
          <w:rFonts w:ascii="Verdana" w:eastAsia="Malgun Gothic" w:hAnsi="Verdana" w:cs="Arial"/>
          <w:color w:val="365F91"/>
          <w:sz w:val="16"/>
          <w:szCs w:val="16"/>
        </w:rPr>
        <w:t xml:space="preserve"> </w:t>
      </w:r>
      <w:r>
        <w:rPr>
          <w:rFonts w:ascii="Verdana" w:eastAsia="Malgun Gothic" w:hAnsi="Verdana" w:cs="Arial"/>
          <w:color w:val="365F91"/>
          <w:sz w:val="16"/>
          <w:szCs w:val="16"/>
          <w:lang w:val="en-GB"/>
        </w:rPr>
        <w:t>the last month is based on EUROSTAT’s estimation (flash estimate).</w:t>
      </w:r>
    </w:p>
    <w:p w14:paraId="1EC8765C" w14:textId="77777777" w:rsidR="00B7227E" w:rsidRDefault="00B7227E" w:rsidP="00B7227E">
      <w:pPr>
        <w:ind w:right="-4"/>
        <w:jc w:val="both"/>
        <w:rPr>
          <w:rFonts w:ascii="Verdana" w:eastAsia="Malgun Gothic" w:hAnsi="Verdana" w:cs="Arial"/>
          <w:sz w:val="18"/>
          <w:szCs w:val="18"/>
        </w:rPr>
      </w:pPr>
    </w:p>
    <w:p w14:paraId="0B715BCD" w14:textId="77777777" w:rsidR="008339CF" w:rsidRDefault="008339CF" w:rsidP="00B7227E">
      <w:pPr>
        <w:ind w:right="-4"/>
        <w:jc w:val="both"/>
        <w:rPr>
          <w:rFonts w:ascii="Verdana" w:eastAsia="Malgun Gothic" w:hAnsi="Verdana" w:cs="Arial"/>
          <w:sz w:val="18"/>
          <w:szCs w:val="18"/>
        </w:rPr>
      </w:pPr>
      <w:r>
        <w:rPr>
          <w:rFonts w:ascii="Verdana" w:eastAsia="Malgun Gothic" w:hAnsi="Verdana" w:cs="Arial"/>
          <w:sz w:val="18"/>
          <w:szCs w:val="18"/>
        </w:rPr>
        <w:br w:type="page"/>
      </w:r>
    </w:p>
    <w:p w14:paraId="16DB79AD" w14:textId="1692FD7F" w:rsidR="00B7227E" w:rsidRDefault="00B7227E" w:rsidP="00B7227E">
      <w:pPr>
        <w:ind w:right="-4"/>
        <w:jc w:val="both"/>
        <w:rPr>
          <w:rFonts w:ascii="Verdana" w:eastAsia="Malgun Gothic" w:hAnsi="Verdana" w:cs="Arial"/>
          <w:sz w:val="18"/>
          <w:szCs w:val="18"/>
        </w:rPr>
      </w:pPr>
      <w:r>
        <w:rPr>
          <w:rFonts w:ascii="Verdana" w:eastAsia="Malgun Gothic" w:hAnsi="Verdana" w:cs="Arial"/>
          <w:sz w:val="18"/>
          <w:szCs w:val="18"/>
        </w:rPr>
        <w:lastRenderedPageBreak/>
        <w:t>Compared</w:t>
      </w:r>
      <w:r w:rsidRPr="00623C7A">
        <w:rPr>
          <w:rFonts w:ascii="Verdana" w:eastAsia="Malgun Gothic" w:hAnsi="Verdana" w:cs="Arial"/>
          <w:sz w:val="18"/>
          <w:szCs w:val="18"/>
        </w:rPr>
        <w:t xml:space="preserve"> </w:t>
      </w:r>
      <w:r>
        <w:rPr>
          <w:rFonts w:ascii="Verdana" w:eastAsia="Malgun Gothic" w:hAnsi="Verdana" w:cs="Arial"/>
          <w:sz w:val="18"/>
          <w:szCs w:val="18"/>
        </w:rPr>
        <w:t xml:space="preserve">to </w:t>
      </w:r>
      <w:r w:rsidR="00B84C8B">
        <w:rPr>
          <w:rFonts w:ascii="Verdana" w:eastAsia="Malgun Gothic" w:hAnsi="Verdana" w:cs="Arial"/>
          <w:sz w:val="18"/>
          <w:szCs w:val="18"/>
        </w:rPr>
        <w:t>May</w:t>
      </w:r>
      <w:r>
        <w:rPr>
          <w:rFonts w:ascii="Verdana" w:eastAsia="Malgun Gothic" w:hAnsi="Verdana" w:cs="Arial"/>
          <w:sz w:val="18"/>
          <w:szCs w:val="18"/>
        </w:rPr>
        <w:t xml:space="preserve"> </w:t>
      </w:r>
      <w:r w:rsidRPr="00623C7A">
        <w:rPr>
          <w:rFonts w:ascii="Verdana" w:eastAsia="Malgun Gothic" w:hAnsi="Verdana" w:cs="Arial"/>
          <w:sz w:val="18"/>
          <w:szCs w:val="18"/>
        </w:rPr>
        <w:t>2</w:t>
      </w:r>
      <w:r>
        <w:rPr>
          <w:rFonts w:ascii="Verdana" w:eastAsia="Malgun Gothic" w:hAnsi="Verdana" w:cs="Arial"/>
          <w:sz w:val="18"/>
          <w:szCs w:val="18"/>
        </w:rPr>
        <w:t>02</w:t>
      </w:r>
      <w:r w:rsidR="00B736A4">
        <w:rPr>
          <w:rFonts w:ascii="Verdana" w:eastAsia="Malgun Gothic" w:hAnsi="Verdana" w:cs="Arial"/>
          <w:sz w:val="18"/>
          <w:szCs w:val="18"/>
        </w:rPr>
        <w:t>3</w:t>
      </w:r>
      <w:r w:rsidRPr="00623C7A">
        <w:rPr>
          <w:rFonts w:ascii="Verdana" w:eastAsia="Malgun Gothic" w:hAnsi="Verdana" w:cs="Arial"/>
          <w:sz w:val="18"/>
          <w:szCs w:val="18"/>
        </w:rPr>
        <w:t xml:space="preserve">, </w:t>
      </w:r>
      <w:r>
        <w:rPr>
          <w:rFonts w:ascii="Verdana" w:eastAsia="Malgun Gothic" w:hAnsi="Verdana" w:cs="Arial"/>
          <w:sz w:val="18"/>
          <w:szCs w:val="18"/>
        </w:rPr>
        <w:t xml:space="preserve">the largest </w:t>
      </w:r>
      <w:r w:rsidR="005D78E6">
        <w:rPr>
          <w:rFonts w:ascii="Verdana" w:eastAsia="Malgun Gothic" w:hAnsi="Verdana" w:cs="Arial"/>
          <w:sz w:val="18"/>
          <w:szCs w:val="18"/>
        </w:rPr>
        <w:t xml:space="preserve">positive </w:t>
      </w:r>
      <w:r>
        <w:rPr>
          <w:rFonts w:ascii="Verdana" w:eastAsia="Malgun Gothic" w:hAnsi="Verdana" w:cs="Arial"/>
          <w:sz w:val="18"/>
          <w:szCs w:val="18"/>
        </w:rPr>
        <w:t>change</w:t>
      </w:r>
      <w:r w:rsidR="0033704E">
        <w:rPr>
          <w:rFonts w:ascii="Verdana" w:eastAsia="Malgun Gothic" w:hAnsi="Verdana" w:cs="Arial"/>
          <w:sz w:val="18"/>
          <w:szCs w:val="18"/>
        </w:rPr>
        <w:t>s</w:t>
      </w:r>
      <w:r>
        <w:rPr>
          <w:rFonts w:ascii="Verdana" w:eastAsia="Malgun Gothic" w:hAnsi="Verdana" w:cs="Arial"/>
          <w:sz w:val="18"/>
          <w:szCs w:val="18"/>
        </w:rPr>
        <w:t xml:space="preserve"> w</w:t>
      </w:r>
      <w:r w:rsidR="0033704E">
        <w:rPr>
          <w:rFonts w:ascii="Verdana" w:eastAsia="Malgun Gothic" w:hAnsi="Verdana" w:cs="Arial"/>
          <w:sz w:val="18"/>
          <w:szCs w:val="18"/>
        </w:rPr>
        <w:t>ere</w:t>
      </w:r>
      <w:r>
        <w:rPr>
          <w:rFonts w:ascii="Verdana" w:eastAsia="Malgun Gothic" w:hAnsi="Verdana" w:cs="Arial"/>
          <w:sz w:val="18"/>
          <w:szCs w:val="18"/>
        </w:rPr>
        <w:t xml:space="preserve"> noted in </w:t>
      </w:r>
      <w:r w:rsidR="003B10FB" w:rsidRPr="001E6667">
        <w:rPr>
          <w:rFonts w:ascii="Verdana" w:eastAsia="Times New Roman" w:hAnsi="Verdana" w:cs="Arial"/>
          <w:i/>
          <w:sz w:val="18"/>
          <w:szCs w:val="18"/>
        </w:rPr>
        <w:t>Restaurants and Hotels</w:t>
      </w:r>
      <w:r w:rsidR="003B10FB" w:rsidRPr="003E680B">
        <w:rPr>
          <w:rFonts w:ascii="Verdana" w:eastAsia="Times New Roman" w:hAnsi="Verdana" w:cs="Arial"/>
          <w:i/>
          <w:sz w:val="18"/>
          <w:szCs w:val="18"/>
        </w:rPr>
        <w:t xml:space="preserve"> </w:t>
      </w:r>
      <w:r>
        <w:rPr>
          <w:rFonts w:ascii="Verdana" w:eastAsia="Times New Roman" w:hAnsi="Verdana" w:cs="Arial"/>
          <w:sz w:val="18"/>
          <w:szCs w:val="18"/>
        </w:rPr>
        <w:t>(</w:t>
      </w:r>
      <w:r w:rsidR="00072C6C" w:rsidRPr="00072C6C">
        <w:rPr>
          <w:rFonts w:ascii="Verdana" w:eastAsia="Times New Roman" w:hAnsi="Verdana" w:cs="Arial"/>
          <w:sz w:val="18"/>
          <w:szCs w:val="18"/>
        </w:rPr>
        <w:t>6</w:t>
      </w:r>
      <w:r>
        <w:rPr>
          <w:rFonts w:ascii="Verdana" w:eastAsia="Times New Roman" w:hAnsi="Verdana" w:cs="Arial"/>
          <w:sz w:val="18"/>
          <w:szCs w:val="18"/>
        </w:rPr>
        <w:t>,</w:t>
      </w:r>
      <w:r w:rsidR="00072C6C" w:rsidRPr="00072C6C">
        <w:rPr>
          <w:rFonts w:ascii="Verdana" w:eastAsia="Times New Roman" w:hAnsi="Verdana" w:cs="Arial"/>
          <w:sz w:val="18"/>
          <w:szCs w:val="18"/>
        </w:rPr>
        <w:t>1</w:t>
      </w:r>
      <w:r w:rsidR="008C6CDB">
        <w:rPr>
          <w:rFonts w:ascii="Verdana" w:eastAsia="Times New Roman" w:hAnsi="Verdana" w:cs="Arial"/>
          <w:sz w:val="18"/>
          <w:szCs w:val="18"/>
        </w:rPr>
        <w:t>%</w:t>
      </w:r>
      <w:r w:rsidR="00C61818">
        <w:rPr>
          <w:rFonts w:ascii="Verdana" w:eastAsia="Times New Roman" w:hAnsi="Verdana" w:cs="Arial"/>
          <w:sz w:val="18"/>
          <w:szCs w:val="18"/>
        </w:rPr>
        <w:t>)</w:t>
      </w:r>
      <w:r w:rsidR="0033704E">
        <w:rPr>
          <w:rFonts w:ascii="Verdana" w:eastAsia="Times New Roman" w:hAnsi="Verdana" w:cs="Arial"/>
          <w:sz w:val="18"/>
          <w:szCs w:val="18"/>
        </w:rPr>
        <w:t xml:space="preserve"> and </w:t>
      </w:r>
      <w:r w:rsidR="00072C6C" w:rsidRPr="00072C6C">
        <w:rPr>
          <w:rFonts w:ascii="Verdana" w:eastAsia="Times New Roman" w:hAnsi="Verdana" w:cs="Arial"/>
          <w:i/>
          <w:iCs/>
          <w:sz w:val="18"/>
          <w:szCs w:val="18"/>
        </w:rPr>
        <w:t xml:space="preserve">Transport </w:t>
      </w:r>
      <w:r w:rsidR="0033704E">
        <w:rPr>
          <w:rFonts w:ascii="Verdana" w:eastAsia="Times New Roman" w:hAnsi="Verdana" w:cs="Arial"/>
          <w:sz w:val="18"/>
          <w:szCs w:val="18"/>
        </w:rPr>
        <w:t>(</w:t>
      </w:r>
      <w:r w:rsidR="00072C6C" w:rsidRPr="00072C6C">
        <w:rPr>
          <w:rFonts w:ascii="Verdana" w:eastAsia="Times New Roman" w:hAnsi="Verdana" w:cs="Arial"/>
          <w:sz w:val="18"/>
          <w:szCs w:val="18"/>
        </w:rPr>
        <w:t>5</w:t>
      </w:r>
      <w:r w:rsidR="0033704E">
        <w:rPr>
          <w:rFonts w:ascii="Verdana" w:eastAsia="Times New Roman" w:hAnsi="Verdana" w:cs="Arial"/>
          <w:sz w:val="18"/>
          <w:szCs w:val="18"/>
        </w:rPr>
        <w:t>,</w:t>
      </w:r>
      <w:r w:rsidR="00072C6C" w:rsidRPr="00072C6C">
        <w:rPr>
          <w:rFonts w:ascii="Verdana" w:eastAsia="Times New Roman" w:hAnsi="Verdana" w:cs="Arial"/>
          <w:sz w:val="18"/>
          <w:szCs w:val="18"/>
        </w:rPr>
        <w:t>6</w:t>
      </w:r>
      <w:r w:rsidR="0033704E">
        <w:rPr>
          <w:rFonts w:ascii="Verdana" w:eastAsia="Times New Roman" w:hAnsi="Verdana" w:cs="Arial"/>
          <w:sz w:val="18"/>
          <w:szCs w:val="18"/>
        </w:rPr>
        <w:t>%)</w:t>
      </w:r>
      <w:r w:rsidR="0087342D">
        <w:rPr>
          <w:rFonts w:ascii="Verdana" w:eastAsia="Times New Roman" w:hAnsi="Verdana" w:cs="Arial"/>
          <w:sz w:val="18"/>
          <w:szCs w:val="18"/>
        </w:rPr>
        <w:t>.</w:t>
      </w:r>
      <w:r w:rsidR="007E4252">
        <w:rPr>
          <w:rFonts w:ascii="Verdana" w:eastAsia="Times New Roman" w:hAnsi="Verdana" w:cs="Arial"/>
          <w:sz w:val="18"/>
          <w:szCs w:val="18"/>
        </w:rPr>
        <w:t xml:space="preserve">     </w:t>
      </w:r>
      <w:r w:rsidRPr="00623C7A">
        <w:rPr>
          <w:rFonts w:ascii="Verdana" w:eastAsia="Malgun Gothic" w:hAnsi="Verdana" w:cs="Arial"/>
          <w:sz w:val="18"/>
          <w:szCs w:val="18"/>
        </w:rPr>
        <w:t>(</w:t>
      </w:r>
      <w:r>
        <w:rPr>
          <w:rFonts w:ascii="Verdana" w:eastAsia="Malgun Gothic" w:hAnsi="Verdana" w:cs="Arial"/>
          <w:sz w:val="18"/>
          <w:szCs w:val="18"/>
        </w:rPr>
        <w:t>Table</w:t>
      </w:r>
      <w:r w:rsidRPr="00623C7A">
        <w:rPr>
          <w:rFonts w:ascii="Verdana" w:eastAsia="Malgun Gothic" w:hAnsi="Verdana" w:cs="Arial"/>
          <w:sz w:val="18"/>
          <w:szCs w:val="18"/>
        </w:rPr>
        <w:t xml:space="preserve"> 1)</w:t>
      </w:r>
    </w:p>
    <w:p w14:paraId="7CD7B025" w14:textId="77777777" w:rsidR="00B7227E" w:rsidRDefault="00B7227E" w:rsidP="00B7227E">
      <w:pPr>
        <w:tabs>
          <w:tab w:val="left" w:pos="1080"/>
          <w:tab w:val="left" w:pos="6840"/>
        </w:tabs>
        <w:jc w:val="both"/>
        <w:rPr>
          <w:rFonts w:ascii="Verdana" w:eastAsia="Malgun Gothic" w:hAnsi="Verdana" w:cs="Arial"/>
          <w:sz w:val="18"/>
          <w:szCs w:val="18"/>
          <w:lang w:val="en-GB"/>
        </w:rPr>
      </w:pPr>
    </w:p>
    <w:p w14:paraId="798D7486" w14:textId="60CE9A41" w:rsidR="00B7227E" w:rsidRDefault="00B7227E" w:rsidP="00B7227E">
      <w:pPr>
        <w:tabs>
          <w:tab w:val="left" w:pos="0"/>
          <w:tab w:val="left" w:pos="6840"/>
        </w:tabs>
        <w:jc w:val="both"/>
        <w:rPr>
          <w:rFonts w:ascii="Verdana" w:eastAsia="Malgun Gothic" w:hAnsi="Verdana" w:cs="Arial"/>
          <w:sz w:val="18"/>
          <w:szCs w:val="18"/>
        </w:rPr>
      </w:pPr>
      <w:r>
        <w:rPr>
          <w:rFonts w:ascii="Verdana" w:eastAsia="Malgun Gothic" w:hAnsi="Verdana" w:cs="Arial"/>
          <w:sz w:val="18"/>
          <w:szCs w:val="18"/>
          <w:lang w:val="en-GB"/>
        </w:rPr>
        <w:t>Compared to</w:t>
      </w:r>
      <w:r>
        <w:rPr>
          <w:rFonts w:ascii="Verdana" w:eastAsia="Malgun Gothic" w:hAnsi="Verdana" w:cs="Arial"/>
          <w:sz w:val="18"/>
          <w:szCs w:val="18"/>
        </w:rPr>
        <w:t xml:space="preserve"> </w:t>
      </w:r>
      <w:r w:rsidR="00B84C8B">
        <w:rPr>
          <w:rFonts w:ascii="Verdana" w:eastAsia="Malgun Gothic" w:hAnsi="Verdana" w:cs="Arial"/>
          <w:sz w:val="18"/>
          <w:szCs w:val="18"/>
        </w:rPr>
        <w:t>April</w:t>
      </w:r>
      <w:r w:rsidR="00BC4CE9">
        <w:rPr>
          <w:rFonts w:ascii="Verdana" w:eastAsia="Malgun Gothic" w:hAnsi="Verdana" w:cs="Arial"/>
          <w:sz w:val="18"/>
          <w:szCs w:val="18"/>
        </w:rPr>
        <w:t xml:space="preserve"> </w:t>
      </w:r>
      <w:r w:rsidR="001D2C52">
        <w:rPr>
          <w:rFonts w:ascii="Verdana" w:eastAsia="Malgun Gothic" w:hAnsi="Verdana" w:cs="Arial"/>
          <w:sz w:val="18"/>
          <w:szCs w:val="18"/>
        </w:rPr>
        <w:t>202</w:t>
      </w:r>
      <w:r w:rsidR="0087342D">
        <w:rPr>
          <w:rFonts w:ascii="Verdana" w:eastAsia="Malgun Gothic" w:hAnsi="Verdana" w:cs="Arial"/>
          <w:sz w:val="18"/>
          <w:szCs w:val="18"/>
        </w:rPr>
        <w:t>4</w:t>
      </w:r>
      <w:r w:rsidRPr="00435B4B">
        <w:rPr>
          <w:rFonts w:ascii="Verdana" w:eastAsia="Malgun Gothic" w:hAnsi="Verdana" w:cs="Arial"/>
          <w:sz w:val="18"/>
          <w:szCs w:val="18"/>
        </w:rPr>
        <w:t>,</w:t>
      </w:r>
      <w:r w:rsidRPr="00623C7A">
        <w:rPr>
          <w:rFonts w:ascii="Verdana" w:eastAsia="Malgun Gothic" w:hAnsi="Verdana" w:cs="Arial"/>
          <w:sz w:val="18"/>
          <w:szCs w:val="18"/>
        </w:rPr>
        <w:t xml:space="preserve"> </w:t>
      </w:r>
      <w:r>
        <w:rPr>
          <w:rFonts w:ascii="Verdana" w:eastAsia="Malgun Gothic" w:hAnsi="Verdana" w:cs="Arial"/>
          <w:sz w:val="18"/>
          <w:szCs w:val="18"/>
        </w:rPr>
        <w:t>the</w:t>
      </w:r>
      <w:r w:rsidRPr="00623C7A">
        <w:rPr>
          <w:rFonts w:ascii="Verdana" w:eastAsia="Malgun Gothic" w:hAnsi="Verdana" w:cs="Arial"/>
          <w:sz w:val="18"/>
          <w:szCs w:val="18"/>
        </w:rPr>
        <w:t xml:space="preserve"> </w:t>
      </w:r>
      <w:r>
        <w:rPr>
          <w:rFonts w:ascii="Verdana" w:eastAsia="Malgun Gothic" w:hAnsi="Verdana" w:cs="Arial"/>
          <w:sz w:val="18"/>
          <w:szCs w:val="18"/>
        </w:rPr>
        <w:t>largest change w</w:t>
      </w:r>
      <w:r w:rsidR="00054A6F">
        <w:rPr>
          <w:rFonts w:ascii="Verdana" w:eastAsia="Malgun Gothic" w:hAnsi="Verdana" w:cs="Arial"/>
          <w:sz w:val="18"/>
          <w:szCs w:val="18"/>
        </w:rPr>
        <w:t xml:space="preserve">as </w:t>
      </w:r>
      <w:r>
        <w:rPr>
          <w:rFonts w:ascii="Verdana" w:eastAsia="Malgun Gothic" w:hAnsi="Verdana" w:cs="Arial"/>
          <w:sz w:val="18"/>
          <w:szCs w:val="18"/>
        </w:rPr>
        <w:t>recorded in catego</w:t>
      </w:r>
      <w:r w:rsidR="00C85C9F">
        <w:rPr>
          <w:rFonts w:ascii="Verdana" w:eastAsia="Malgun Gothic" w:hAnsi="Verdana" w:cs="Arial"/>
          <w:sz w:val="18"/>
          <w:szCs w:val="18"/>
        </w:rPr>
        <w:t>ry</w:t>
      </w:r>
      <w:r>
        <w:rPr>
          <w:rFonts w:ascii="Verdana" w:eastAsia="Times New Roman" w:hAnsi="Verdana" w:cs="Arial"/>
          <w:sz w:val="18"/>
          <w:szCs w:val="18"/>
        </w:rPr>
        <w:t xml:space="preserve"> </w:t>
      </w:r>
      <w:r w:rsidR="00072C6C" w:rsidRPr="00072C6C">
        <w:rPr>
          <w:rFonts w:ascii="Verdana" w:eastAsia="Times New Roman" w:hAnsi="Verdana" w:cs="Arial"/>
          <w:i/>
          <w:sz w:val="18"/>
          <w:szCs w:val="18"/>
        </w:rPr>
        <w:t>Restaurants and Hotels</w:t>
      </w:r>
      <w:r w:rsidR="0033704E">
        <w:rPr>
          <w:rFonts w:ascii="Verdana" w:eastAsia="Times New Roman" w:hAnsi="Verdana" w:cs="Arial"/>
          <w:iCs/>
          <w:sz w:val="18"/>
          <w:szCs w:val="18"/>
        </w:rPr>
        <w:t xml:space="preserve"> (</w:t>
      </w:r>
      <w:r w:rsidR="00072C6C" w:rsidRPr="00072C6C">
        <w:rPr>
          <w:rFonts w:ascii="Verdana" w:eastAsia="Times New Roman" w:hAnsi="Verdana" w:cs="Arial"/>
          <w:iCs/>
          <w:sz w:val="18"/>
          <w:szCs w:val="18"/>
        </w:rPr>
        <w:t>2</w:t>
      </w:r>
      <w:r w:rsidR="0033704E">
        <w:rPr>
          <w:rFonts w:ascii="Verdana" w:eastAsia="Times New Roman" w:hAnsi="Verdana" w:cs="Arial"/>
          <w:iCs/>
          <w:sz w:val="18"/>
          <w:szCs w:val="18"/>
        </w:rPr>
        <w:t>,</w:t>
      </w:r>
      <w:r w:rsidR="00072C6C" w:rsidRPr="00072C6C">
        <w:rPr>
          <w:rFonts w:ascii="Verdana" w:eastAsia="Times New Roman" w:hAnsi="Verdana" w:cs="Arial"/>
          <w:iCs/>
          <w:sz w:val="18"/>
          <w:szCs w:val="18"/>
        </w:rPr>
        <w:t>4</w:t>
      </w:r>
      <w:r w:rsidR="0033704E">
        <w:rPr>
          <w:rFonts w:ascii="Verdana" w:eastAsia="Times New Roman" w:hAnsi="Verdana" w:cs="Arial"/>
          <w:iCs/>
          <w:sz w:val="18"/>
          <w:szCs w:val="18"/>
        </w:rPr>
        <w:t>%)</w:t>
      </w:r>
      <w:r w:rsidR="001714E3">
        <w:rPr>
          <w:rFonts w:ascii="Verdana" w:eastAsia="Times New Roman" w:hAnsi="Verdana" w:cs="Arial"/>
          <w:sz w:val="18"/>
          <w:szCs w:val="18"/>
        </w:rPr>
        <w:t>.</w:t>
      </w:r>
      <w:r>
        <w:rPr>
          <w:rFonts w:ascii="Verdana" w:eastAsia="Malgun Gothic" w:hAnsi="Verdana" w:cs="Arial"/>
          <w:sz w:val="18"/>
          <w:szCs w:val="18"/>
        </w:rPr>
        <w:t xml:space="preserve"> </w:t>
      </w:r>
      <w:r w:rsidRPr="00867142">
        <w:rPr>
          <w:rFonts w:ascii="Verdana" w:eastAsia="Malgun Gothic" w:hAnsi="Verdana" w:cs="Arial"/>
          <w:sz w:val="18"/>
          <w:szCs w:val="18"/>
        </w:rPr>
        <w:t>(</w:t>
      </w:r>
      <w:r>
        <w:rPr>
          <w:rFonts w:ascii="Verdana" w:eastAsia="Malgun Gothic" w:hAnsi="Verdana" w:cs="Arial"/>
          <w:sz w:val="18"/>
          <w:szCs w:val="18"/>
        </w:rPr>
        <w:t>Table</w:t>
      </w:r>
      <w:r w:rsidRPr="00867142">
        <w:rPr>
          <w:rFonts w:ascii="Verdana" w:eastAsia="Malgun Gothic" w:hAnsi="Verdana" w:cs="Arial"/>
          <w:sz w:val="18"/>
          <w:szCs w:val="18"/>
        </w:rPr>
        <w:t xml:space="preserve"> 1)</w:t>
      </w:r>
    </w:p>
    <w:p w14:paraId="609161B3" w14:textId="77777777" w:rsidR="00594C0A" w:rsidRDefault="00594C0A" w:rsidP="00B7227E">
      <w:pPr>
        <w:tabs>
          <w:tab w:val="left" w:pos="0"/>
          <w:tab w:val="left" w:pos="6840"/>
        </w:tabs>
        <w:jc w:val="both"/>
        <w:rPr>
          <w:rFonts w:ascii="Verdana" w:eastAsia="Malgun Gothic" w:hAnsi="Verdana" w:cs="Arial"/>
          <w:sz w:val="18"/>
          <w:szCs w:val="18"/>
        </w:rPr>
      </w:pPr>
    </w:p>
    <w:p w14:paraId="058A7ED9" w14:textId="5888ECE4" w:rsidR="0087342D" w:rsidRDefault="0087342D" w:rsidP="00594C0A">
      <w:pPr>
        <w:jc w:val="both"/>
        <w:rPr>
          <w:rFonts w:ascii="Verdana" w:eastAsia="Malgun Gothic" w:hAnsi="Verdana" w:cs="Arial"/>
          <w:sz w:val="18"/>
          <w:szCs w:val="18"/>
        </w:rPr>
      </w:pPr>
      <w:r>
        <w:rPr>
          <w:rFonts w:ascii="Verdana" w:eastAsia="Malgun Gothic" w:hAnsi="Verdana" w:cs="Arial"/>
          <w:sz w:val="18"/>
          <w:szCs w:val="18"/>
        </w:rPr>
        <w:t xml:space="preserve">For the period January </w:t>
      </w:r>
      <w:r>
        <w:rPr>
          <w:rFonts w:ascii="Verdana" w:eastAsia="Malgun Gothic" w:hAnsi="Verdana" w:cs="Arial"/>
          <w:sz w:val="18"/>
          <w:szCs w:val="18"/>
          <w:lang w:val="en-GB"/>
        </w:rPr>
        <w:t xml:space="preserve">- </w:t>
      </w:r>
      <w:r w:rsidR="00B84C8B">
        <w:rPr>
          <w:rFonts w:ascii="Verdana" w:eastAsia="Malgun Gothic" w:hAnsi="Verdana" w:cs="Arial"/>
          <w:sz w:val="18"/>
          <w:szCs w:val="18"/>
          <w:lang w:val="en-GB"/>
        </w:rPr>
        <w:t>May</w:t>
      </w:r>
      <w:r>
        <w:rPr>
          <w:rFonts w:ascii="Verdana" w:eastAsia="Malgun Gothic" w:hAnsi="Verdana" w:cs="Arial"/>
          <w:sz w:val="18"/>
          <w:szCs w:val="18"/>
          <w:lang w:val="en-GB"/>
        </w:rPr>
        <w:t xml:space="preserve"> </w:t>
      </w:r>
      <w:r>
        <w:rPr>
          <w:rFonts w:ascii="Verdana" w:eastAsia="Malgun Gothic" w:hAnsi="Verdana" w:cs="Arial"/>
          <w:sz w:val="18"/>
          <w:szCs w:val="18"/>
        </w:rPr>
        <w:t>202</w:t>
      </w:r>
      <w:r w:rsidR="00594C0A">
        <w:rPr>
          <w:rFonts w:ascii="Verdana" w:eastAsia="Malgun Gothic" w:hAnsi="Verdana" w:cs="Arial"/>
          <w:sz w:val="18"/>
          <w:szCs w:val="18"/>
        </w:rPr>
        <w:t>4</w:t>
      </w:r>
      <w:r>
        <w:rPr>
          <w:rFonts w:ascii="Verdana" w:eastAsia="Malgun Gothic" w:hAnsi="Verdana" w:cs="Arial"/>
          <w:sz w:val="18"/>
          <w:szCs w:val="18"/>
        </w:rPr>
        <w:t>, compared to the corresponding period of the previous year, the largest change w</w:t>
      </w:r>
      <w:r w:rsidR="007E4252">
        <w:rPr>
          <w:rFonts w:ascii="Verdana" w:eastAsia="Malgun Gothic" w:hAnsi="Verdana" w:cs="Arial"/>
          <w:sz w:val="18"/>
          <w:szCs w:val="18"/>
        </w:rPr>
        <w:t>as</w:t>
      </w:r>
      <w:r>
        <w:rPr>
          <w:rFonts w:ascii="Verdana" w:eastAsia="Malgun Gothic" w:hAnsi="Verdana" w:cs="Arial"/>
          <w:sz w:val="18"/>
          <w:szCs w:val="18"/>
        </w:rPr>
        <w:t xml:space="preserve"> noted in </w:t>
      </w:r>
      <w:r w:rsidR="00594C0A" w:rsidRPr="00165DB7">
        <w:rPr>
          <w:rFonts w:ascii="Verdana" w:eastAsia="Times New Roman" w:hAnsi="Verdana" w:cs="Arial"/>
          <w:i/>
          <w:sz w:val="18"/>
          <w:szCs w:val="18"/>
        </w:rPr>
        <w:t>Restaurants and Hotels</w:t>
      </w:r>
      <w:r w:rsidR="00594C0A">
        <w:rPr>
          <w:rFonts w:ascii="Verdana" w:eastAsia="Malgun Gothic" w:hAnsi="Verdana" w:cs="Arial"/>
          <w:sz w:val="18"/>
          <w:szCs w:val="18"/>
        </w:rPr>
        <w:t xml:space="preserve"> </w:t>
      </w:r>
      <w:r>
        <w:rPr>
          <w:rFonts w:ascii="Verdana" w:eastAsia="Malgun Gothic" w:hAnsi="Verdana" w:cs="Arial"/>
          <w:sz w:val="18"/>
          <w:szCs w:val="18"/>
        </w:rPr>
        <w:t>(</w:t>
      </w:r>
      <w:r w:rsidR="00594C0A">
        <w:rPr>
          <w:rFonts w:ascii="Verdana" w:eastAsia="Malgun Gothic" w:hAnsi="Verdana" w:cs="Arial"/>
          <w:sz w:val="18"/>
          <w:szCs w:val="18"/>
        </w:rPr>
        <w:t>5</w:t>
      </w:r>
      <w:r>
        <w:rPr>
          <w:rFonts w:ascii="Verdana" w:eastAsia="Malgun Gothic" w:hAnsi="Verdana" w:cs="Arial"/>
          <w:sz w:val="18"/>
          <w:szCs w:val="18"/>
        </w:rPr>
        <w:t>,</w:t>
      </w:r>
      <w:r w:rsidR="00072C6C" w:rsidRPr="00072C6C">
        <w:rPr>
          <w:rFonts w:ascii="Verdana" w:eastAsia="Malgun Gothic" w:hAnsi="Verdana" w:cs="Arial"/>
          <w:sz w:val="18"/>
          <w:szCs w:val="18"/>
        </w:rPr>
        <w:t>8</w:t>
      </w:r>
      <w:r>
        <w:rPr>
          <w:rFonts w:ascii="Verdana" w:eastAsia="Malgun Gothic" w:hAnsi="Verdana" w:cs="Arial"/>
          <w:sz w:val="18"/>
          <w:szCs w:val="18"/>
        </w:rPr>
        <w:t xml:space="preserve">%). </w:t>
      </w:r>
      <w:r w:rsidRPr="00867142">
        <w:rPr>
          <w:rFonts w:ascii="Verdana" w:eastAsia="Malgun Gothic" w:hAnsi="Verdana" w:cs="Arial"/>
          <w:sz w:val="18"/>
          <w:szCs w:val="18"/>
        </w:rPr>
        <w:t>(</w:t>
      </w:r>
      <w:r>
        <w:rPr>
          <w:rFonts w:ascii="Verdana" w:eastAsia="Malgun Gothic" w:hAnsi="Verdana" w:cs="Arial"/>
          <w:sz w:val="18"/>
          <w:szCs w:val="18"/>
        </w:rPr>
        <w:t>Table</w:t>
      </w:r>
      <w:r w:rsidRPr="00867142">
        <w:rPr>
          <w:rFonts w:ascii="Verdana" w:eastAsia="Malgun Gothic" w:hAnsi="Verdana" w:cs="Arial"/>
          <w:sz w:val="18"/>
          <w:szCs w:val="18"/>
        </w:rPr>
        <w:t xml:space="preserve"> 1)</w:t>
      </w:r>
    </w:p>
    <w:p w14:paraId="605D6A6B" w14:textId="77777777" w:rsidR="00B736A4" w:rsidRPr="00270F7B" w:rsidRDefault="00B736A4" w:rsidP="00B736A4">
      <w:pPr>
        <w:tabs>
          <w:tab w:val="left" w:pos="1080"/>
          <w:tab w:val="left" w:pos="6840"/>
        </w:tabs>
        <w:jc w:val="both"/>
        <w:rPr>
          <w:rFonts w:ascii="Verdana" w:eastAsia="Malgun Gothic" w:hAnsi="Verdana" w:cs="Arial"/>
          <w:sz w:val="18"/>
          <w:szCs w:val="18"/>
        </w:rPr>
      </w:pPr>
    </w:p>
    <w:p w14:paraId="014C213F" w14:textId="3A122FA7" w:rsidR="00DE0103" w:rsidRDefault="00B736A4" w:rsidP="00B736A4">
      <w:pPr>
        <w:tabs>
          <w:tab w:val="left" w:pos="1080"/>
          <w:tab w:val="left" w:pos="6840"/>
        </w:tabs>
        <w:jc w:val="both"/>
        <w:rPr>
          <w:rFonts w:ascii="Verdana" w:eastAsia="Malgun Gothic" w:hAnsi="Verdana" w:cs="Arial"/>
          <w:sz w:val="18"/>
          <w:szCs w:val="18"/>
          <w:lang w:val="en-GB"/>
        </w:rPr>
      </w:pPr>
      <w:r>
        <w:rPr>
          <w:rFonts w:ascii="Verdana" w:eastAsia="Malgun Gothic" w:hAnsi="Verdana" w:cs="Arial"/>
          <w:sz w:val="18"/>
          <w:szCs w:val="18"/>
          <w:lang w:val="en-GB"/>
        </w:rPr>
        <w:t xml:space="preserve">As regards the economic origin, the largest change when </w:t>
      </w:r>
      <w:r w:rsidR="0033704E">
        <w:rPr>
          <w:rFonts w:ascii="Verdana" w:eastAsia="Malgun Gothic" w:hAnsi="Verdana" w:cs="Arial"/>
          <w:sz w:val="18"/>
          <w:szCs w:val="18"/>
          <w:lang w:val="en-GB"/>
        </w:rPr>
        <w:t>compared</w:t>
      </w:r>
      <w:r w:rsidR="00054A6F">
        <w:rPr>
          <w:rFonts w:ascii="Verdana" w:eastAsia="Malgun Gothic" w:hAnsi="Verdana" w:cs="Arial"/>
          <w:sz w:val="18"/>
          <w:szCs w:val="18"/>
          <w:lang w:val="en-GB"/>
        </w:rPr>
        <w:t xml:space="preserve"> </w:t>
      </w:r>
      <w:r w:rsidR="0033704E">
        <w:rPr>
          <w:rFonts w:ascii="Verdana" w:eastAsia="Malgun Gothic" w:hAnsi="Verdana" w:cs="Arial"/>
          <w:sz w:val="18"/>
          <w:szCs w:val="18"/>
          <w:lang w:val="en-GB"/>
        </w:rPr>
        <w:t xml:space="preserve">to the index of </w:t>
      </w:r>
      <w:r w:rsidR="00B84C8B">
        <w:rPr>
          <w:rFonts w:ascii="Verdana" w:eastAsia="Malgun Gothic" w:hAnsi="Verdana" w:cs="Arial"/>
          <w:sz w:val="18"/>
          <w:szCs w:val="18"/>
          <w:lang w:val="en-GB"/>
        </w:rPr>
        <w:t>May</w:t>
      </w:r>
      <w:r w:rsidR="0033704E">
        <w:rPr>
          <w:rFonts w:ascii="Verdana" w:eastAsia="Malgun Gothic" w:hAnsi="Verdana" w:cs="Arial"/>
          <w:sz w:val="18"/>
          <w:szCs w:val="18"/>
          <w:lang w:val="en-GB"/>
        </w:rPr>
        <w:t xml:space="preserve"> 2023 </w:t>
      </w:r>
      <w:r w:rsidR="0033704E">
        <w:rPr>
          <w:rFonts w:ascii="Verdana" w:eastAsia="Malgun Gothic" w:hAnsi="Verdana" w:cs="Arial"/>
          <w:sz w:val="18"/>
          <w:szCs w:val="18"/>
        </w:rPr>
        <w:t>was</w:t>
      </w:r>
      <w:r w:rsidR="0033704E" w:rsidRPr="00FF0985">
        <w:rPr>
          <w:rFonts w:ascii="Verdana" w:eastAsia="Malgun Gothic" w:hAnsi="Verdana" w:cs="Arial"/>
          <w:sz w:val="18"/>
          <w:szCs w:val="18"/>
        </w:rPr>
        <w:t xml:space="preserve"> </w:t>
      </w:r>
      <w:r w:rsidR="0033704E">
        <w:rPr>
          <w:rFonts w:ascii="Verdana" w:eastAsia="Malgun Gothic" w:hAnsi="Verdana" w:cs="Arial"/>
          <w:sz w:val="18"/>
          <w:szCs w:val="18"/>
        </w:rPr>
        <w:t>observed</w:t>
      </w:r>
      <w:r w:rsidR="0033704E" w:rsidRPr="00FF0985">
        <w:rPr>
          <w:rFonts w:ascii="Verdana" w:eastAsia="Malgun Gothic" w:hAnsi="Verdana" w:cs="Arial"/>
          <w:sz w:val="18"/>
          <w:szCs w:val="18"/>
        </w:rPr>
        <w:t xml:space="preserve"> </w:t>
      </w:r>
      <w:r w:rsidR="0033704E">
        <w:rPr>
          <w:rFonts w:ascii="Verdana" w:eastAsia="Malgun Gothic" w:hAnsi="Verdana" w:cs="Arial"/>
          <w:sz w:val="18"/>
          <w:szCs w:val="18"/>
        </w:rPr>
        <w:t>i</w:t>
      </w:r>
      <w:r>
        <w:rPr>
          <w:rFonts w:ascii="Verdana" w:eastAsia="Times New Roman" w:hAnsi="Verdana" w:cs="Arial"/>
          <w:sz w:val="18"/>
          <w:szCs w:val="18"/>
        </w:rPr>
        <w:t>n</w:t>
      </w:r>
      <w:r w:rsidRPr="009646CD">
        <w:t xml:space="preserve"> </w:t>
      </w:r>
      <w:r>
        <w:t xml:space="preserve">category </w:t>
      </w:r>
      <w:r w:rsidR="0033704E" w:rsidRPr="0033704E">
        <w:rPr>
          <w:rFonts w:ascii="Verdana" w:eastAsia="Malgun Gothic" w:hAnsi="Verdana" w:cs="Arial"/>
          <w:i/>
          <w:iCs/>
          <w:sz w:val="18"/>
          <w:szCs w:val="18"/>
          <w:lang w:val="en-GB"/>
        </w:rPr>
        <w:t xml:space="preserve">Energy </w:t>
      </w:r>
      <w:r w:rsidR="00072C6C" w:rsidRPr="00072C6C">
        <w:rPr>
          <w:rFonts w:ascii="Verdana" w:eastAsia="Malgun Gothic" w:hAnsi="Verdana" w:cs="Arial"/>
          <w:sz w:val="18"/>
          <w:szCs w:val="18"/>
        </w:rPr>
        <w:t>(7,2</w:t>
      </w:r>
      <w:r w:rsidR="0033704E">
        <w:rPr>
          <w:rFonts w:ascii="Verdana" w:eastAsia="Malgun Gothic" w:hAnsi="Verdana" w:cs="Arial"/>
          <w:sz w:val="18"/>
          <w:szCs w:val="18"/>
        </w:rPr>
        <w:t>%</w:t>
      </w:r>
      <w:r w:rsidR="00072C6C" w:rsidRPr="001A2AE4">
        <w:rPr>
          <w:rFonts w:ascii="Verdana" w:eastAsia="Malgun Gothic" w:hAnsi="Verdana" w:cs="Arial"/>
          <w:sz w:val="18"/>
          <w:szCs w:val="18"/>
        </w:rPr>
        <w:t>)</w:t>
      </w:r>
      <w:r w:rsidR="001A2AE4" w:rsidRPr="001A2AE4">
        <w:rPr>
          <w:rFonts w:ascii="Verdana" w:eastAsia="Malgun Gothic" w:hAnsi="Verdana" w:cs="Arial"/>
          <w:sz w:val="18"/>
          <w:szCs w:val="18"/>
        </w:rPr>
        <w:t xml:space="preserve">. </w:t>
      </w:r>
      <w:r w:rsidR="00072C6C" w:rsidRPr="00141730">
        <w:rPr>
          <w:rFonts w:ascii="Verdana" w:eastAsia="Malgun Gothic" w:hAnsi="Verdana" w:cs="Arial"/>
          <w:sz w:val="18"/>
          <w:szCs w:val="18"/>
          <w:lang w:val="en-GB"/>
        </w:rPr>
        <w:t>When compared to the index of the previous month, the largest change</w:t>
      </w:r>
      <w:r w:rsidR="00072C6C" w:rsidRPr="00B92141">
        <w:rPr>
          <w:rFonts w:ascii="Verdana" w:eastAsia="Malgun Gothic" w:hAnsi="Verdana" w:cs="Arial"/>
          <w:sz w:val="18"/>
          <w:szCs w:val="18"/>
        </w:rPr>
        <w:t xml:space="preserve"> </w:t>
      </w:r>
      <w:r w:rsidR="00072C6C">
        <w:rPr>
          <w:rFonts w:ascii="Verdana" w:eastAsia="Times New Roman" w:hAnsi="Verdana" w:cs="Arial"/>
          <w:sz w:val="18"/>
          <w:szCs w:val="18"/>
        </w:rPr>
        <w:t>was monitored in</w:t>
      </w:r>
      <w:r w:rsidR="00072C6C" w:rsidRPr="009646CD">
        <w:t xml:space="preserve"> </w:t>
      </w:r>
      <w:r w:rsidR="00072C6C">
        <w:t xml:space="preserve">category </w:t>
      </w:r>
      <w:r w:rsidR="001A2AE4" w:rsidRPr="001A2AE4">
        <w:rPr>
          <w:rFonts w:ascii="Verdana" w:eastAsia="Malgun Gothic" w:hAnsi="Verdana" w:cs="Arial"/>
          <w:i/>
          <w:iCs/>
          <w:sz w:val="18"/>
          <w:szCs w:val="18"/>
          <w:lang w:val="en-GB"/>
        </w:rPr>
        <w:t xml:space="preserve">Services </w:t>
      </w:r>
      <w:r w:rsidR="00072C6C">
        <w:rPr>
          <w:rFonts w:ascii="Verdana" w:eastAsia="Malgun Gothic" w:hAnsi="Verdana" w:cs="Arial"/>
          <w:sz w:val="18"/>
          <w:szCs w:val="18"/>
        </w:rPr>
        <w:t>(</w:t>
      </w:r>
      <w:r w:rsidR="001A2AE4" w:rsidRPr="001A2AE4">
        <w:rPr>
          <w:rFonts w:ascii="Verdana" w:eastAsia="Malgun Gothic" w:hAnsi="Verdana" w:cs="Arial"/>
          <w:sz w:val="18"/>
          <w:szCs w:val="18"/>
        </w:rPr>
        <w:t>1</w:t>
      </w:r>
      <w:r w:rsidR="00072C6C">
        <w:rPr>
          <w:rFonts w:ascii="Verdana" w:eastAsia="Malgun Gothic" w:hAnsi="Verdana" w:cs="Arial"/>
          <w:sz w:val="18"/>
          <w:szCs w:val="18"/>
        </w:rPr>
        <w:t>,</w:t>
      </w:r>
      <w:r w:rsidR="001A2AE4" w:rsidRPr="00054A6F">
        <w:rPr>
          <w:rFonts w:ascii="Verdana" w:eastAsia="Malgun Gothic" w:hAnsi="Verdana" w:cs="Arial"/>
          <w:sz w:val="18"/>
          <w:szCs w:val="18"/>
        </w:rPr>
        <w:t>7</w:t>
      </w:r>
      <w:r w:rsidR="00072C6C">
        <w:rPr>
          <w:rFonts w:ascii="Verdana" w:eastAsia="Malgun Gothic" w:hAnsi="Verdana" w:cs="Arial"/>
          <w:sz w:val="18"/>
          <w:szCs w:val="18"/>
        </w:rPr>
        <w:t xml:space="preserve">%). </w:t>
      </w:r>
      <w:r w:rsidR="00C82B86" w:rsidRPr="00141730">
        <w:rPr>
          <w:rFonts w:ascii="Verdana" w:eastAsia="Malgun Gothic" w:hAnsi="Verdana" w:cs="Arial"/>
          <w:sz w:val="18"/>
          <w:szCs w:val="18"/>
          <w:lang w:val="en-GB"/>
        </w:rPr>
        <w:t>(Table 2)</w:t>
      </w:r>
    </w:p>
    <w:p w14:paraId="2CC43CD6" w14:textId="77777777" w:rsidR="0087342D" w:rsidRDefault="0087342D" w:rsidP="00B736A4">
      <w:pPr>
        <w:tabs>
          <w:tab w:val="left" w:pos="1080"/>
          <w:tab w:val="left" w:pos="6840"/>
        </w:tabs>
        <w:jc w:val="both"/>
        <w:rPr>
          <w:rFonts w:ascii="Verdana" w:eastAsia="Malgun Gothic" w:hAnsi="Verdana" w:cs="Arial"/>
          <w:sz w:val="18"/>
          <w:szCs w:val="18"/>
          <w:lang w:val="en-GB"/>
        </w:rPr>
      </w:pPr>
    </w:p>
    <w:tbl>
      <w:tblPr>
        <w:tblStyle w:val="GridTable1Light-Accent1"/>
        <w:tblW w:w="99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76"/>
        <w:gridCol w:w="1319"/>
        <w:gridCol w:w="1370"/>
        <w:gridCol w:w="291"/>
        <w:gridCol w:w="1259"/>
        <w:gridCol w:w="1190"/>
        <w:gridCol w:w="1459"/>
        <w:gridCol w:w="6"/>
      </w:tblGrid>
      <w:tr w:rsidR="0087342D" w:rsidRPr="00701514" w14:paraId="6E719EDD" w14:textId="77777777" w:rsidTr="00D25AB6">
        <w:trPr>
          <w:gridAfter w:val="1"/>
          <w:cnfStyle w:val="100000000000" w:firstRow="1" w:lastRow="0" w:firstColumn="0" w:lastColumn="0" w:oddVBand="0" w:evenVBand="0" w:oddHBand="0" w:evenHBand="0" w:firstRowFirstColumn="0" w:firstRowLastColumn="0" w:lastRowFirstColumn="0" w:lastRowLastColumn="0"/>
          <w:wAfter w:w="6" w:type="dxa"/>
          <w:jc w:val="center"/>
        </w:trPr>
        <w:tc>
          <w:tcPr>
            <w:cnfStyle w:val="001000000000" w:firstRow="0" w:lastRow="0" w:firstColumn="1" w:lastColumn="0" w:oddVBand="0" w:evenVBand="0" w:oddHBand="0" w:evenHBand="0" w:firstRowFirstColumn="0" w:firstRowLastColumn="0" w:lastRowFirstColumn="0" w:lastRowLastColumn="0"/>
            <w:tcW w:w="9964" w:type="dxa"/>
            <w:gridSpan w:val="7"/>
            <w:tcBorders>
              <w:bottom w:val="single" w:sz="4" w:space="0" w:color="366092"/>
            </w:tcBorders>
          </w:tcPr>
          <w:p w14:paraId="668A9B38" w14:textId="77777777" w:rsidR="0087342D" w:rsidRPr="00701514" w:rsidRDefault="0087342D" w:rsidP="00D25AB6">
            <w:pPr>
              <w:tabs>
                <w:tab w:val="left" w:pos="1080"/>
                <w:tab w:val="left" w:pos="6840"/>
              </w:tabs>
              <w:rPr>
                <w:rFonts w:ascii="Verdana" w:eastAsia="Malgun Gothic" w:hAnsi="Verdana" w:cs="Arial"/>
                <w:sz w:val="18"/>
                <w:szCs w:val="18"/>
              </w:rPr>
            </w:pPr>
            <w:r w:rsidRPr="00701514">
              <w:rPr>
                <w:rFonts w:ascii="Verdana" w:eastAsia="Times New Roman" w:hAnsi="Verdana" w:cs="Arial"/>
                <w:color w:val="365F91"/>
                <w:sz w:val="18"/>
                <w:szCs w:val="18"/>
              </w:rPr>
              <w:t>Table</w:t>
            </w:r>
            <w:r w:rsidRPr="00701514">
              <w:rPr>
                <w:rFonts w:ascii="Verdana" w:eastAsia="Times New Roman" w:hAnsi="Verdana" w:cs="Arial"/>
                <w:color w:val="365F91"/>
                <w:sz w:val="18"/>
                <w:szCs w:val="18"/>
                <w:lang w:val="el-GR"/>
              </w:rPr>
              <w:t xml:space="preserve"> </w:t>
            </w:r>
            <w:r w:rsidRPr="00701514">
              <w:rPr>
                <w:rFonts w:ascii="Verdana" w:eastAsia="Times New Roman" w:hAnsi="Verdana" w:cs="Arial"/>
                <w:color w:val="365F91"/>
                <w:sz w:val="18"/>
                <w:szCs w:val="18"/>
              </w:rPr>
              <w:t>1</w:t>
            </w:r>
          </w:p>
        </w:tc>
      </w:tr>
      <w:tr w:rsidR="0087342D" w:rsidRPr="00701514" w14:paraId="096DD507" w14:textId="77777777" w:rsidTr="00D25AB6">
        <w:trPr>
          <w:trHeight w:val="284"/>
          <w:jc w:val="center"/>
        </w:trPr>
        <w:tc>
          <w:tcPr>
            <w:cnfStyle w:val="001000000000" w:firstRow="0" w:lastRow="0" w:firstColumn="1" w:lastColumn="0" w:oddVBand="0" w:evenVBand="0" w:oddHBand="0" w:evenHBand="0" w:firstRowFirstColumn="0" w:firstRowLastColumn="0" w:lastRowFirstColumn="0" w:lastRowLastColumn="0"/>
            <w:tcW w:w="3076" w:type="dxa"/>
            <w:vMerge w:val="restart"/>
            <w:tcBorders>
              <w:top w:val="single" w:sz="4" w:space="0" w:color="366092"/>
            </w:tcBorders>
            <w:vAlign w:val="center"/>
          </w:tcPr>
          <w:p w14:paraId="17E8773A" w14:textId="77777777" w:rsidR="0087342D" w:rsidRPr="00701514" w:rsidRDefault="0087342D" w:rsidP="00D25AB6">
            <w:pPr>
              <w:rPr>
                <w:rFonts w:ascii="Verdana" w:eastAsia="Times New Roman" w:hAnsi="Verdana" w:cs="Arial"/>
                <w:b w:val="0"/>
                <w:bCs w:val="0"/>
                <w:color w:val="365F91"/>
                <w:sz w:val="18"/>
                <w:szCs w:val="18"/>
              </w:rPr>
            </w:pPr>
            <w:r w:rsidRPr="00701514">
              <w:rPr>
                <w:rFonts w:ascii="Verdana" w:eastAsia="Times New Roman" w:hAnsi="Verdana" w:cs="Arial"/>
                <w:color w:val="365F91"/>
                <w:sz w:val="18"/>
                <w:szCs w:val="18"/>
              </w:rPr>
              <w:t xml:space="preserve">Categories of Goods </w:t>
            </w:r>
          </w:p>
          <w:p w14:paraId="4C32B81F" w14:textId="77777777" w:rsidR="0087342D" w:rsidRPr="00701514" w:rsidRDefault="0087342D" w:rsidP="00D25AB6">
            <w:pPr>
              <w:rPr>
                <w:rFonts w:ascii="Verdana" w:eastAsia="Times New Roman" w:hAnsi="Verdana" w:cs="Arial"/>
                <w:b w:val="0"/>
                <w:color w:val="365F91"/>
                <w:sz w:val="18"/>
                <w:szCs w:val="18"/>
              </w:rPr>
            </w:pPr>
            <w:r w:rsidRPr="00701514">
              <w:rPr>
                <w:rFonts w:ascii="Verdana" w:eastAsia="Times New Roman" w:hAnsi="Verdana" w:cs="Arial"/>
                <w:color w:val="365F91"/>
                <w:sz w:val="18"/>
                <w:szCs w:val="18"/>
              </w:rPr>
              <w:t>and Services</w:t>
            </w:r>
          </w:p>
        </w:tc>
        <w:tc>
          <w:tcPr>
            <w:tcW w:w="2689" w:type="dxa"/>
            <w:gridSpan w:val="2"/>
            <w:tcBorders>
              <w:bottom w:val="single" w:sz="4" w:space="0" w:color="366092"/>
            </w:tcBorders>
            <w:vAlign w:val="center"/>
          </w:tcPr>
          <w:p w14:paraId="50CE651D" w14:textId="77777777" w:rsidR="0087342D" w:rsidRPr="00701514" w:rsidRDefault="0087342D" w:rsidP="00D25AB6">
            <w:pPr>
              <w:spacing w:after="60"/>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b/>
                <w:bCs/>
                <w:color w:val="365F91"/>
                <w:sz w:val="18"/>
                <w:szCs w:val="18"/>
                <w:lang w:val="el-GR"/>
              </w:rPr>
            </w:pPr>
            <w:r w:rsidRPr="00701514">
              <w:rPr>
                <w:rFonts w:ascii="Verdana" w:eastAsia="Times New Roman" w:hAnsi="Verdana" w:cs="Arial"/>
                <w:b/>
                <w:bCs/>
                <w:color w:val="365F91"/>
                <w:sz w:val="18"/>
                <w:szCs w:val="18"/>
              </w:rPr>
              <w:t>HICP</w:t>
            </w:r>
            <w:r w:rsidRPr="00701514">
              <w:rPr>
                <w:rFonts w:ascii="Verdana" w:eastAsia="Times New Roman" w:hAnsi="Verdana" w:cs="Arial"/>
                <w:b/>
                <w:bCs/>
                <w:color w:val="365F91"/>
                <w:sz w:val="18"/>
                <w:szCs w:val="18"/>
                <w:lang w:val="el-GR"/>
              </w:rPr>
              <w:t xml:space="preserve"> (2015=100)</w:t>
            </w:r>
          </w:p>
        </w:tc>
        <w:tc>
          <w:tcPr>
            <w:tcW w:w="291" w:type="dxa"/>
            <w:tcBorders>
              <w:bottom w:val="single" w:sz="4" w:space="0" w:color="FFFFFF" w:themeColor="background1"/>
            </w:tcBorders>
            <w:noWrap/>
            <w:tcMar>
              <w:left w:w="0" w:type="dxa"/>
              <w:right w:w="28" w:type="dxa"/>
            </w:tcMar>
          </w:tcPr>
          <w:p w14:paraId="1909D9F0" w14:textId="77777777" w:rsidR="0087342D" w:rsidRPr="00701514" w:rsidRDefault="0087342D" w:rsidP="00D25AB6">
            <w:pPr>
              <w:tabs>
                <w:tab w:val="left" w:pos="1080"/>
                <w:tab w:val="left" w:pos="6840"/>
              </w:tabs>
              <w:jc w:val="center"/>
              <w:cnfStyle w:val="000000000000" w:firstRow="0" w:lastRow="0" w:firstColumn="0" w:lastColumn="0" w:oddVBand="0" w:evenVBand="0" w:oddHBand="0" w:evenHBand="0" w:firstRowFirstColumn="0" w:firstRowLastColumn="0" w:lastRowFirstColumn="0" w:lastRowLastColumn="0"/>
              <w:rPr>
                <w:rFonts w:ascii="Verdana" w:eastAsia="Malgun Gothic" w:hAnsi="Verdana" w:cs="Arial"/>
                <w:b/>
                <w:bCs/>
                <w:sz w:val="18"/>
                <w:szCs w:val="18"/>
              </w:rPr>
            </w:pPr>
          </w:p>
        </w:tc>
        <w:tc>
          <w:tcPr>
            <w:tcW w:w="3914" w:type="dxa"/>
            <w:gridSpan w:val="4"/>
            <w:tcBorders>
              <w:bottom w:val="single" w:sz="4" w:space="0" w:color="366092"/>
            </w:tcBorders>
          </w:tcPr>
          <w:p w14:paraId="29FA7BD8" w14:textId="77777777" w:rsidR="0087342D" w:rsidRPr="00701514" w:rsidRDefault="0087342D" w:rsidP="00D25AB6">
            <w:pPr>
              <w:tabs>
                <w:tab w:val="left" w:pos="1080"/>
                <w:tab w:val="left" w:pos="6840"/>
              </w:tabs>
              <w:spacing w:after="60"/>
              <w:jc w:val="center"/>
              <w:cnfStyle w:val="000000000000" w:firstRow="0" w:lastRow="0" w:firstColumn="0" w:lastColumn="0" w:oddVBand="0" w:evenVBand="0" w:oddHBand="0" w:evenHBand="0" w:firstRowFirstColumn="0" w:firstRowLastColumn="0" w:lastRowFirstColumn="0" w:lastRowLastColumn="0"/>
              <w:rPr>
                <w:rFonts w:ascii="Verdana" w:eastAsia="Malgun Gothic" w:hAnsi="Verdana" w:cs="Arial"/>
                <w:b/>
                <w:bCs/>
                <w:sz w:val="18"/>
                <w:szCs w:val="18"/>
                <w:lang w:val="el-GR"/>
              </w:rPr>
            </w:pPr>
            <w:r w:rsidRPr="00701514">
              <w:rPr>
                <w:rFonts w:ascii="Verdana" w:eastAsia="Times New Roman" w:hAnsi="Verdana" w:cs="Arial"/>
                <w:b/>
                <w:bCs/>
                <w:color w:val="365F91"/>
                <w:sz w:val="18"/>
                <w:szCs w:val="18"/>
              </w:rPr>
              <w:t>Change</w:t>
            </w:r>
            <w:r w:rsidRPr="00701514">
              <w:rPr>
                <w:rFonts w:ascii="Verdana" w:eastAsia="Times New Roman" w:hAnsi="Verdana" w:cs="Arial"/>
                <w:b/>
                <w:bCs/>
                <w:color w:val="365F91"/>
                <w:sz w:val="18"/>
                <w:szCs w:val="18"/>
                <w:lang w:val="el-GR"/>
              </w:rPr>
              <w:t xml:space="preserve"> (%)</w:t>
            </w:r>
          </w:p>
        </w:tc>
      </w:tr>
      <w:tr w:rsidR="0087342D" w:rsidRPr="00701514" w14:paraId="5CE63DDC" w14:textId="77777777" w:rsidTr="00D25AB6">
        <w:trPr>
          <w:jc w:val="center"/>
        </w:trPr>
        <w:tc>
          <w:tcPr>
            <w:cnfStyle w:val="001000000000" w:firstRow="0" w:lastRow="0" w:firstColumn="1" w:lastColumn="0" w:oddVBand="0" w:evenVBand="0" w:oddHBand="0" w:evenHBand="0" w:firstRowFirstColumn="0" w:firstRowLastColumn="0" w:lastRowFirstColumn="0" w:lastRowLastColumn="0"/>
            <w:tcW w:w="3076" w:type="dxa"/>
            <w:vMerge/>
            <w:tcBorders>
              <w:top w:val="single" w:sz="4" w:space="0" w:color="FFFFFF" w:themeColor="background1"/>
              <w:bottom w:val="single" w:sz="4" w:space="0" w:color="366092"/>
            </w:tcBorders>
          </w:tcPr>
          <w:p w14:paraId="559232ED" w14:textId="77777777" w:rsidR="0087342D" w:rsidRPr="00701514" w:rsidRDefault="0087342D" w:rsidP="0087342D">
            <w:pPr>
              <w:tabs>
                <w:tab w:val="left" w:pos="1080"/>
                <w:tab w:val="left" w:pos="6840"/>
              </w:tabs>
              <w:rPr>
                <w:rFonts w:ascii="Verdana" w:eastAsia="Malgun Gothic" w:hAnsi="Verdana" w:cs="Arial"/>
                <w:sz w:val="18"/>
                <w:szCs w:val="18"/>
                <w:lang w:val="el-GR"/>
              </w:rPr>
            </w:pPr>
          </w:p>
        </w:tc>
        <w:tc>
          <w:tcPr>
            <w:tcW w:w="1319" w:type="dxa"/>
            <w:tcBorders>
              <w:top w:val="single" w:sz="4" w:space="0" w:color="FFFFFF" w:themeColor="background1"/>
              <w:bottom w:val="single" w:sz="4" w:space="0" w:color="366092"/>
            </w:tcBorders>
          </w:tcPr>
          <w:p w14:paraId="2B191FE6" w14:textId="77777777" w:rsidR="00B84C8B" w:rsidRPr="00701514" w:rsidRDefault="00B84C8B" w:rsidP="00B84C8B">
            <w:pPr>
              <w:tabs>
                <w:tab w:val="left" w:pos="1080"/>
                <w:tab w:val="left" w:pos="6840"/>
              </w:tabs>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b/>
                <w:bCs/>
                <w:color w:val="365F91"/>
                <w:sz w:val="18"/>
                <w:szCs w:val="18"/>
              </w:rPr>
            </w:pPr>
            <w:r w:rsidRPr="00701514">
              <w:rPr>
                <w:rFonts w:ascii="Verdana" w:eastAsia="Times New Roman" w:hAnsi="Verdana" w:cs="Arial"/>
                <w:b/>
                <w:bCs/>
                <w:color w:val="365F91"/>
                <w:sz w:val="18"/>
                <w:szCs w:val="18"/>
              </w:rPr>
              <w:t>April</w:t>
            </w:r>
          </w:p>
          <w:p w14:paraId="176906AC" w14:textId="7DE97538" w:rsidR="0087342D" w:rsidRPr="00701514" w:rsidRDefault="00B84C8B" w:rsidP="00B84C8B">
            <w:pPr>
              <w:tabs>
                <w:tab w:val="left" w:pos="1080"/>
                <w:tab w:val="left" w:pos="6840"/>
              </w:tabs>
              <w:jc w:val="center"/>
              <w:cnfStyle w:val="000000000000" w:firstRow="0" w:lastRow="0" w:firstColumn="0" w:lastColumn="0" w:oddVBand="0" w:evenVBand="0" w:oddHBand="0" w:evenHBand="0" w:firstRowFirstColumn="0" w:firstRowLastColumn="0" w:lastRowFirstColumn="0" w:lastRowLastColumn="0"/>
              <w:rPr>
                <w:rFonts w:ascii="Verdana" w:eastAsia="Malgun Gothic" w:hAnsi="Verdana" w:cs="Arial"/>
                <w:sz w:val="18"/>
                <w:szCs w:val="18"/>
                <w:lang w:val="el-GR"/>
              </w:rPr>
            </w:pPr>
            <w:r w:rsidRPr="00701514">
              <w:rPr>
                <w:rFonts w:ascii="Verdana" w:eastAsia="Times New Roman" w:hAnsi="Verdana" w:cs="Arial"/>
                <w:b/>
                <w:bCs/>
                <w:color w:val="365F91"/>
                <w:sz w:val="18"/>
                <w:szCs w:val="18"/>
                <w:lang w:val="el-GR"/>
              </w:rPr>
              <w:t>202</w:t>
            </w:r>
            <w:r w:rsidRPr="00701514">
              <w:rPr>
                <w:rFonts w:ascii="Verdana" w:eastAsia="Times New Roman" w:hAnsi="Verdana" w:cs="Arial"/>
                <w:b/>
                <w:bCs/>
                <w:color w:val="365F91"/>
                <w:sz w:val="18"/>
                <w:szCs w:val="18"/>
              </w:rPr>
              <w:t>4</w:t>
            </w:r>
          </w:p>
        </w:tc>
        <w:tc>
          <w:tcPr>
            <w:tcW w:w="1370" w:type="dxa"/>
            <w:tcBorders>
              <w:top w:val="single" w:sz="4" w:space="0" w:color="FFFFFF" w:themeColor="background1"/>
              <w:bottom w:val="single" w:sz="4" w:space="0" w:color="366092"/>
            </w:tcBorders>
          </w:tcPr>
          <w:p w14:paraId="3331A929" w14:textId="2FA6471F" w:rsidR="0087342D" w:rsidRPr="00701514" w:rsidRDefault="00B84C8B" w:rsidP="0087342D">
            <w:pPr>
              <w:tabs>
                <w:tab w:val="left" w:pos="1080"/>
                <w:tab w:val="left" w:pos="6840"/>
              </w:tabs>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b/>
                <w:bCs/>
                <w:color w:val="365F91"/>
                <w:sz w:val="18"/>
                <w:szCs w:val="18"/>
              </w:rPr>
            </w:pPr>
            <w:r w:rsidRPr="00701514">
              <w:rPr>
                <w:rFonts w:ascii="Verdana" w:eastAsia="Times New Roman" w:hAnsi="Verdana" w:cs="Arial"/>
                <w:b/>
                <w:bCs/>
                <w:color w:val="365F91"/>
                <w:sz w:val="18"/>
                <w:szCs w:val="18"/>
              </w:rPr>
              <w:t>May</w:t>
            </w:r>
          </w:p>
          <w:p w14:paraId="133357F9" w14:textId="54ABB615" w:rsidR="0087342D" w:rsidRPr="00701514" w:rsidRDefault="0087342D" w:rsidP="0087342D">
            <w:pPr>
              <w:tabs>
                <w:tab w:val="left" w:pos="1080"/>
                <w:tab w:val="left" w:pos="6840"/>
              </w:tabs>
              <w:jc w:val="center"/>
              <w:cnfStyle w:val="000000000000" w:firstRow="0" w:lastRow="0" w:firstColumn="0" w:lastColumn="0" w:oddVBand="0" w:evenVBand="0" w:oddHBand="0" w:evenHBand="0" w:firstRowFirstColumn="0" w:firstRowLastColumn="0" w:lastRowFirstColumn="0" w:lastRowLastColumn="0"/>
              <w:rPr>
                <w:rFonts w:ascii="Verdana" w:eastAsia="Malgun Gothic" w:hAnsi="Verdana" w:cs="Arial"/>
                <w:sz w:val="18"/>
                <w:szCs w:val="18"/>
              </w:rPr>
            </w:pPr>
            <w:r w:rsidRPr="00701514">
              <w:rPr>
                <w:rFonts w:ascii="Verdana" w:eastAsia="Times New Roman" w:hAnsi="Verdana" w:cs="Arial"/>
                <w:b/>
                <w:bCs/>
                <w:color w:val="365F91"/>
                <w:sz w:val="18"/>
                <w:szCs w:val="18"/>
                <w:lang w:val="el-GR"/>
              </w:rPr>
              <w:t>202</w:t>
            </w:r>
            <w:r w:rsidR="00AF6356" w:rsidRPr="00701514">
              <w:rPr>
                <w:rFonts w:ascii="Verdana" w:eastAsia="Times New Roman" w:hAnsi="Verdana" w:cs="Arial"/>
                <w:b/>
                <w:bCs/>
                <w:color w:val="365F91"/>
                <w:sz w:val="18"/>
                <w:szCs w:val="18"/>
              </w:rPr>
              <w:t>4</w:t>
            </w:r>
          </w:p>
        </w:tc>
        <w:tc>
          <w:tcPr>
            <w:tcW w:w="291" w:type="dxa"/>
            <w:tcBorders>
              <w:top w:val="single" w:sz="4" w:space="0" w:color="FFFFFF" w:themeColor="background1"/>
            </w:tcBorders>
            <w:noWrap/>
            <w:tcMar>
              <w:left w:w="0" w:type="dxa"/>
              <w:right w:w="28" w:type="dxa"/>
            </w:tcMar>
          </w:tcPr>
          <w:p w14:paraId="33C2A946" w14:textId="77777777" w:rsidR="0087342D" w:rsidRPr="00701514" w:rsidRDefault="0087342D" w:rsidP="0087342D">
            <w:pPr>
              <w:tabs>
                <w:tab w:val="left" w:pos="1080"/>
                <w:tab w:val="left" w:pos="6840"/>
              </w:tabs>
              <w:jc w:val="center"/>
              <w:cnfStyle w:val="000000000000" w:firstRow="0" w:lastRow="0" w:firstColumn="0" w:lastColumn="0" w:oddVBand="0" w:evenVBand="0" w:oddHBand="0" w:evenHBand="0" w:firstRowFirstColumn="0" w:firstRowLastColumn="0" w:lastRowFirstColumn="0" w:lastRowLastColumn="0"/>
              <w:rPr>
                <w:rFonts w:ascii="Verdana" w:eastAsia="Malgun Gothic" w:hAnsi="Verdana" w:cs="Arial"/>
                <w:sz w:val="18"/>
                <w:szCs w:val="18"/>
                <w:lang w:val="el-GR"/>
              </w:rPr>
            </w:pPr>
          </w:p>
        </w:tc>
        <w:tc>
          <w:tcPr>
            <w:tcW w:w="1259" w:type="dxa"/>
            <w:tcBorders>
              <w:top w:val="single" w:sz="4" w:space="0" w:color="366092"/>
              <w:bottom w:val="single" w:sz="4" w:space="0" w:color="366092"/>
            </w:tcBorders>
          </w:tcPr>
          <w:p w14:paraId="661BB98B" w14:textId="3D14C73B" w:rsidR="00B84C8B" w:rsidRPr="00701514" w:rsidRDefault="00B84C8B" w:rsidP="00B84C8B">
            <w:pPr>
              <w:tabs>
                <w:tab w:val="left" w:pos="1080"/>
                <w:tab w:val="left" w:pos="6840"/>
              </w:tabs>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b/>
                <w:bCs/>
                <w:color w:val="365F91"/>
                <w:sz w:val="18"/>
                <w:szCs w:val="18"/>
              </w:rPr>
            </w:pPr>
            <w:r w:rsidRPr="00701514">
              <w:rPr>
                <w:rFonts w:ascii="Verdana" w:eastAsia="Times New Roman" w:hAnsi="Verdana" w:cs="Arial"/>
                <w:b/>
                <w:bCs/>
                <w:color w:val="365F91"/>
                <w:sz w:val="18"/>
                <w:szCs w:val="18"/>
              </w:rPr>
              <w:t xml:space="preserve">May </w:t>
            </w:r>
            <w:r w:rsidR="0087342D" w:rsidRPr="00701514">
              <w:rPr>
                <w:rFonts w:ascii="Verdana" w:eastAsia="Times New Roman" w:hAnsi="Verdana" w:cs="Arial"/>
                <w:b/>
                <w:bCs/>
                <w:color w:val="365F91"/>
                <w:sz w:val="18"/>
                <w:szCs w:val="18"/>
                <w:lang w:val="el-GR"/>
              </w:rPr>
              <w:t>2</w:t>
            </w:r>
            <w:r w:rsidR="0087342D" w:rsidRPr="00701514">
              <w:rPr>
                <w:rFonts w:ascii="Verdana" w:eastAsia="Times New Roman" w:hAnsi="Verdana" w:cs="Arial"/>
                <w:b/>
                <w:bCs/>
                <w:color w:val="365F91"/>
                <w:sz w:val="18"/>
                <w:szCs w:val="18"/>
              </w:rPr>
              <w:t>4</w:t>
            </w:r>
            <w:r w:rsidR="0087342D" w:rsidRPr="00701514">
              <w:rPr>
                <w:rFonts w:ascii="Verdana" w:eastAsia="Times New Roman" w:hAnsi="Verdana" w:cs="Arial"/>
                <w:b/>
                <w:bCs/>
                <w:color w:val="365F91"/>
                <w:sz w:val="18"/>
                <w:szCs w:val="18"/>
                <w:lang w:val="el-GR"/>
              </w:rPr>
              <w:t>/</w:t>
            </w:r>
          </w:p>
          <w:p w14:paraId="5A3FDE70" w14:textId="2F2EA3FC" w:rsidR="0087342D" w:rsidRPr="00701514" w:rsidRDefault="00B84C8B" w:rsidP="00B84C8B">
            <w:pPr>
              <w:tabs>
                <w:tab w:val="left" w:pos="1080"/>
                <w:tab w:val="left" w:pos="6840"/>
              </w:tabs>
              <w:jc w:val="center"/>
              <w:cnfStyle w:val="000000000000" w:firstRow="0" w:lastRow="0" w:firstColumn="0" w:lastColumn="0" w:oddVBand="0" w:evenVBand="0" w:oddHBand="0" w:evenHBand="0" w:firstRowFirstColumn="0" w:firstRowLastColumn="0" w:lastRowFirstColumn="0" w:lastRowLastColumn="0"/>
              <w:rPr>
                <w:rFonts w:ascii="Verdana" w:eastAsia="Malgun Gothic" w:hAnsi="Verdana" w:cs="Arial"/>
                <w:sz w:val="18"/>
                <w:szCs w:val="18"/>
              </w:rPr>
            </w:pPr>
            <w:r w:rsidRPr="00701514">
              <w:rPr>
                <w:rFonts w:ascii="Verdana" w:eastAsia="Times New Roman" w:hAnsi="Verdana" w:cs="Arial"/>
                <w:b/>
                <w:bCs/>
                <w:color w:val="365F91"/>
                <w:sz w:val="18"/>
                <w:szCs w:val="18"/>
              </w:rPr>
              <w:t xml:space="preserve">May </w:t>
            </w:r>
            <w:r w:rsidR="0087342D" w:rsidRPr="00701514">
              <w:rPr>
                <w:rFonts w:ascii="Verdana" w:eastAsia="Times New Roman" w:hAnsi="Verdana" w:cs="Arial"/>
                <w:b/>
                <w:bCs/>
                <w:color w:val="365F91"/>
                <w:sz w:val="18"/>
                <w:szCs w:val="18"/>
                <w:lang w:val="el-GR"/>
              </w:rPr>
              <w:t>2</w:t>
            </w:r>
            <w:r w:rsidR="0087342D" w:rsidRPr="00701514">
              <w:rPr>
                <w:rFonts w:ascii="Verdana" w:eastAsia="Times New Roman" w:hAnsi="Verdana" w:cs="Arial"/>
                <w:b/>
                <w:bCs/>
                <w:color w:val="365F91"/>
                <w:sz w:val="18"/>
                <w:szCs w:val="18"/>
              </w:rPr>
              <w:t>3</w:t>
            </w:r>
          </w:p>
        </w:tc>
        <w:tc>
          <w:tcPr>
            <w:tcW w:w="1190" w:type="dxa"/>
            <w:tcBorders>
              <w:top w:val="single" w:sz="4" w:space="0" w:color="366092"/>
              <w:bottom w:val="single" w:sz="4" w:space="0" w:color="366092"/>
            </w:tcBorders>
          </w:tcPr>
          <w:p w14:paraId="5F454A40" w14:textId="59E2F13B" w:rsidR="0087342D" w:rsidRPr="00701514" w:rsidRDefault="00B84C8B" w:rsidP="00B84C8B">
            <w:pPr>
              <w:tabs>
                <w:tab w:val="left" w:pos="1080"/>
                <w:tab w:val="left" w:pos="6840"/>
              </w:tabs>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b/>
                <w:bCs/>
                <w:color w:val="365F91"/>
                <w:sz w:val="18"/>
                <w:szCs w:val="18"/>
                <w:lang w:val="el-GR"/>
              </w:rPr>
            </w:pPr>
            <w:r w:rsidRPr="00701514">
              <w:rPr>
                <w:rFonts w:ascii="Verdana" w:eastAsia="Times New Roman" w:hAnsi="Verdana" w:cs="Arial"/>
                <w:b/>
                <w:bCs/>
                <w:color w:val="365F91"/>
                <w:sz w:val="18"/>
                <w:szCs w:val="18"/>
              </w:rPr>
              <w:t xml:space="preserve">May </w:t>
            </w:r>
            <w:r w:rsidR="0087342D" w:rsidRPr="00701514">
              <w:rPr>
                <w:rFonts w:ascii="Verdana" w:eastAsia="Times New Roman" w:hAnsi="Verdana" w:cs="Arial"/>
                <w:b/>
                <w:bCs/>
                <w:color w:val="365F91"/>
                <w:sz w:val="18"/>
                <w:szCs w:val="18"/>
                <w:lang w:val="el-GR"/>
              </w:rPr>
              <w:t>2</w:t>
            </w:r>
            <w:r w:rsidR="0087342D" w:rsidRPr="00701514">
              <w:rPr>
                <w:rFonts w:ascii="Verdana" w:eastAsia="Times New Roman" w:hAnsi="Verdana" w:cs="Arial"/>
                <w:b/>
                <w:bCs/>
                <w:color w:val="365F91"/>
                <w:sz w:val="18"/>
                <w:szCs w:val="18"/>
              </w:rPr>
              <w:t>4</w:t>
            </w:r>
            <w:r w:rsidR="0087342D" w:rsidRPr="00701514">
              <w:rPr>
                <w:rFonts w:ascii="Verdana" w:eastAsia="Times New Roman" w:hAnsi="Verdana" w:cs="Arial"/>
                <w:b/>
                <w:bCs/>
                <w:color w:val="365F91"/>
                <w:sz w:val="18"/>
                <w:szCs w:val="18"/>
                <w:lang w:val="el-GR"/>
              </w:rPr>
              <w:t>/</w:t>
            </w:r>
          </w:p>
          <w:p w14:paraId="003E51BF" w14:textId="2E763E5B" w:rsidR="0087342D" w:rsidRPr="00701514" w:rsidRDefault="00B84C8B" w:rsidP="0087342D">
            <w:pPr>
              <w:tabs>
                <w:tab w:val="left" w:pos="1080"/>
                <w:tab w:val="left" w:pos="6840"/>
              </w:tabs>
              <w:jc w:val="center"/>
              <w:cnfStyle w:val="000000000000" w:firstRow="0" w:lastRow="0" w:firstColumn="0" w:lastColumn="0" w:oddVBand="0" w:evenVBand="0" w:oddHBand="0" w:evenHBand="0" w:firstRowFirstColumn="0" w:firstRowLastColumn="0" w:lastRowFirstColumn="0" w:lastRowLastColumn="0"/>
              <w:rPr>
                <w:rFonts w:ascii="Verdana" w:eastAsia="Malgun Gothic" w:hAnsi="Verdana" w:cs="Arial"/>
                <w:sz w:val="18"/>
                <w:szCs w:val="18"/>
              </w:rPr>
            </w:pPr>
            <w:r w:rsidRPr="00701514">
              <w:rPr>
                <w:rFonts w:ascii="Verdana" w:eastAsia="Times New Roman" w:hAnsi="Verdana" w:cs="Arial"/>
                <w:b/>
                <w:bCs/>
                <w:color w:val="365F91"/>
                <w:sz w:val="18"/>
                <w:szCs w:val="18"/>
              </w:rPr>
              <w:t>Apr</w:t>
            </w:r>
            <w:r w:rsidR="0087342D" w:rsidRPr="00701514">
              <w:rPr>
                <w:rFonts w:ascii="Verdana" w:eastAsia="Times New Roman" w:hAnsi="Verdana" w:cs="Arial"/>
                <w:b/>
                <w:bCs/>
                <w:color w:val="365F91"/>
                <w:sz w:val="18"/>
                <w:szCs w:val="18"/>
                <w:lang w:val="el-GR"/>
              </w:rPr>
              <w:t xml:space="preserve"> 2</w:t>
            </w:r>
            <w:r w:rsidR="0087342D" w:rsidRPr="00701514">
              <w:rPr>
                <w:rFonts w:ascii="Verdana" w:eastAsia="Times New Roman" w:hAnsi="Verdana" w:cs="Arial"/>
                <w:b/>
                <w:bCs/>
                <w:color w:val="365F91"/>
                <w:sz w:val="18"/>
                <w:szCs w:val="18"/>
              </w:rPr>
              <w:t>4</w:t>
            </w:r>
          </w:p>
        </w:tc>
        <w:tc>
          <w:tcPr>
            <w:tcW w:w="1465" w:type="dxa"/>
            <w:gridSpan w:val="2"/>
            <w:tcBorders>
              <w:top w:val="single" w:sz="4" w:space="0" w:color="366092"/>
              <w:bottom w:val="single" w:sz="4" w:space="0" w:color="366092"/>
            </w:tcBorders>
          </w:tcPr>
          <w:p w14:paraId="08E7D50C" w14:textId="77777777" w:rsidR="00B84C8B" w:rsidRPr="00701514" w:rsidRDefault="0087342D" w:rsidP="00B84C8B">
            <w:pPr>
              <w:tabs>
                <w:tab w:val="left" w:pos="1080"/>
                <w:tab w:val="left" w:pos="6840"/>
              </w:tabs>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b/>
                <w:bCs/>
                <w:color w:val="365F91"/>
                <w:sz w:val="18"/>
                <w:szCs w:val="18"/>
              </w:rPr>
            </w:pPr>
            <w:r w:rsidRPr="00701514">
              <w:rPr>
                <w:rFonts w:ascii="Verdana" w:eastAsia="Times New Roman" w:hAnsi="Verdana" w:cs="Arial"/>
                <w:b/>
                <w:bCs/>
                <w:color w:val="365F91"/>
                <w:sz w:val="18"/>
                <w:szCs w:val="18"/>
              </w:rPr>
              <w:t>Jan</w:t>
            </w:r>
            <w:r w:rsidRPr="00701514">
              <w:rPr>
                <w:rFonts w:ascii="Verdana" w:eastAsia="Times New Roman" w:hAnsi="Verdana" w:cs="Arial"/>
                <w:b/>
                <w:bCs/>
                <w:color w:val="365F91"/>
                <w:sz w:val="18"/>
                <w:szCs w:val="18"/>
                <w:lang w:val="el-GR"/>
              </w:rPr>
              <w:t xml:space="preserve"> – </w:t>
            </w:r>
            <w:r w:rsidR="00B84C8B" w:rsidRPr="00701514">
              <w:rPr>
                <w:rFonts w:ascii="Verdana" w:eastAsia="Times New Roman" w:hAnsi="Verdana" w:cs="Arial"/>
                <w:b/>
                <w:bCs/>
                <w:color w:val="365F91"/>
                <w:sz w:val="18"/>
                <w:szCs w:val="18"/>
              </w:rPr>
              <w:t>May</w:t>
            </w:r>
          </w:p>
          <w:p w14:paraId="3A5152E7" w14:textId="236A98EB" w:rsidR="0087342D" w:rsidRPr="00701514" w:rsidRDefault="0087342D" w:rsidP="0087342D">
            <w:pPr>
              <w:jc w:val="center"/>
              <w:cnfStyle w:val="000000000000" w:firstRow="0" w:lastRow="0" w:firstColumn="0" w:lastColumn="0" w:oddVBand="0" w:evenVBand="0" w:oddHBand="0" w:evenHBand="0" w:firstRowFirstColumn="0" w:firstRowLastColumn="0" w:lastRowFirstColumn="0" w:lastRowLastColumn="0"/>
              <w:rPr>
                <w:rFonts w:ascii="Verdana" w:eastAsia="Malgun Gothic" w:hAnsi="Verdana" w:cs="Arial"/>
                <w:sz w:val="18"/>
                <w:szCs w:val="18"/>
              </w:rPr>
            </w:pPr>
            <w:r w:rsidRPr="00701514">
              <w:rPr>
                <w:rFonts w:ascii="Verdana" w:eastAsia="Times New Roman" w:hAnsi="Verdana" w:cs="Arial"/>
                <w:b/>
                <w:bCs/>
                <w:color w:val="365F91"/>
                <w:sz w:val="18"/>
                <w:szCs w:val="18"/>
                <w:lang w:val="el-GR"/>
              </w:rPr>
              <w:t>2</w:t>
            </w:r>
            <w:r w:rsidRPr="00701514">
              <w:rPr>
                <w:rFonts w:ascii="Verdana" w:eastAsia="Times New Roman" w:hAnsi="Verdana" w:cs="Arial"/>
                <w:b/>
                <w:bCs/>
                <w:color w:val="365F91"/>
                <w:sz w:val="18"/>
                <w:szCs w:val="18"/>
              </w:rPr>
              <w:t>4</w:t>
            </w:r>
            <w:r w:rsidRPr="00701514">
              <w:rPr>
                <w:rFonts w:ascii="Verdana" w:eastAsia="Times New Roman" w:hAnsi="Verdana" w:cs="Arial"/>
                <w:b/>
                <w:bCs/>
                <w:color w:val="365F91"/>
                <w:sz w:val="18"/>
                <w:szCs w:val="18"/>
                <w:lang w:val="el-GR"/>
              </w:rPr>
              <w:t>/2</w:t>
            </w:r>
            <w:r w:rsidRPr="00701514">
              <w:rPr>
                <w:rFonts w:ascii="Verdana" w:eastAsia="Times New Roman" w:hAnsi="Verdana" w:cs="Arial"/>
                <w:b/>
                <w:bCs/>
                <w:color w:val="365F91"/>
                <w:sz w:val="18"/>
                <w:szCs w:val="18"/>
              </w:rPr>
              <w:t>3</w:t>
            </w:r>
          </w:p>
        </w:tc>
      </w:tr>
      <w:tr w:rsidR="00B84C8B" w:rsidRPr="00701514" w14:paraId="09E921F3" w14:textId="77777777" w:rsidTr="00D25AB6">
        <w:trPr>
          <w:trHeight w:val="567"/>
          <w:jc w:val="center"/>
        </w:trPr>
        <w:tc>
          <w:tcPr>
            <w:cnfStyle w:val="001000000000" w:firstRow="0" w:lastRow="0" w:firstColumn="1" w:lastColumn="0" w:oddVBand="0" w:evenVBand="0" w:oddHBand="0" w:evenHBand="0" w:firstRowFirstColumn="0" w:firstRowLastColumn="0" w:lastRowFirstColumn="0" w:lastRowLastColumn="0"/>
            <w:tcW w:w="3076" w:type="dxa"/>
            <w:tcBorders>
              <w:top w:val="single" w:sz="4" w:space="0" w:color="366092"/>
            </w:tcBorders>
            <w:vAlign w:val="center"/>
          </w:tcPr>
          <w:p w14:paraId="07E007E1" w14:textId="77777777" w:rsidR="00B84C8B" w:rsidRPr="00701514" w:rsidRDefault="00B84C8B" w:rsidP="00B84C8B">
            <w:pPr>
              <w:rPr>
                <w:rFonts w:ascii="Verdana" w:hAnsi="Verdana" w:cs="Calibri"/>
                <w:b w:val="0"/>
                <w:bCs w:val="0"/>
                <w:color w:val="365F91"/>
                <w:sz w:val="18"/>
                <w:szCs w:val="18"/>
              </w:rPr>
            </w:pPr>
            <w:r w:rsidRPr="00701514">
              <w:rPr>
                <w:rFonts w:ascii="Verdana" w:eastAsia="Times New Roman" w:hAnsi="Verdana" w:cs="Arial"/>
                <w:b w:val="0"/>
                <w:bCs w:val="0"/>
                <w:color w:val="365F91"/>
                <w:sz w:val="18"/>
                <w:szCs w:val="18"/>
              </w:rPr>
              <w:t>Food and Non-Alcoholic Beverages</w:t>
            </w:r>
          </w:p>
        </w:tc>
        <w:tc>
          <w:tcPr>
            <w:tcW w:w="1319" w:type="dxa"/>
            <w:tcBorders>
              <w:top w:val="single" w:sz="4" w:space="0" w:color="366092"/>
            </w:tcBorders>
            <w:noWrap/>
            <w:tcMar>
              <w:left w:w="0" w:type="dxa"/>
              <w:right w:w="198" w:type="dxa"/>
            </w:tcMar>
            <w:vAlign w:val="center"/>
          </w:tcPr>
          <w:p w14:paraId="389AE5E1" w14:textId="545D678E" w:rsidR="00B84C8B" w:rsidRPr="00701514" w:rsidRDefault="00B84C8B" w:rsidP="00B84C8B">
            <w:pPr>
              <w:ind w:right="227"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701514">
              <w:rPr>
                <w:rFonts w:ascii="Verdana" w:hAnsi="Verdana" w:cs="Calibri"/>
                <w:color w:val="365F91"/>
                <w:sz w:val="18"/>
                <w:szCs w:val="18"/>
                <w:lang w:val="el-GR"/>
              </w:rPr>
              <w:t>122,35</w:t>
            </w:r>
          </w:p>
        </w:tc>
        <w:tc>
          <w:tcPr>
            <w:tcW w:w="1370" w:type="dxa"/>
            <w:noWrap/>
            <w:tcMar>
              <w:left w:w="0" w:type="dxa"/>
              <w:right w:w="198" w:type="dxa"/>
            </w:tcMar>
            <w:vAlign w:val="center"/>
          </w:tcPr>
          <w:p w14:paraId="2971C9D9" w14:textId="147EEF9D" w:rsidR="00B84C8B" w:rsidRPr="00701514" w:rsidRDefault="00B84C8B" w:rsidP="00B84C8B">
            <w:pPr>
              <w:ind w:right="227"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701514">
              <w:rPr>
                <w:rFonts w:ascii="Verdana" w:hAnsi="Verdana" w:cs="Calibri"/>
                <w:color w:val="365F91"/>
                <w:sz w:val="18"/>
                <w:szCs w:val="18"/>
                <w:lang w:val="el-GR"/>
              </w:rPr>
              <w:t>124,58</w:t>
            </w:r>
          </w:p>
        </w:tc>
        <w:tc>
          <w:tcPr>
            <w:tcW w:w="291" w:type="dxa"/>
            <w:noWrap/>
            <w:tcMar>
              <w:left w:w="0" w:type="dxa"/>
              <w:right w:w="28" w:type="dxa"/>
            </w:tcMar>
            <w:vAlign w:val="center"/>
          </w:tcPr>
          <w:p w14:paraId="0D594CE5" w14:textId="77777777" w:rsidR="00B84C8B" w:rsidRPr="00701514" w:rsidRDefault="00B84C8B" w:rsidP="00B84C8B">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p>
        </w:tc>
        <w:tc>
          <w:tcPr>
            <w:tcW w:w="1259" w:type="dxa"/>
            <w:tcBorders>
              <w:top w:val="single" w:sz="4" w:space="0" w:color="366092"/>
            </w:tcBorders>
            <w:noWrap/>
            <w:tcMar>
              <w:left w:w="0" w:type="dxa"/>
              <w:right w:w="397" w:type="dxa"/>
            </w:tcMar>
            <w:vAlign w:val="center"/>
          </w:tcPr>
          <w:p w14:paraId="35E7B679" w14:textId="7ACDC08C" w:rsidR="00B84C8B" w:rsidRPr="00701514" w:rsidRDefault="00B84C8B" w:rsidP="00B84C8B">
            <w:pPr>
              <w:ind w:firstLineChars="200" w:firstLine="36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701514">
              <w:rPr>
                <w:rFonts w:ascii="Verdana" w:hAnsi="Verdana" w:cs="Calibri"/>
                <w:color w:val="365F91"/>
                <w:sz w:val="18"/>
                <w:szCs w:val="18"/>
                <w:lang w:val="el-GR"/>
              </w:rPr>
              <w:t>1,4</w:t>
            </w:r>
          </w:p>
        </w:tc>
        <w:tc>
          <w:tcPr>
            <w:tcW w:w="1190" w:type="dxa"/>
            <w:tcBorders>
              <w:top w:val="single" w:sz="4" w:space="0" w:color="366092"/>
            </w:tcBorders>
            <w:noWrap/>
            <w:tcMar>
              <w:left w:w="0" w:type="dxa"/>
              <w:right w:w="397" w:type="dxa"/>
            </w:tcMar>
            <w:vAlign w:val="center"/>
          </w:tcPr>
          <w:p w14:paraId="15500C29" w14:textId="121DBBC6" w:rsidR="00B84C8B" w:rsidRPr="00701514" w:rsidRDefault="00B84C8B" w:rsidP="00B84C8B">
            <w:pPr>
              <w:ind w:firstLineChars="200" w:firstLine="36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701514">
              <w:rPr>
                <w:rFonts w:ascii="Verdana" w:hAnsi="Verdana" w:cs="Calibri"/>
                <w:color w:val="365F91"/>
                <w:sz w:val="18"/>
                <w:szCs w:val="18"/>
                <w:lang w:val="el-GR"/>
              </w:rPr>
              <w:t>1,8</w:t>
            </w:r>
          </w:p>
        </w:tc>
        <w:tc>
          <w:tcPr>
            <w:tcW w:w="1465" w:type="dxa"/>
            <w:gridSpan w:val="2"/>
            <w:tcBorders>
              <w:top w:val="single" w:sz="4" w:space="0" w:color="366092"/>
            </w:tcBorders>
            <w:noWrap/>
            <w:tcMar>
              <w:left w:w="0" w:type="dxa"/>
              <w:right w:w="397" w:type="dxa"/>
            </w:tcMar>
            <w:vAlign w:val="center"/>
          </w:tcPr>
          <w:p w14:paraId="3AEF5052" w14:textId="73C86B8C" w:rsidR="00B84C8B" w:rsidRPr="00701514" w:rsidRDefault="00B84C8B" w:rsidP="00B84C8B">
            <w:pPr>
              <w:ind w:right="113" w:firstLineChars="300" w:firstLine="54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701514">
              <w:rPr>
                <w:rFonts w:ascii="Verdana" w:hAnsi="Verdana" w:cs="Calibri"/>
                <w:color w:val="365F91"/>
                <w:sz w:val="18"/>
                <w:szCs w:val="18"/>
                <w:lang w:val="el-GR"/>
              </w:rPr>
              <w:t>2,0</w:t>
            </w:r>
          </w:p>
        </w:tc>
      </w:tr>
      <w:tr w:rsidR="00B84C8B" w:rsidRPr="00701514" w14:paraId="36AEA218" w14:textId="77777777" w:rsidTr="00D25AB6">
        <w:trPr>
          <w:trHeight w:val="567"/>
          <w:jc w:val="center"/>
        </w:trPr>
        <w:tc>
          <w:tcPr>
            <w:cnfStyle w:val="001000000000" w:firstRow="0" w:lastRow="0" w:firstColumn="1" w:lastColumn="0" w:oddVBand="0" w:evenVBand="0" w:oddHBand="0" w:evenHBand="0" w:firstRowFirstColumn="0" w:firstRowLastColumn="0" w:lastRowFirstColumn="0" w:lastRowLastColumn="0"/>
            <w:tcW w:w="3076" w:type="dxa"/>
            <w:vAlign w:val="center"/>
          </w:tcPr>
          <w:p w14:paraId="4FC817AE" w14:textId="77777777" w:rsidR="00B84C8B" w:rsidRPr="00701514" w:rsidRDefault="00B84C8B" w:rsidP="00B84C8B">
            <w:pPr>
              <w:rPr>
                <w:rFonts w:ascii="Verdana" w:eastAsia="Times New Roman" w:hAnsi="Verdana" w:cs="Arial"/>
                <w:b w:val="0"/>
                <w:bCs w:val="0"/>
                <w:color w:val="365F91"/>
                <w:sz w:val="18"/>
                <w:szCs w:val="18"/>
                <w:lang w:val="en-GB"/>
              </w:rPr>
            </w:pPr>
            <w:proofErr w:type="spellStart"/>
            <w:r w:rsidRPr="00701514">
              <w:rPr>
                <w:rFonts w:ascii="Verdana" w:eastAsia="Times New Roman" w:hAnsi="Verdana" w:cs="Arial"/>
                <w:b w:val="0"/>
                <w:bCs w:val="0"/>
                <w:color w:val="365F91"/>
                <w:sz w:val="18"/>
                <w:szCs w:val="18"/>
                <w:lang w:val="el-GR"/>
              </w:rPr>
              <w:t>Alcoholic</w:t>
            </w:r>
            <w:proofErr w:type="spellEnd"/>
            <w:r w:rsidRPr="00701514">
              <w:rPr>
                <w:rFonts w:ascii="Verdana" w:eastAsia="Times New Roman" w:hAnsi="Verdana" w:cs="Arial"/>
                <w:b w:val="0"/>
                <w:bCs w:val="0"/>
                <w:color w:val="365F91"/>
                <w:sz w:val="18"/>
                <w:szCs w:val="18"/>
                <w:lang w:val="el-GR"/>
              </w:rPr>
              <w:t xml:space="preserve"> </w:t>
            </w:r>
            <w:r w:rsidRPr="00701514">
              <w:rPr>
                <w:rFonts w:ascii="Verdana" w:eastAsia="Times New Roman" w:hAnsi="Verdana" w:cs="Arial"/>
                <w:b w:val="0"/>
                <w:bCs w:val="0"/>
                <w:color w:val="365F91"/>
                <w:sz w:val="18"/>
                <w:szCs w:val="18"/>
              </w:rPr>
              <w:t>B</w:t>
            </w:r>
            <w:proofErr w:type="spellStart"/>
            <w:r w:rsidRPr="00701514">
              <w:rPr>
                <w:rFonts w:ascii="Verdana" w:eastAsia="Times New Roman" w:hAnsi="Verdana" w:cs="Arial"/>
                <w:b w:val="0"/>
                <w:bCs w:val="0"/>
                <w:color w:val="365F91"/>
                <w:sz w:val="18"/>
                <w:szCs w:val="18"/>
                <w:lang w:val="el-GR"/>
              </w:rPr>
              <w:t>everages</w:t>
            </w:r>
            <w:proofErr w:type="spellEnd"/>
            <w:r w:rsidRPr="00701514">
              <w:rPr>
                <w:rFonts w:ascii="Verdana" w:eastAsia="Times New Roman" w:hAnsi="Verdana" w:cs="Arial"/>
                <w:b w:val="0"/>
                <w:bCs w:val="0"/>
                <w:color w:val="365F91"/>
                <w:sz w:val="18"/>
                <w:szCs w:val="18"/>
                <w:lang w:val="en-GB"/>
              </w:rPr>
              <w:t xml:space="preserve"> </w:t>
            </w:r>
          </w:p>
          <w:p w14:paraId="4A415516" w14:textId="77777777" w:rsidR="00B84C8B" w:rsidRPr="00701514" w:rsidRDefault="00B84C8B" w:rsidP="00B84C8B">
            <w:pPr>
              <w:rPr>
                <w:rFonts w:ascii="Verdana" w:hAnsi="Verdana" w:cs="Calibri"/>
                <w:b w:val="0"/>
                <w:bCs w:val="0"/>
                <w:color w:val="365F91"/>
                <w:sz w:val="18"/>
                <w:szCs w:val="18"/>
              </w:rPr>
            </w:pPr>
            <w:r w:rsidRPr="00701514">
              <w:rPr>
                <w:rFonts w:ascii="Verdana" w:eastAsia="Times New Roman" w:hAnsi="Verdana" w:cs="Arial"/>
                <w:b w:val="0"/>
                <w:bCs w:val="0"/>
                <w:color w:val="365F91"/>
                <w:sz w:val="18"/>
                <w:szCs w:val="18"/>
                <w:lang w:val="en-GB"/>
              </w:rPr>
              <w:t>and</w:t>
            </w:r>
            <w:r w:rsidRPr="00701514">
              <w:rPr>
                <w:rFonts w:ascii="Verdana" w:eastAsia="Times New Roman" w:hAnsi="Verdana" w:cs="Arial"/>
                <w:b w:val="0"/>
                <w:bCs w:val="0"/>
                <w:color w:val="365F91"/>
                <w:sz w:val="18"/>
                <w:szCs w:val="18"/>
                <w:lang w:val="el-GR"/>
              </w:rPr>
              <w:t xml:space="preserve"> </w:t>
            </w:r>
            <w:r w:rsidRPr="00701514">
              <w:rPr>
                <w:rFonts w:ascii="Verdana" w:eastAsia="Times New Roman" w:hAnsi="Verdana" w:cs="Arial"/>
                <w:b w:val="0"/>
                <w:bCs w:val="0"/>
                <w:color w:val="365F91"/>
                <w:sz w:val="18"/>
                <w:szCs w:val="18"/>
              </w:rPr>
              <w:t>T</w:t>
            </w:r>
            <w:proofErr w:type="spellStart"/>
            <w:r w:rsidRPr="00701514">
              <w:rPr>
                <w:rFonts w:ascii="Verdana" w:eastAsia="Times New Roman" w:hAnsi="Verdana" w:cs="Arial"/>
                <w:b w:val="0"/>
                <w:bCs w:val="0"/>
                <w:color w:val="365F91"/>
                <w:sz w:val="18"/>
                <w:szCs w:val="18"/>
                <w:lang w:val="el-GR"/>
              </w:rPr>
              <w:t>obacco</w:t>
            </w:r>
            <w:proofErr w:type="spellEnd"/>
          </w:p>
        </w:tc>
        <w:tc>
          <w:tcPr>
            <w:tcW w:w="1319" w:type="dxa"/>
            <w:noWrap/>
            <w:tcMar>
              <w:left w:w="0" w:type="dxa"/>
              <w:right w:w="198" w:type="dxa"/>
            </w:tcMar>
            <w:vAlign w:val="center"/>
          </w:tcPr>
          <w:p w14:paraId="476A15E4" w14:textId="3446DD88" w:rsidR="00B84C8B" w:rsidRPr="00701514" w:rsidRDefault="00B84C8B" w:rsidP="00B84C8B">
            <w:pPr>
              <w:ind w:right="227"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701514">
              <w:rPr>
                <w:rFonts w:ascii="Verdana" w:hAnsi="Verdana" w:cs="Calibri"/>
                <w:color w:val="365F91"/>
                <w:sz w:val="18"/>
                <w:szCs w:val="18"/>
                <w:lang w:val="el-GR"/>
              </w:rPr>
              <w:t>101,86</w:t>
            </w:r>
          </w:p>
        </w:tc>
        <w:tc>
          <w:tcPr>
            <w:tcW w:w="1370" w:type="dxa"/>
            <w:noWrap/>
            <w:tcMar>
              <w:left w:w="0" w:type="dxa"/>
              <w:right w:w="198" w:type="dxa"/>
            </w:tcMar>
            <w:vAlign w:val="center"/>
          </w:tcPr>
          <w:p w14:paraId="4BD6B10E" w14:textId="22A64E5B" w:rsidR="00B84C8B" w:rsidRPr="00701514" w:rsidRDefault="00B84C8B" w:rsidP="00B84C8B">
            <w:pPr>
              <w:ind w:right="227"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701514">
              <w:rPr>
                <w:rFonts w:ascii="Verdana" w:hAnsi="Verdana" w:cs="Calibri"/>
                <w:color w:val="365F91"/>
                <w:sz w:val="18"/>
                <w:szCs w:val="18"/>
                <w:lang w:val="el-GR"/>
              </w:rPr>
              <w:t>102,11</w:t>
            </w:r>
          </w:p>
        </w:tc>
        <w:tc>
          <w:tcPr>
            <w:tcW w:w="291" w:type="dxa"/>
            <w:noWrap/>
            <w:tcMar>
              <w:left w:w="0" w:type="dxa"/>
              <w:right w:w="28" w:type="dxa"/>
            </w:tcMar>
            <w:vAlign w:val="center"/>
          </w:tcPr>
          <w:p w14:paraId="06534F24" w14:textId="77777777" w:rsidR="00B84C8B" w:rsidRPr="00701514" w:rsidRDefault="00B84C8B" w:rsidP="00B84C8B">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p>
        </w:tc>
        <w:tc>
          <w:tcPr>
            <w:tcW w:w="1259" w:type="dxa"/>
            <w:noWrap/>
            <w:tcMar>
              <w:left w:w="0" w:type="dxa"/>
              <w:right w:w="397" w:type="dxa"/>
            </w:tcMar>
            <w:vAlign w:val="center"/>
          </w:tcPr>
          <w:p w14:paraId="450FBE84" w14:textId="0EF56386" w:rsidR="00B84C8B" w:rsidRPr="00701514" w:rsidRDefault="00B84C8B" w:rsidP="00B84C8B">
            <w:pPr>
              <w:ind w:firstLineChars="200" w:firstLine="36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701514">
              <w:rPr>
                <w:rFonts w:ascii="Verdana" w:hAnsi="Verdana" w:cs="Calibri"/>
                <w:color w:val="365F91"/>
                <w:sz w:val="18"/>
                <w:szCs w:val="18"/>
                <w:lang w:val="el-GR"/>
              </w:rPr>
              <w:t>0,9</w:t>
            </w:r>
          </w:p>
        </w:tc>
        <w:tc>
          <w:tcPr>
            <w:tcW w:w="1190" w:type="dxa"/>
            <w:noWrap/>
            <w:tcMar>
              <w:left w:w="0" w:type="dxa"/>
              <w:right w:w="397" w:type="dxa"/>
            </w:tcMar>
            <w:vAlign w:val="center"/>
          </w:tcPr>
          <w:p w14:paraId="080CAEC4" w14:textId="1C6F908C" w:rsidR="00B84C8B" w:rsidRPr="00701514" w:rsidRDefault="00B84C8B" w:rsidP="00B84C8B">
            <w:pPr>
              <w:ind w:firstLineChars="200" w:firstLine="36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701514">
              <w:rPr>
                <w:rFonts w:ascii="Verdana" w:hAnsi="Verdana" w:cs="Calibri"/>
                <w:color w:val="365F91"/>
                <w:sz w:val="18"/>
                <w:szCs w:val="18"/>
                <w:lang w:val="el-GR"/>
              </w:rPr>
              <w:t>0,2</w:t>
            </w:r>
          </w:p>
        </w:tc>
        <w:tc>
          <w:tcPr>
            <w:tcW w:w="1465" w:type="dxa"/>
            <w:gridSpan w:val="2"/>
            <w:noWrap/>
            <w:tcMar>
              <w:left w:w="0" w:type="dxa"/>
              <w:right w:w="397" w:type="dxa"/>
            </w:tcMar>
            <w:vAlign w:val="center"/>
          </w:tcPr>
          <w:p w14:paraId="69993C63" w14:textId="183CED78" w:rsidR="00B84C8B" w:rsidRPr="00701514" w:rsidRDefault="00B84C8B" w:rsidP="00B84C8B">
            <w:pPr>
              <w:ind w:right="113" w:firstLineChars="300" w:firstLine="54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701514">
              <w:rPr>
                <w:rFonts w:ascii="Verdana" w:hAnsi="Verdana" w:cs="Calibri"/>
                <w:color w:val="365F91"/>
                <w:sz w:val="18"/>
                <w:szCs w:val="18"/>
                <w:lang w:val="el-GR"/>
              </w:rPr>
              <w:t>2,0</w:t>
            </w:r>
          </w:p>
        </w:tc>
      </w:tr>
      <w:tr w:rsidR="00B84C8B" w:rsidRPr="00701514" w14:paraId="105E6CF2" w14:textId="77777777" w:rsidTr="00D25AB6">
        <w:trPr>
          <w:trHeight w:val="397"/>
          <w:jc w:val="center"/>
        </w:trPr>
        <w:tc>
          <w:tcPr>
            <w:cnfStyle w:val="001000000000" w:firstRow="0" w:lastRow="0" w:firstColumn="1" w:lastColumn="0" w:oddVBand="0" w:evenVBand="0" w:oddHBand="0" w:evenHBand="0" w:firstRowFirstColumn="0" w:firstRowLastColumn="0" w:lastRowFirstColumn="0" w:lastRowLastColumn="0"/>
            <w:tcW w:w="3076" w:type="dxa"/>
            <w:vAlign w:val="center"/>
          </w:tcPr>
          <w:p w14:paraId="648D3D6C" w14:textId="77777777" w:rsidR="00B84C8B" w:rsidRPr="00701514" w:rsidRDefault="00B84C8B" w:rsidP="00B84C8B">
            <w:pPr>
              <w:rPr>
                <w:rFonts w:ascii="Verdana" w:hAnsi="Verdana" w:cs="Calibri"/>
                <w:b w:val="0"/>
                <w:bCs w:val="0"/>
                <w:color w:val="365F91"/>
                <w:sz w:val="18"/>
                <w:szCs w:val="18"/>
              </w:rPr>
            </w:pPr>
            <w:r w:rsidRPr="00701514">
              <w:rPr>
                <w:rFonts w:ascii="Verdana" w:eastAsia="Times New Roman" w:hAnsi="Verdana" w:cs="Arial"/>
                <w:b w:val="0"/>
                <w:bCs w:val="0"/>
                <w:color w:val="365F91"/>
                <w:sz w:val="18"/>
                <w:szCs w:val="18"/>
                <w:lang w:val="el-GR"/>
              </w:rPr>
              <w:t xml:space="preserve">Clothing and </w:t>
            </w:r>
            <w:r w:rsidRPr="00701514">
              <w:rPr>
                <w:rFonts w:ascii="Verdana" w:eastAsia="Times New Roman" w:hAnsi="Verdana" w:cs="Arial"/>
                <w:b w:val="0"/>
                <w:bCs w:val="0"/>
                <w:color w:val="365F91"/>
                <w:sz w:val="18"/>
                <w:szCs w:val="18"/>
              </w:rPr>
              <w:t>F</w:t>
            </w:r>
            <w:proofErr w:type="spellStart"/>
            <w:r w:rsidRPr="00701514">
              <w:rPr>
                <w:rFonts w:ascii="Verdana" w:eastAsia="Times New Roman" w:hAnsi="Verdana" w:cs="Arial"/>
                <w:b w:val="0"/>
                <w:bCs w:val="0"/>
                <w:color w:val="365F91"/>
                <w:sz w:val="18"/>
                <w:szCs w:val="18"/>
                <w:lang w:val="el-GR"/>
              </w:rPr>
              <w:t>ootwear</w:t>
            </w:r>
            <w:proofErr w:type="spellEnd"/>
          </w:p>
        </w:tc>
        <w:tc>
          <w:tcPr>
            <w:tcW w:w="1319" w:type="dxa"/>
            <w:noWrap/>
            <w:tcMar>
              <w:left w:w="0" w:type="dxa"/>
              <w:right w:w="198" w:type="dxa"/>
            </w:tcMar>
            <w:vAlign w:val="center"/>
          </w:tcPr>
          <w:p w14:paraId="197A35BF" w14:textId="57F5B81C" w:rsidR="00B84C8B" w:rsidRPr="00701514" w:rsidRDefault="00B84C8B" w:rsidP="00B84C8B">
            <w:pPr>
              <w:ind w:right="227"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701514">
              <w:rPr>
                <w:rFonts w:ascii="Verdana" w:hAnsi="Verdana" w:cs="Calibri"/>
                <w:color w:val="365F91"/>
                <w:sz w:val="18"/>
                <w:szCs w:val="18"/>
                <w:lang w:val="el-GR"/>
              </w:rPr>
              <w:t>106,96</w:t>
            </w:r>
          </w:p>
        </w:tc>
        <w:tc>
          <w:tcPr>
            <w:tcW w:w="1370" w:type="dxa"/>
            <w:noWrap/>
            <w:tcMar>
              <w:left w:w="0" w:type="dxa"/>
              <w:right w:w="198" w:type="dxa"/>
            </w:tcMar>
            <w:vAlign w:val="center"/>
          </w:tcPr>
          <w:p w14:paraId="006CAE3E" w14:textId="3814210A" w:rsidR="00B84C8B" w:rsidRPr="00701514" w:rsidRDefault="00B84C8B" w:rsidP="00B84C8B">
            <w:pPr>
              <w:ind w:right="227"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701514">
              <w:rPr>
                <w:rFonts w:ascii="Verdana" w:hAnsi="Verdana" w:cs="Calibri"/>
                <w:color w:val="365F91"/>
                <w:sz w:val="18"/>
                <w:szCs w:val="18"/>
                <w:lang w:val="el-GR"/>
              </w:rPr>
              <w:t>107,54</w:t>
            </w:r>
          </w:p>
        </w:tc>
        <w:tc>
          <w:tcPr>
            <w:tcW w:w="291" w:type="dxa"/>
            <w:noWrap/>
            <w:tcMar>
              <w:left w:w="0" w:type="dxa"/>
              <w:right w:w="28" w:type="dxa"/>
            </w:tcMar>
            <w:vAlign w:val="center"/>
          </w:tcPr>
          <w:p w14:paraId="6465296F" w14:textId="77777777" w:rsidR="00B84C8B" w:rsidRPr="00701514" w:rsidRDefault="00B84C8B" w:rsidP="00B84C8B">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p>
        </w:tc>
        <w:tc>
          <w:tcPr>
            <w:tcW w:w="1259" w:type="dxa"/>
            <w:noWrap/>
            <w:tcMar>
              <w:left w:w="0" w:type="dxa"/>
              <w:right w:w="397" w:type="dxa"/>
            </w:tcMar>
            <w:vAlign w:val="center"/>
          </w:tcPr>
          <w:p w14:paraId="17F367E9" w14:textId="12ECFAAF" w:rsidR="00B84C8B" w:rsidRPr="00701514" w:rsidRDefault="00B84C8B" w:rsidP="00B84C8B">
            <w:pPr>
              <w:ind w:firstLineChars="200" w:firstLine="36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701514">
              <w:rPr>
                <w:rFonts w:ascii="Verdana" w:hAnsi="Verdana" w:cs="Calibri"/>
                <w:color w:val="365F91"/>
                <w:sz w:val="18"/>
                <w:szCs w:val="18"/>
                <w:lang w:val="el-GR"/>
              </w:rPr>
              <w:t>0,0</w:t>
            </w:r>
          </w:p>
        </w:tc>
        <w:tc>
          <w:tcPr>
            <w:tcW w:w="1190" w:type="dxa"/>
            <w:noWrap/>
            <w:tcMar>
              <w:left w:w="0" w:type="dxa"/>
              <w:right w:w="397" w:type="dxa"/>
            </w:tcMar>
            <w:vAlign w:val="center"/>
          </w:tcPr>
          <w:p w14:paraId="6FE619C0" w14:textId="18EE85C6" w:rsidR="00B84C8B" w:rsidRPr="00701514" w:rsidRDefault="00B84C8B" w:rsidP="00B84C8B">
            <w:pPr>
              <w:ind w:firstLineChars="200" w:firstLine="36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701514">
              <w:rPr>
                <w:rFonts w:ascii="Verdana" w:hAnsi="Verdana" w:cs="Calibri"/>
                <w:color w:val="365F91"/>
                <w:sz w:val="18"/>
                <w:szCs w:val="18"/>
                <w:lang w:val="el-GR"/>
              </w:rPr>
              <w:t>0,5</w:t>
            </w:r>
          </w:p>
        </w:tc>
        <w:tc>
          <w:tcPr>
            <w:tcW w:w="1465" w:type="dxa"/>
            <w:gridSpan w:val="2"/>
            <w:noWrap/>
            <w:tcMar>
              <w:left w:w="0" w:type="dxa"/>
              <w:right w:w="397" w:type="dxa"/>
            </w:tcMar>
            <w:vAlign w:val="center"/>
          </w:tcPr>
          <w:p w14:paraId="6976DF39" w14:textId="2A689393" w:rsidR="00B84C8B" w:rsidRPr="00701514" w:rsidRDefault="00B84C8B" w:rsidP="00B84C8B">
            <w:pPr>
              <w:ind w:right="113" w:firstLineChars="300" w:firstLine="54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701514">
              <w:rPr>
                <w:rFonts w:ascii="Verdana" w:hAnsi="Verdana" w:cs="Calibri"/>
                <w:color w:val="365F91"/>
                <w:sz w:val="18"/>
                <w:szCs w:val="18"/>
                <w:lang w:val="el-GR"/>
              </w:rPr>
              <w:t>0,6</w:t>
            </w:r>
          </w:p>
        </w:tc>
      </w:tr>
      <w:tr w:rsidR="00B84C8B" w:rsidRPr="00701514" w14:paraId="2E94A4EB" w14:textId="77777777" w:rsidTr="00D25AB6">
        <w:trPr>
          <w:trHeight w:val="567"/>
          <w:jc w:val="center"/>
        </w:trPr>
        <w:tc>
          <w:tcPr>
            <w:cnfStyle w:val="001000000000" w:firstRow="0" w:lastRow="0" w:firstColumn="1" w:lastColumn="0" w:oddVBand="0" w:evenVBand="0" w:oddHBand="0" w:evenHBand="0" w:firstRowFirstColumn="0" w:firstRowLastColumn="0" w:lastRowFirstColumn="0" w:lastRowLastColumn="0"/>
            <w:tcW w:w="3076" w:type="dxa"/>
            <w:vAlign w:val="center"/>
          </w:tcPr>
          <w:p w14:paraId="11862E39" w14:textId="77777777" w:rsidR="00B84C8B" w:rsidRPr="00701514" w:rsidRDefault="00B84C8B" w:rsidP="00B84C8B">
            <w:pPr>
              <w:rPr>
                <w:rFonts w:ascii="Verdana" w:hAnsi="Verdana" w:cs="Calibri"/>
                <w:b w:val="0"/>
                <w:bCs w:val="0"/>
                <w:color w:val="365F91"/>
                <w:sz w:val="18"/>
                <w:szCs w:val="18"/>
              </w:rPr>
            </w:pPr>
            <w:r w:rsidRPr="00701514">
              <w:rPr>
                <w:rFonts w:ascii="Verdana" w:eastAsia="Times New Roman" w:hAnsi="Verdana" w:cs="Arial"/>
                <w:b w:val="0"/>
                <w:bCs w:val="0"/>
                <w:color w:val="365F91"/>
                <w:sz w:val="18"/>
                <w:szCs w:val="18"/>
              </w:rPr>
              <w:t>Housing, Water, Electricity, Gas and Other Fuels</w:t>
            </w:r>
          </w:p>
        </w:tc>
        <w:tc>
          <w:tcPr>
            <w:tcW w:w="1319" w:type="dxa"/>
            <w:noWrap/>
            <w:tcMar>
              <w:left w:w="0" w:type="dxa"/>
              <w:right w:w="198" w:type="dxa"/>
            </w:tcMar>
            <w:vAlign w:val="center"/>
          </w:tcPr>
          <w:p w14:paraId="63A7FDEC" w14:textId="507153B7" w:rsidR="00B84C8B" w:rsidRPr="00701514" w:rsidRDefault="00B84C8B" w:rsidP="00B84C8B">
            <w:pPr>
              <w:ind w:right="227"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701514">
              <w:rPr>
                <w:rFonts w:ascii="Verdana" w:hAnsi="Verdana" w:cs="Calibri"/>
                <w:color w:val="365F91"/>
                <w:sz w:val="18"/>
                <w:szCs w:val="18"/>
                <w:lang w:val="el-GR"/>
              </w:rPr>
              <w:t>143,96</w:t>
            </w:r>
          </w:p>
        </w:tc>
        <w:tc>
          <w:tcPr>
            <w:tcW w:w="1370" w:type="dxa"/>
            <w:noWrap/>
            <w:tcMar>
              <w:left w:w="0" w:type="dxa"/>
              <w:right w:w="198" w:type="dxa"/>
            </w:tcMar>
            <w:vAlign w:val="center"/>
          </w:tcPr>
          <w:p w14:paraId="3EC52FEF" w14:textId="32AD7C7B" w:rsidR="00B84C8B" w:rsidRPr="00701514" w:rsidRDefault="00B84C8B" w:rsidP="00B84C8B">
            <w:pPr>
              <w:ind w:right="227"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701514">
              <w:rPr>
                <w:rFonts w:ascii="Verdana" w:hAnsi="Verdana" w:cs="Calibri"/>
                <w:color w:val="365F91"/>
                <w:sz w:val="18"/>
                <w:szCs w:val="18"/>
                <w:lang w:val="el-GR"/>
              </w:rPr>
              <w:t>144,50</w:t>
            </w:r>
          </w:p>
        </w:tc>
        <w:tc>
          <w:tcPr>
            <w:tcW w:w="291" w:type="dxa"/>
            <w:noWrap/>
            <w:tcMar>
              <w:left w:w="0" w:type="dxa"/>
              <w:right w:w="28" w:type="dxa"/>
            </w:tcMar>
            <w:vAlign w:val="center"/>
          </w:tcPr>
          <w:p w14:paraId="2DCCBE90" w14:textId="77777777" w:rsidR="00B84C8B" w:rsidRPr="00701514" w:rsidRDefault="00B84C8B" w:rsidP="00B84C8B">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p>
        </w:tc>
        <w:tc>
          <w:tcPr>
            <w:tcW w:w="1259" w:type="dxa"/>
            <w:noWrap/>
            <w:tcMar>
              <w:left w:w="0" w:type="dxa"/>
              <w:right w:w="397" w:type="dxa"/>
            </w:tcMar>
            <w:vAlign w:val="center"/>
          </w:tcPr>
          <w:p w14:paraId="22B772E1" w14:textId="7AEB01A0" w:rsidR="00B84C8B" w:rsidRPr="00701514" w:rsidRDefault="00B84C8B" w:rsidP="00B84C8B">
            <w:pPr>
              <w:ind w:firstLineChars="200" w:firstLine="36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701514">
              <w:rPr>
                <w:rFonts w:ascii="Verdana" w:hAnsi="Verdana" w:cs="Calibri"/>
                <w:color w:val="365F91"/>
                <w:sz w:val="18"/>
                <w:szCs w:val="18"/>
                <w:lang w:val="el-GR"/>
              </w:rPr>
              <w:t>2,8</w:t>
            </w:r>
          </w:p>
        </w:tc>
        <w:tc>
          <w:tcPr>
            <w:tcW w:w="1190" w:type="dxa"/>
            <w:noWrap/>
            <w:tcMar>
              <w:left w:w="0" w:type="dxa"/>
              <w:right w:w="397" w:type="dxa"/>
            </w:tcMar>
            <w:vAlign w:val="center"/>
          </w:tcPr>
          <w:p w14:paraId="72BEF009" w14:textId="37C22DCC" w:rsidR="00B84C8B" w:rsidRPr="00701514" w:rsidRDefault="00B84C8B" w:rsidP="00B84C8B">
            <w:pPr>
              <w:ind w:firstLineChars="200" w:firstLine="36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701514">
              <w:rPr>
                <w:rFonts w:ascii="Verdana" w:hAnsi="Verdana" w:cs="Calibri"/>
                <w:color w:val="365F91"/>
                <w:sz w:val="18"/>
                <w:szCs w:val="18"/>
                <w:lang w:val="el-GR"/>
              </w:rPr>
              <w:t>0,4</w:t>
            </w:r>
          </w:p>
        </w:tc>
        <w:tc>
          <w:tcPr>
            <w:tcW w:w="1465" w:type="dxa"/>
            <w:gridSpan w:val="2"/>
            <w:noWrap/>
            <w:tcMar>
              <w:left w:w="0" w:type="dxa"/>
              <w:right w:w="397" w:type="dxa"/>
            </w:tcMar>
            <w:vAlign w:val="center"/>
          </w:tcPr>
          <w:p w14:paraId="220B825B" w14:textId="1DB8FBCB" w:rsidR="00B84C8B" w:rsidRPr="00701514" w:rsidRDefault="00B84C8B" w:rsidP="00B84C8B">
            <w:pPr>
              <w:ind w:right="113" w:firstLineChars="300" w:firstLine="54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701514">
              <w:rPr>
                <w:rFonts w:ascii="Verdana" w:hAnsi="Verdana" w:cs="Calibri"/>
                <w:color w:val="365F91"/>
                <w:sz w:val="18"/>
                <w:szCs w:val="18"/>
                <w:lang w:val="el-GR"/>
              </w:rPr>
              <w:t>1,0</w:t>
            </w:r>
          </w:p>
        </w:tc>
      </w:tr>
      <w:tr w:rsidR="00B84C8B" w:rsidRPr="00701514" w14:paraId="4CC26B98" w14:textId="77777777" w:rsidTr="00D25AB6">
        <w:trPr>
          <w:trHeight w:val="794"/>
          <w:jc w:val="center"/>
        </w:trPr>
        <w:tc>
          <w:tcPr>
            <w:cnfStyle w:val="001000000000" w:firstRow="0" w:lastRow="0" w:firstColumn="1" w:lastColumn="0" w:oddVBand="0" w:evenVBand="0" w:oddHBand="0" w:evenHBand="0" w:firstRowFirstColumn="0" w:firstRowLastColumn="0" w:lastRowFirstColumn="0" w:lastRowLastColumn="0"/>
            <w:tcW w:w="3076" w:type="dxa"/>
            <w:vAlign w:val="center"/>
          </w:tcPr>
          <w:p w14:paraId="17878644" w14:textId="77777777" w:rsidR="00B84C8B" w:rsidRPr="00701514" w:rsidRDefault="00B84C8B" w:rsidP="00B84C8B">
            <w:pPr>
              <w:rPr>
                <w:rFonts w:ascii="Verdana" w:hAnsi="Verdana" w:cs="Calibri"/>
                <w:b w:val="0"/>
                <w:bCs w:val="0"/>
                <w:color w:val="365F91"/>
                <w:sz w:val="18"/>
                <w:szCs w:val="18"/>
              </w:rPr>
            </w:pPr>
            <w:r w:rsidRPr="00701514">
              <w:rPr>
                <w:rFonts w:ascii="Verdana" w:eastAsia="Times New Roman" w:hAnsi="Verdana" w:cs="Arial"/>
                <w:b w:val="0"/>
                <w:bCs w:val="0"/>
                <w:color w:val="365F91"/>
                <w:sz w:val="18"/>
                <w:szCs w:val="18"/>
              </w:rPr>
              <w:t>Furnishings, Household Equipment and Routine Maintenance of the House</w:t>
            </w:r>
          </w:p>
        </w:tc>
        <w:tc>
          <w:tcPr>
            <w:tcW w:w="1319" w:type="dxa"/>
            <w:noWrap/>
            <w:tcMar>
              <w:left w:w="0" w:type="dxa"/>
              <w:right w:w="198" w:type="dxa"/>
            </w:tcMar>
            <w:vAlign w:val="center"/>
          </w:tcPr>
          <w:p w14:paraId="4536AFB3" w14:textId="0F38B79D" w:rsidR="00B84C8B" w:rsidRPr="00701514" w:rsidRDefault="00B84C8B" w:rsidP="00B84C8B">
            <w:pPr>
              <w:ind w:right="227"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701514">
              <w:rPr>
                <w:rFonts w:ascii="Verdana" w:hAnsi="Verdana" w:cs="Calibri"/>
                <w:color w:val="365F91"/>
                <w:sz w:val="18"/>
                <w:szCs w:val="18"/>
                <w:lang w:val="el-GR"/>
              </w:rPr>
              <w:t>103,97</w:t>
            </w:r>
          </w:p>
        </w:tc>
        <w:tc>
          <w:tcPr>
            <w:tcW w:w="1370" w:type="dxa"/>
            <w:noWrap/>
            <w:tcMar>
              <w:left w:w="0" w:type="dxa"/>
              <w:right w:w="198" w:type="dxa"/>
            </w:tcMar>
            <w:vAlign w:val="center"/>
          </w:tcPr>
          <w:p w14:paraId="5DFF4D6D" w14:textId="321B24B0" w:rsidR="00B84C8B" w:rsidRPr="00701514" w:rsidRDefault="00B84C8B" w:rsidP="00B84C8B">
            <w:pPr>
              <w:ind w:right="227"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701514">
              <w:rPr>
                <w:rFonts w:ascii="Verdana" w:hAnsi="Verdana" w:cs="Calibri"/>
                <w:color w:val="365F91"/>
                <w:sz w:val="18"/>
                <w:szCs w:val="18"/>
                <w:lang w:val="el-GR"/>
              </w:rPr>
              <w:t>104,40</w:t>
            </w:r>
          </w:p>
        </w:tc>
        <w:tc>
          <w:tcPr>
            <w:tcW w:w="291" w:type="dxa"/>
            <w:noWrap/>
            <w:tcMar>
              <w:left w:w="0" w:type="dxa"/>
              <w:right w:w="28" w:type="dxa"/>
            </w:tcMar>
            <w:vAlign w:val="center"/>
          </w:tcPr>
          <w:p w14:paraId="264A41EA" w14:textId="77777777" w:rsidR="00B84C8B" w:rsidRPr="00701514" w:rsidRDefault="00B84C8B" w:rsidP="00B84C8B">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p>
        </w:tc>
        <w:tc>
          <w:tcPr>
            <w:tcW w:w="1259" w:type="dxa"/>
            <w:noWrap/>
            <w:tcMar>
              <w:left w:w="0" w:type="dxa"/>
              <w:right w:w="397" w:type="dxa"/>
            </w:tcMar>
            <w:vAlign w:val="center"/>
          </w:tcPr>
          <w:p w14:paraId="09CF7664" w14:textId="05A45569" w:rsidR="00B84C8B" w:rsidRPr="00701514" w:rsidRDefault="00B84C8B" w:rsidP="00B84C8B">
            <w:pPr>
              <w:ind w:firstLineChars="200" w:firstLine="36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701514">
              <w:rPr>
                <w:rFonts w:ascii="Verdana" w:hAnsi="Verdana" w:cs="Calibri"/>
                <w:color w:val="365F91"/>
                <w:sz w:val="18"/>
                <w:szCs w:val="18"/>
                <w:lang w:val="el-GR"/>
              </w:rPr>
              <w:t>-0,1</w:t>
            </w:r>
          </w:p>
        </w:tc>
        <w:tc>
          <w:tcPr>
            <w:tcW w:w="1190" w:type="dxa"/>
            <w:noWrap/>
            <w:tcMar>
              <w:left w:w="0" w:type="dxa"/>
              <w:right w:w="397" w:type="dxa"/>
            </w:tcMar>
            <w:vAlign w:val="center"/>
          </w:tcPr>
          <w:p w14:paraId="76FD9FA2" w14:textId="5A67022A" w:rsidR="00B84C8B" w:rsidRPr="00701514" w:rsidRDefault="00B84C8B" w:rsidP="00B84C8B">
            <w:pPr>
              <w:ind w:firstLineChars="200" w:firstLine="36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701514">
              <w:rPr>
                <w:rFonts w:ascii="Verdana" w:hAnsi="Verdana" w:cs="Calibri"/>
                <w:color w:val="365F91"/>
                <w:sz w:val="18"/>
                <w:szCs w:val="18"/>
                <w:lang w:val="el-GR"/>
              </w:rPr>
              <w:t>0,4</w:t>
            </w:r>
          </w:p>
        </w:tc>
        <w:tc>
          <w:tcPr>
            <w:tcW w:w="1465" w:type="dxa"/>
            <w:gridSpan w:val="2"/>
            <w:noWrap/>
            <w:tcMar>
              <w:left w:w="0" w:type="dxa"/>
              <w:right w:w="397" w:type="dxa"/>
            </w:tcMar>
            <w:vAlign w:val="center"/>
          </w:tcPr>
          <w:p w14:paraId="7AE20ABA" w14:textId="4DC3B4EB" w:rsidR="00B84C8B" w:rsidRPr="00701514" w:rsidRDefault="00B84C8B" w:rsidP="00B84C8B">
            <w:pPr>
              <w:ind w:right="113" w:firstLineChars="300" w:firstLine="54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701514">
              <w:rPr>
                <w:rFonts w:ascii="Verdana" w:hAnsi="Verdana" w:cs="Calibri"/>
                <w:color w:val="365F91"/>
                <w:sz w:val="18"/>
                <w:szCs w:val="18"/>
                <w:lang w:val="el-GR"/>
              </w:rPr>
              <w:t>-0,5</w:t>
            </w:r>
          </w:p>
        </w:tc>
      </w:tr>
      <w:tr w:rsidR="00B84C8B" w:rsidRPr="00701514" w14:paraId="09596AB8" w14:textId="77777777" w:rsidTr="00D25AB6">
        <w:trPr>
          <w:trHeight w:val="397"/>
          <w:jc w:val="center"/>
        </w:trPr>
        <w:tc>
          <w:tcPr>
            <w:cnfStyle w:val="001000000000" w:firstRow="0" w:lastRow="0" w:firstColumn="1" w:lastColumn="0" w:oddVBand="0" w:evenVBand="0" w:oddHBand="0" w:evenHBand="0" w:firstRowFirstColumn="0" w:firstRowLastColumn="0" w:lastRowFirstColumn="0" w:lastRowLastColumn="0"/>
            <w:tcW w:w="3076" w:type="dxa"/>
            <w:vAlign w:val="center"/>
          </w:tcPr>
          <w:p w14:paraId="59A680F5" w14:textId="77777777" w:rsidR="00B84C8B" w:rsidRPr="00701514" w:rsidRDefault="00B84C8B" w:rsidP="00B84C8B">
            <w:pPr>
              <w:rPr>
                <w:rFonts w:ascii="Verdana" w:eastAsia="Times New Roman" w:hAnsi="Verdana" w:cs="Arial"/>
                <w:b w:val="0"/>
                <w:bCs w:val="0"/>
                <w:color w:val="365F91"/>
                <w:sz w:val="18"/>
                <w:szCs w:val="18"/>
                <w:lang w:val="el-GR"/>
              </w:rPr>
            </w:pPr>
            <w:r w:rsidRPr="00701514">
              <w:rPr>
                <w:rFonts w:ascii="Verdana" w:eastAsia="Times New Roman" w:hAnsi="Verdana" w:cs="Arial"/>
                <w:b w:val="0"/>
                <w:bCs w:val="0"/>
                <w:color w:val="365F91"/>
                <w:sz w:val="18"/>
                <w:szCs w:val="18"/>
                <w:lang w:val="el-GR"/>
              </w:rPr>
              <w:t>Health</w:t>
            </w:r>
          </w:p>
        </w:tc>
        <w:tc>
          <w:tcPr>
            <w:tcW w:w="1319" w:type="dxa"/>
            <w:noWrap/>
            <w:tcMar>
              <w:left w:w="0" w:type="dxa"/>
              <w:right w:w="198" w:type="dxa"/>
            </w:tcMar>
            <w:vAlign w:val="center"/>
          </w:tcPr>
          <w:p w14:paraId="63AE0F91" w14:textId="745B4D43" w:rsidR="00B84C8B" w:rsidRPr="00701514" w:rsidRDefault="00B84C8B" w:rsidP="00B84C8B">
            <w:pPr>
              <w:ind w:right="227"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701514">
              <w:rPr>
                <w:rFonts w:ascii="Verdana" w:hAnsi="Verdana" w:cs="Calibri"/>
                <w:color w:val="365F91"/>
                <w:sz w:val="18"/>
                <w:szCs w:val="18"/>
                <w:lang w:val="el-GR"/>
              </w:rPr>
              <w:t>106,37</w:t>
            </w:r>
          </w:p>
        </w:tc>
        <w:tc>
          <w:tcPr>
            <w:tcW w:w="1370" w:type="dxa"/>
            <w:noWrap/>
            <w:tcMar>
              <w:left w:w="0" w:type="dxa"/>
              <w:right w:w="198" w:type="dxa"/>
            </w:tcMar>
            <w:vAlign w:val="center"/>
          </w:tcPr>
          <w:p w14:paraId="27982257" w14:textId="11688125" w:rsidR="00B84C8B" w:rsidRPr="00701514" w:rsidRDefault="00B84C8B" w:rsidP="00B84C8B">
            <w:pPr>
              <w:ind w:right="227"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701514">
              <w:rPr>
                <w:rFonts w:ascii="Verdana" w:hAnsi="Verdana" w:cs="Calibri"/>
                <w:color w:val="365F91"/>
                <w:sz w:val="18"/>
                <w:szCs w:val="18"/>
                <w:lang w:val="el-GR"/>
              </w:rPr>
              <w:t>106,38</w:t>
            </w:r>
          </w:p>
        </w:tc>
        <w:tc>
          <w:tcPr>
            <w:tcW w:w="291" w:type="dxa"/>
            <w:noWrap/>
            <w:tcMar>
              <w:left w:w="0" w:type="dxa"/>
              <w:right w:w="28" w:type="dxa"/>
            </w:tcMar>
            <w:vAlign w:val="center"/>
          </w:tcPr>
          <w:p w14:paraId="126A3654" w14:textId="77777777" w:rsidR="00B84C8B" w:rsidRPr="00701514" w:rsidRDefault="00B84C8B" w:rsidP="00B84C8B">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p>
        </w:tc>
        <w:tc>
          <w:tcPr>
            <w:tcW w:w="1259" w:type="dxa"/>
            <w:noWrap/>
            <w:tcMar>
              <w:left w:w="0" w:type="dxa"/>
              <w:right w:w="397" w:type="dxa"/>
            </w:tcMar>
            <w:vAlign w:val="center"/>
          </w:tcPr>
          <w:p w14:paraId="0FB2FC60" w14:textId="37EFD0CD" w:rsidR="00B84C8B" w:rsidRPr="00701514" w:rsidRDefault="00B84C8B" w:rsidP="00B84C8B">
            <w:pPr>
              <w:ind w:firstLineChars="200" w:firstLine="36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701514">
              <w:rPr>
                <w:rFonts w:ascii="Verdana" w:hAnsi="Verdana" w:cs="Calibri"/>
                <w:color w:val="365F91"/>
                <w:sz w:val="18"/>
                <w:szCs w:val="18"/>
                <w:lang w:val="el-GR"/>
              </w:rPr>
              <w:t>1,2</w:t>
            </w:r>
          </w:p>
        </w:tc>
        <w:tc>
          <w:tcPr>
            <w:tcW w:w="1190" w:type="dxa"/>
            <w:noWrap/>
            <w:tcMar>
              <w:left w:w="0" w:type="dxa"/>
              <w:right w:w="397" w:type="dxa"/>
            </w:tcMar>
            <w:vAlign w:val="center"/>
          </w:tcPr>
          <w:p w14:paraId="6088A9C4" w14:textId="1950AA4A" w:rsidR="00B84C8B" w:rsidRPr="00701514" w:rsidRDefault="00B84C8B" w:rsidP="00B84C8B">
            <w:pPr>
              <w:ind w:firstLineChars="200" w:firstLine="36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701514">
              <w:rPr>
                <w:rFonts w:ascii="Verdana" w:hAnsi="Verdana" w:cs="Calibri"/>
                <w:color w:val="365F91"/>
                <w:sz w:val="18"/>
                <w:szCs w:val="18"/>
                <w:lang w:val="el-GR"/>
              </w:rPr>
              <w:t>0,0</w:t>
            </w:r>
          </w:p>
        </w:tc>
        <w:tc>
          <w:tcPr>
            <w:tcW w:w="1465" w:type="dxa"/>
            <w:gridSpan w:val="2"/>
            <w:noWrap/>
            <w:tcMar>
              <w:left w:w="0" w:type="dxa"/>
              <w:right w:w="397" w:type="dxa"/>
            </w:tcMar>
            <w:vAlign w:val="center"/>
          </w:tcPr>
          <w:p w14:paraId="75E5BB90" w14:textId="402AA4BB" w:rsidR="00B84C8B" w:rsidRPr="00701514" w:rsidRDefault="00B84C8B" w:rsidP="00B84C8B">
            <w:pPr>
              <w:ind w:right="113" w:firstLineChars="300" w:firstLine="54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701514">
              <w:rPr>
                <w:rFonts w:ascii="Verdana" w:hAnsi="Verdana" w:cs="Calibri"/>
                <w:color w:val="365F91"/>
                <w:sz w:val="18"/>
                <w:szCs w:val="18"/>
                <w:lang w:val="el-GR"/>
              </w:rPr>
              <w:t>1,2</w:t>
            </w:r>
          </w:p>
        </w:tc>
      </w:tr>
      <w:tr w:rsidR="00B84C8B" w:rsidRPr="00701514" w14:paraId="0B14BB5D" w14:textId="77777777" w:rsidTr="00D25AB6">
        <w:trPr>
          <w:trHeight w:val="397"/>
          <w:jc w:val="center"/>
        </w:trPr>
        <w:tc>
          <w:tcPr>
            <w:cnfStyle w:val="001000000000" w:firstRow="0" w:lastRow="0" w:firstColumn="1" w:lastColumn="0" w:oddVBand="0" w:evenVBand="0" w:oddHBand="0" w:evenHBand="0" w:firstRowFirstColumn="0" w:firstRowLastColumn="0" w:lastRowFirstColumn="0" w:lastRowLastColumn="0"/>
            <w:tcW w:w="3076" w:type="dxa"/>
            <w:vAlign w:val="center"/>
          </w:tcPr>
          <w:p w14:paraId="465FBB6F" w14:textId="77777777" w:rsidR="00B84C8B" w:rsidRPr="00701514" w:rsidRDefault="00B84C8B" w:rsidP="00B84C8B">
            <w:pPr>
              <w:rPr>
                <w:rFonts w:ascii="Verdana" w:eastAsia="Times New Roman" w:hAnsi="Verdana" w:cs="Arial"/>
                <w:b w:val="0"/>
                <w:bCs w:val="0"/>
                <w:color w:val="365F91"/>
                <w:sz w:val="18"/>
                <w:szCs w:val="18"/>
                <w:lang w:val="el-GR"/>
              </w:rPr>
            </w:pPr>
            <w:r w:rsidRPr="00701514">
              <w:rPr>
                <w:rFonts w:ascii="Verdana" w:eastAsia="Times New Roman" w:hAnsi="Verdana" w:cs="Arial"/>
                <w:b w:val="0"/>
                <w:bCs w:val="0"/>
                <w:color w:val="365F91"/>
                <w:sz w:val="18"/>
                <w:szCs w:val="18"/>
                <w:lang w:val="el-GR"/>
              </w:rPr>
              <w:t>Transport</w:t>
            </w:r>
          </w:p>
        </w:tc>
        <w:tc>
          <w:tcPr>
            <w:tcW w:w="1319" w:type="dxa"/>
            <w:noWrap/>
            <w:tcMar>
              <w:left w:w="0" w:type="dxa"/>
              <w:right w:w="198" w:type="dxa"/>
            </w:tcMar>
            <w:vAlign w:val="center"/>
          </w:tcPr>
          <w:p w14:paraId="61A659B4" w14:textId="41255631" w:rsidR="00B84C8B" w:rsidRPr="00701514" w:rsidRDefault="00B84C8B" w:rsidP="00B84C8B">
            <w:pPr>
              <w:ind w:right="227"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701514">
              <w:rPr>
                <w:rFonts w:ascii="Verdana" w:hAnsi="Verdana" w:cs="Calibri"/>
                <w:color w:val="365F91"/>
                <w:sz w:val="18"/>
                <w:szCs w:val="18"/>
                <w:lang w:val="el-GR"/>
              </w:rPr>
              <w:t>113,31</w:t>
            </w:r>
          </w:p>
        </w:tc>
        <w:tc>
          <w:tcPr>
            <w:tcW w:w="1370" w:type="dxa"/>
            <w:noWrap/>
            <w:tcMar>
              <w:left w:w="0" w:type="dxa"/>
              <w:right w:w="198" w:type="dxa"/>
            </w:tcMar>
            <w:vAlign w:val="center"/>
          </w:tcPr>
          <w:p w14:paraId="45CC3A10" w14:textId="4F3F92E4" w:rsidR="00B84C8B" w:rsidRPr="00701514" w:rsidRDefault="00B84C8B" w:rsidP="00B84C8B">
            <w:pPr>
              <w:ind w:right="227"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701514">
              <w:rPr>
                <w:rFonts w:ascii="Verdana" w:hAnsi="Verdana" w:cs="Calibri"/>
                <w:color w:val="365F91"/>
                <w:sz w:val="18"/>
                <w:szCs w:val="18"/>
                <w:lang w:val="el-GR"/>
              </w:rPr>
              <w:t>115,60</w:t>
            </w:r>
          </w:p>
        </w:tc>
        <w:tc>
          <w:tcPr>
            <w:tcW w:w="291" w:type="dxa"/>
            <w:noWrap/>
            <w:tcMar>
              <w:left w:w="0" w:type="dxa"/>
              <w:right w:w="28" w:type="dxa"/>
            </w:tcMar>
            <w:vAlign w:val="center"/>
          </w:tcPr>
          <w:p w14:paraId="46DC5253" w14:textId="77777777" w:rsidR="00B84C8B" w:rsidRPr="00701514" w:rsidRDefault="00B84C8B" w:rsidP="00B84C8B">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p>
        </w:tc>
        <w:tc>
          <w:tcPr>
            <w:tcW w:w="1259" w:type="dxa"/>
            <w:noWrap/>
            <w:tcMar>
              <w:left w:w="0" w:type="dxa"/>
              <w:right w:w="397" w:type="dxa"/>
            </w:tcMar>
            <w:vAlign w:val="center"/>
          </w:tcPr>
          <w:p w14:paraId="0D4F242E" w14:textId="0C330009" w:rsidR="00B84C8B" w:rsidRPr="00701514" w:rsidRDefault="00B84C8B" w:rsidP="00B84C8B">
            <w:pPr>
              <w:ind w:firstLineChars="200" w:firstLine="36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701514">
              <w:rPr>
                <w:rFonts w:ascii="Verdana" w:hAnsi="Verdana" w:cs="Calibri"/>
                <w:color w:val="365F91"/>
                <w:sz w:val="18"/>
                <w:szCs w:val="18"/>
                <w:lang w:val="el-GR"/>
              </w:rPr>
              <w:t>5,6</w:t>
            </w:r>
          </w:p>
        </w:tc>
        <w:tc>
          <w:tcPr>
            <w:tcW w:w="1190" w:type="dxa"/>
            <w:noWrap/>
            <w:tcMar>
              <w:left w:w="0" w:type="dxa"/>
              <w:right w:w="397" w:type="dxa"/>
            </w:tcMar>
            <w:vAlign w:val="center"/>
          </w:tcPr>
          <w:p w14:paraId="302BAD03" w14:textId="4335E91B" w:rsidR="00B84C8B" w:rsidRPr="00701514" w:rsidRDefault="00B84C8B" w:rsidP="00B84C8B">
            <w:pPr>
              <w:ind w:firstLineChars="200" w:firstLine="36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701514">
              <w:rPr>
                <w:rFonts w:ascii="Verdana" w:hAnsi="Verdana" w:cs="Calibri"/>
                <w:color w:val="365F91"/>
                <w:sz w:val="18"/>
                <w:szCs w:val="18"/>
                <w:lang w:val="el-GR"/>
              </w:rPr>
              <w:t>2,0</w:t>
            </w:r>
          </w:p>
        </w:tc>
        <w:tc>
          <w:tcPr>
            <w:tcW w:w="1465" w:type="dxa"/>
            <w:gridSpan w:val="2"/>
            <w:noWrap/>
            <w:tcMar>
              <w:left w:w="0" w:type="dxa"/>
              <w:right w:w="397" w:type="dxa"/>
            </w:tcMar>
            <w:vAlign w:val="center"/>
          </w:tcPr>
          <w:p w14:paraId="16991DB1" w14:textId="5C57CBB3" w:rsidR="00B84C8B" w:rsidRPr="00701514" w:rsidRDefault="00B84C8B" w:rsidP="00B84C8B">
            <w:pPr>
              <w:ind w:right="113" w:firstLineChars="300" w:firstLine="54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701514">
              <w:rPr>
                <w:rFonts w:ascii="Verdana" w:hAnsi="Verdana" w:cs="Calibri"/>
                <w:color w:val="365F91"/>
                <w:sz w:val="18"/>
                <w:szCs w:val="18"/>
                <w:lang w:val="el-GR"/>
              </w:rPr>
              <w:t>0,9</w:t>
            </w:r>
          </w:p>
        </w:tc>
      </w:tr>
      <w:tr w:rsidR="00B84C8B" w:rsidRPr="00701514" w14:paraId="555424F6" w14:textId="77777777" w:rsidTr="00D25AB6">
        <w:trPr>
          <w:trHeight w:val="397"/>
          <w:jc w:val="center"/>
        </w:trPr>
        <w:tc>
          <w:tcPr>
            <w:cnfStyle w:val="001000000000" w:firstRow="0" w:lastRow="0" w:firstColumn="1" w:lastColumn="0" w:oddVBand="0" w:evenVBand="0" w:oddHBand="0" w:evenHBand="0" w:firstRowFirstColumn="0" w:firstRowLastColumn="0" w:lastRowFirstColumn="0" w:lastRowLastColumn="0"/>
            <w:tcW w:w="3076" w:type="dxa"/>
            <w:vAlign w:val="center"/>
          </w:tcPr>
          <w:p w14:paraId="35648AC5" w14:textId="77777777" w:rsidR="00B84C8B" w:rsidRPr="00701514" w:rsidRDefault="00B84C8B" w:rsidP="00B84C8B">
            <w:pPr>
              <w:rPr>
                <w:rFonts w:ascii="Verdana" w:eastAsia="Times New Roman" w:hAnsi="Verdana" w:cs="Arial"/>
                <w:b w:val="0"/>
                <w:bCs w:val="0"/>
                <w:color w:val="365F91"/>
                <w:sz w:val="18"/>
                <w:szCs w:val="18"/>
                <w:lang w:val="el-GR"/>
              </w:rPr>
            </w:pPr>
            <w:r w:rsidRPr="00701514">
              <w:rPr>
                <w:rFonts w:ascii="Verdana" w:eastAsia="Times New Roman" w:hAnsi="Verdana" w:cs="Arial"/>
                <w:b w:val="0"/>
                <w:bCs w:val="0"/>
                <w:color w:val="365F91"/>
                <w:sz w:val="18"/>
                <w:szCs w:val="18"/>
                <w:lang w:val="el-GR"/>
              </w:rPr>
              <w:t>Communication</w:t>
            </w:r>
          </w:p>
        </w:tc>
        <w:tc>
          <w:tcPr>
            <w:tcW w:w="1319" w:type="dxa"/>
            <w:noWrap/>
            <w:tcMar>
              <w:left w:w="0" w:type="dxa"/>
              <w:right w:w="198" w:type="dxa"/>
            </w:tcMar>
            <w:vAlign w:val="center"/>
          </w:tcPr>
          <w:p w14:paraId="6D2C72F1" w14:textId="2393ADD2" w:rsidR="00B84C8B" w:rsidRPr="00701514" w:rsidRDefault="00B84C8B" w:rsidP="00B84C8B">
            <w:pPr>
              <w:ind w:right="227"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701514">
              <w:rPr>
                <w:rFonts w:ascii="Verdana" w:hAnsi="Verdana" w:cs="Calibri"/>
                <w:color w:val="365F91"/>
                <w:sz w:val="18"/>
                <w:szCs w:val="18"/>
                <w:lang w:val="el-GR"/>
              </w:rPr>
              <w:t>90,70</w:t>
            </w:r>
          </w:p>
        </w:tc>
        <w:tc>
          <w:tcPr>
            <w:tcW w:w="1370" w:type="dxa"/>
            <w:noWrap/>
            <w:tcMar>
              <w:left w:w="0" w:type="dxa"/>
              <w:right w:w="198" w:type="dxa"/>
            </w:tcMar>
            <w:vAlign w:val="center"/>
          </w:tcPr>
          <w:p w14:paraId="5D427D69" w14:textId="159EF2B3" w:rsidR="00B84C8B" w:rsidRPr="00701514" w:rsidRDefault="00B84C8B" w:rsidP="00B84C8B">
            <w:pPr>
              <w:ind w:right="227"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701514">
              <w:rPr>
                <w:rFonts w:ascii="Verdana" w:hAnsi="Verdana" w:cs="Calibri"/>
                <w:color w:val="365F91"/>
                <w:sz w:val="18"/>
                <w:szCs w:val="18"/>
                <w:lang w:val="el-GR"/>
              </w:rPr>
              <w:t>90,85</w:t>
            </w:r>
          </w:p>
        </w:tc>
        <w:tc>
          <w:tcPr>
            <w:tcW w:w="291" w:type="dxa"/>
            <w:noWrap/>
            <w:tcMar>
              <w:left w:w="0" w:type="dxa"/>
              <w:right w:w="28" w:type="dxa"/>
            </w:tcMar>
            <w:vAlign w:val="center"/>
          </w:tcPr>
          <w:p w14:paraId="5AD21AB5" w14:textId="77777777" w:rsidR="00B84C8B" w:rsidRPr="00701514" w:rsidRDefault="00B84C8B" w:rsidP="00B84C8B">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p>
        </w:tc>
        <w:tc>
          <w:tcPr>
            <w:tcW w:w="1259" w:type="dxa"/>
            <w:noWrap/>
            <w:tcMar>
              <w:left w:w="0" w:type="dxa"/>
              <w:right w:w="397" w:type="dxa"/>
            </w:tcMar>
            <w:vAlign w:val="center"/>
          </w:tcPr>
          <w:p w14:paraId="49576B5E" w14:textId="38A1C1D8" w:rsidR="00B84C8B" w:rsidRPr="00701514" w:rsidRDefault="00B84C8B" w:rsidP="00B84C8B">
            <w:pPr>
              <w:ind w:firstLineChars="200" w:firstLine="36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701514">
              <w:rPr>
                <w:rFonts w:ascii="Verdana" w:hAnsi="Verdana" w:cs="Calibri"/>
                <w:color w:val="365F91"/>
                <w:sz w:val="18"/>
                <w:szCs w:val="18"/>
                <w:lang w:val="el-GR"/>
              </w:rPr>
              <w:t>-0,1</w:t>
            </w:r>
          </w:p>
        </w:tc>
        <w:tc>
          <w:tcPr>
            <w:tcW w:w="1190" w:type="dxa"/>
            <w:noWrap/>
            <w:tcMar>
              <w:left w:w="0" w:type="dxa"/>
              <w:right w:w="397" w:type="dxa"/>
            </w:tcMar>
            <w:vAlign w:val="center"/>
          </w:tcPr>
          <w:p w14:paraId="39BED847" w14:textId="112E5691" w:rsidR="00B84C8B" w:rsidRPr="00701514" w:rsidRDefault="00B84C8B" w:rsidP="00B84C8B">
            <w:pPr>
              <w:ind w:firstLineChars="200" w:firstLine="36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701514">
              <w:rPr>
                <w:rFonts w:ascii="Verdana" w:hAnsi="Verdana" w:cs="Calibri"/>
                <w:color w:val="365F91"/>
                <w:sz w:val="18"/>
                <w:szCs w:val="18"/>
                <w:lang w:val="el-GR"/>
              </w:rPr>
              <w:t>0,2</w:t>
            </w:r>
          </w:p>
        </w:tc>
        <w:tc>
          <w:tcPr>
            <w:tcW w:w="1465" w:type="dxa"/>
            <w:gridSpan w:val="2"/>
            <w:noWrap/>
            <w:tcMar>
              <w:left w:w="0" w:type="dxa"/>
              <w:right w:w="397" w:type="dxa"/>
            </w:tcMar>
            <w:vAlign w:val="center"/>
          </w:tcPr>
          <w:p w14:paraId="697C018B" w14:textId="6F77A975" w:rsidR="00B84C8B" w:rsidRPr="00701514" w:rsidRDefault="00B84C8B" w:rsidP="00B84C8B">
            <w:pPr>
              <w:ind w:right="113" w:firstLineChars="300" w:firstLine="54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701514">
              <w:rPr>
                <w:rFonts w:ascii="Verdana" w:hAnsi="Verdana" w:cs="Calibri"/>
                <w:color w:val="365F91"/>
                <w:sz w:val="18"/>
                <w:szCs w:val="18"/>
                <w:lang w:val="el-GR"/>
              </w:rPr>
              <w:t>0,0</w:t>
            </w:r>
          </w:p>
        </w:tc>
      </w:tr>
      <w:tr w:rsidR="00B84C8B" w:rsidRPr="00701514" w14:paraId="6BC3C491" w14:textId="77777777" w:rsidTr="00D25AB6">
        <w:trPr>
          <w:trHeight w:val="397"/>
          <w:jc w:val="center"/>
        </w:trPr>
        <w:tc>
          <w:tcPr>
            <w:cnfStyle w:val="001000000000" w:firstRow="0" w:lastRow="0" w:firstColumn="1" w:lastColumn="0" w:oddVBand="0" w:evenVBand="0" w:oddHBand="0" w:evenHBand="0" w:firstRowFirstColumn="0" w:firstRowLastColumn="0" w:lastRowFirstColumn="0" w:lastRowLastColumn="0"/>
            <w:tcW w:w="3076" w:type="dxa"/>
            <w:vAlign w:val="center"/>
          </w:tcPr>
          <w:p w14:paraId="181AC7B0" w14:textId="77777777" w:rsidR="00B84C8B" w:rsidRPr="00701514" w:rsidRDefault="00B84C8B" w:rsidP="00B84C8B">
            <w:pPr>
              <w:rPr>
                <w:rFonts w:ascii="Verdana" w:eastAsia="Times New Roman" w:hAnsi="Verdana" w:cs="Arial"/>
                <w:b w:val="0"/>
                <w:bCs w:val="0"/>
                <w:color w:val="365F91"/>
                <w:sz w:val="18"/>
                <w:szCs w:val="18"/>
                <w:lang w:val="el-GR"/>
              </w:rPr>
            </w:pPr>
            <w:proofErr w:type="spellStart"/>
            <w:r w:rsidRPr="00701514">
              <w:rPr>
                <w:rFonts w:ascii="Verdana" w:eastAsia="Times New Roman" w:hAnsi="Verdana" w:cs="Arial"/>
                <w:b w:val="0"/>
                <w:bCs w:val="0"/>
                <w:color w:val="365F91"/>
                <w:sz w:val="18"/>
                <w:szCs w:val="18"/>
                <w:lang w:val="el-GR"/>
              </w:rPr>
              <w:t>Recreation</w:t>
            </w:r>
            <w:proofErr w:type="spellEnd"/>
            <w:r w:rsidRPr="00701514">
              <w:rPr>
                <w:rFonts w:ascii="Verdana" w:eastAsia="Times New Roman" w:hAnsi="Verdana" w:cs="Arial"/>
                <w:b w:val="0"/>
                <w:bCs w:val="0"/>
                <w:color w:val="365F91"/>
                <w:sz w:val="18"/>
                <w:szCs w:val="18"/>
                <w:lang w:val="el-GR"/>
              </w:rPr>
              <w:t xml:space="preserve"> and </w:t>
            </w:r>
            <w:r w:rsidRPr="00701514">
              <w:rPr>
                <w:rFonts w:ascii="Verdana" w:eastAsia="Times New Roman" w:hAnsi="Verdana" w:cs="Arial"/>
                <w:b w:val="0"/>
                <w:bCs w:val="0"/>
                <w:color w:val="365F91"/>
                <w:sz w:val="18"/>
                <w:szCs w:val="18"/>
              </w:rPr>
              <w:t>C</w:t>
            </w:r>
            <w:proofErr w:type="spellStart"/>
            <w:r w:rsidRPr="00701514">
              <w:rPr>
                <w:rFonts w:ascii="Verdana" w:eastAsia="Times New Roman" w:hAnsi="Verdana" w:cs="Arial"/>
                <w:b w:val="0"/>
                <w:bCs w:val="0"/>
                <w:color w:val="365F91"/>
                <w:sz w:val="18"/>
                <w:szCs w:val="18"/>
                <w:lang w:val="el-GR"/>
              </w:rPr>
              <w:t>ulture</w:t>
            </w:r>
            <w:proofErr w:type="spellEnd"/>
          </w:p>
        </w:tc>
        <w:tc>
          <w:tcPr>
            <w:tcW w:w="1319" w:type="dxa"/>
            <w:noWrap/>
            <w:tcMar>
              <w:left w:w="0" w:type="dxa"/>
              <w:right w:w="198" w:type="dxa"/>
            </w:tcMar>
            <w:vAlign w:val="center"/>
          </w:tcPr>
          <w:p w14:paraId="566B6801" w14:textId="71224AC2" w:rsidR="00B84C8B" w:rsidRPr="00701514" w:rsidRDefault="00B84C8B" w:rsidP="00B84C8B">
            <w:pPr>
              <w:ind w:right="227"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701514">
              <w:rPr>
                <w:rFonts w:ascii="Verdana" w:hAnsi="Verdana" w:cs="Calibri"/>
                <w:color w:val="365F91"/>
                <w:sz w:val="18"/>
                <w:szCs w:val="18"/>
                <w:lang w:val="el-GR"/>
              </w:rPr>
              <w:t>114,66</w:t>
            </w:r>
          </w:p>
        </w:tc>
        <w:tc>
          <w:tcPr>
            <w:tcW w:w="1370" w:type="dxa"/>
            <w:noWrap/>
            <w:tcMar>
              <w:left w:w="0" w:type="dxa"/>
              <w:right w:w="198" w:type="dxa"/>
            </w:tcMar>
            <w:vAlign w:val="center"/>
          </w:tcPr>
          <w:p w14:paraId="7181C9A0" w14:textId="0F2011A0" w:rsidR="00B84C8B" w:rsidRPr="00701514" w:rsidRDefault="00B84C8B" w:rsidP="00B84C8B">
            <w:pPr>
              <w:ind w:right="227"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701514">
              <w:rPr>
                <w:rFonts w:ascii="Verdana" w:hAnsi="Verdana" w:cs="Calibri"/>
                <w:color w:val="365F91"/>
                <w:sz w:val="18"/>
                <w:szCs w:val="18"/>
                <w:lang w:val="el-GR"/>
              </w:rPr>
              <w:t>114,65</w:t>
            </w:r>
          </w:p>
        </w:tc>
        <w:tc>
          <w:tcPr>
            <w:tcW w:w="291" w:type="dxa"/>
            <w:noWrap/>
            <w:tcMar>
              <w:left w:w="0" w:type="dxa"/>
              <w:right w:w="28" w:type="dxa"/>
            </w:tcMar>
            <w:vAlign w:val="center"/>
          </w:tcPr>
          <w:p w14:paraId="1B20E21C" w14:textId="77777777" w:rsidR="00B84C8B" w:rsidRPr="00701514" w:rsidRDefault="00B84C8B" w:rsidP="00B84C8B">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p>
        </w:tc>
        <w:tc>
          <w:tcPr>
            <w:tcW w:w="1259" w:type="dxa"/>
            <w:noWrap/>
            <w:tcMar>
              <w:left w:w="0" w:type="dxa"/>
              <w:right w:w="397" w:type="dxa"/>
            </w:tcMar>
            <w:vAlign w:val="center"/>
          </w:tcPr>
          <w:p w14:paraId="578EFDB3" w14:textId="23DF4321" w:rsidR="00B84C8B" w:rsidRPr="00701514" w:rsidRDefault="00B84C8B" w:rsidP="00B84C8B">
            <w:pPr>
              <w:ind w:firstLineChars="200" w:firstLine="36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701514">
              <w:rPr>
                <w:rFonts w:ascii="Verdana" w:hAnsi="Verdana" w:cs="Calibri"/>
                <w:color w:val="365F91"/>
                <w:sz w:val="18"/>
                <w:szCs w:val="18"/>
                <w:lang w:val="el-GR"/>
              </w:rPr>
              <w:t>2,5</w:t>
            </w:r>
          </w:p>
        </w:tc>
        <w:tc>
          <w:tcPr>
            <w:tcW w:w="1190" w:type="dxa"/>
            <w:noWrap/>
            <w:tcMar>
              <w:left w:w="0" w:type="dxa"/>
              <w:right w:w="397" w:type="dxa"/>
            </w:tcMar>
            <w:vAlign w:val="center"/>
          </w:tcPr>
          <w:p w14:paraId="23A79857" w14:textId="0DEFEE91" w:rsidR="00B84C8B" w:rsidRPr="00701514" w:rsidRDefault="00B84C8B" w:rsidP="00B84C8B">
            <w:pPr>
              <w:ind w:firstLineChars="200" w:firstLine="36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701514">
              <w:rPr>
                <w:rFonts w:ascii="Verdana" w:hAnsi="Verdana" w:cs="Calibri"/>
                <w:color w:val="365F91"/>
                <w:sz w:val="18"/>
                <w:szCs w:val="18"/>
                <w:lang w:val="el-GR"/>
              </w:rPr>
              <w:t>0,0</w:t>
            </w:r>
          </w:p>
        </w:tc>
        <w:tc>
          <w:tcPr>
            <w:tcW w:w="1465" w:type="dxa"/>
            <w:gridSpan w:val="2"/>
            <w:noWrap/>
            <w:tcMar>
              <w:left w:w="0" w:type="dxa"/>
              <w:right w:w="397" w:type="dxa"/>
            </w:tcMar>
            <w:vAlign w:val="center"/>
          </w:tcPr>
          <w:p w14:paraId="6F8C130D" w14:textId="37DE2AE7" w:rsidR="00B84C8B" w:rsidRPr="00701514" w:rsidRDefault="00B84C8B" w:rsidP="00B84C8B">
            <w:pPr>
              <w:ind w:right="113" w:firstLineChars="300" w:firstLine="54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701514">
              <w:rPr>
                <w:rFonts w:ascii="Verdana" w:hAnsi="Verdana" w:cs="Calibri"/>
                <w:color w:val="365F91"/>
                <w:sz w:val="18"/>
                <w:szCs w:val="18"/>
                <w:lang w:val="el-GR"/>
              </w:rPr>
              <w:t>2,6</w:t>
            </w:r>
          </w:p>
        </w:tc>
      </w:tr>
      <w:tr w:rsidR="00B84C8B" w:rsidRPr="00701514" w14:paraId="6985BED5" w14:textId="77777777" w:rsidTr="00D25AB6">
        <w:trPr>
          <w:trHeight w:val="397"/>
          <w:jc w:val="center"/>
        </w:trPr>
        <w:tc>
          <w:tcPr>
            <w:cnfStyle w:val="001000000000" w:firstRow="0" w:lastRow="0" w:firstColumn="1" w:lastColumn="0" w:oddVBand="0" w:evenVBand="0" w:oddHBand="0" w:evenHBand="0" w:firstRowFirstColumn="0" w:firstRowLastColumn="0" w:lastRowFirstColumn="0" w:lastRowLastColumn="0"/>
            <w:tcW w:w="3076" w:type="dxa"/>
            <w:vAlign w:val="center"/>
          </w:tcPr>
          <w:p w14:paraId="5058EFC7" w14:textId="77777777" w:rsidR="00B84C8B" w:rsidRPr="00701514" w:rsidRDefault="00B84C8B" w:rsidP="00B84C8B">
            <w:pPr>
              <w:rPr>
                <w:rFonts w:ascii="Verdana" w:eastAsia="Times New Roman" w:hAnsi="Verdana" w:cs="Arial"/>
                <w:b w:val="0"/>
                <w:bCs w:val="0"/>
                <w:color w:val="365F91"/>
                <w:sz w:val="18"/>
                <w:szCs w:val="18"/>
                <w:lang w:val="el-GR"/>
              </w:rPr>
            </w:pPr>
            <w:proofErr w:type="spellStart"/>
            <w:r w:rsidRPr="00701514">
              <w:rPr>
                <w:rFonts w:ascii="Verdana" w:eastAsia="Times New Roman" w:hAnsi="Verdana" w:cs="Arial"/>
                <w:b w:val="0"/>
                <w:bCs w:val="0"/>
                <w:color w:val="365F91"/>
                <w:sz w:val="18"/>
                <w:szCs w:val="18"/>
                <w:lang w:val="el-GR"/>
              </w:rPr>
              <w:t>Education</w:t>
            </w:r>
            <w:proofErr w:type="spellEnd"/>
          </w:p>
        </w:tc>
        <w:tc>
          <w:tcPr>
            <w:tcW w:w="1319" w:type="dxa"/>
            <w:noWrap/>
            <w:tcMar>
              <w:left w:w="0" w:type="dxa"/>
              <w:right w:w="198" w:type="dxa"/>
            </w:tcMar>
            <w:vAlign w:val="center"/>
          </w:tcPr>
          <w:p w14:paraId="7EF37DEE" w14:textId="3E9483E2" w:rsidR="00B84C8B" w:rsidRPr="00701514" w:rsidRDefault="00B84C8B" w:rsidP="00B84C8B">
            <w:pPr>
              <w:ind w:right="227"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701514">
              <w:rPr>
                <w:rFonts w:ascii="Verdana" w:hAnsi="Verdana" w:cs="Calibri"/>
                <w:color w:val="365F91"/>
                <w:sz w:val="18"/>
                <w:szCs w:val="18"/>
                <w:lang w:val="el-GR"/>
              </w:rPr>
              <w:t>110,54</w:t>
            </w:r>
          </w:p>
        </w:tc>
        <w:tc>
          <w:tcPr>
            <w:tcW w:w="1370" w:type="dxa"/>
            <w:noWrap/>
            <w:tcMar>
              <w:left w:w="0" w:type="dxa"/>
              <w:right w:w="198" w:type="dxa"/>
            </w:tcMar>
            <w:vAlign w:val="center"/>
          </w:tcPr>
          <w:p w14:paraId="5E330F17" w14:textId="6E186B8F" w:rsidR="00B84C8B" w:rsidRPr="00701514" w:rsidRDefault="00B84C8B" w:rsidP="00B84C8B">
            <w:pPr>
              <w:ind w:right="227"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701514">
              <w:rPr>
                <w:rFonts w:ascii="Verdana" w:hAnsi="Verdana" w:cs="Calibri"/>
                <w:color w:val="365F91"/>
                <w:sz w:val="18"/>
                <w:szCs w:val="18"/>
                <w:lang w:val="el-GR"/>
              </w:rPr>
              <w:t>110,54</w:t>
            </w:r>
          </w:p>
        </w:tc>
        <w:tc>
          <w:tcPr>
            <w:tcW w:w="291" w:type="dxa"/>
            <w:noWrap/>
            <w:tcMar>
              <w:left w:w="0" w:type="dxa"/>
              <w:right w:w="28" w:type="dxa"/>
            </w:tcMar>
            <w:vAlign w:val="center"/>
          </w:tcPr>
          <w:p w14:paraId="67D6DA77" w14:textId="77777777" w:rsidR="00B84C8B" w:rsidRPr="00701514" w:rsidRDefault="00B84C8B" w:rsidP="00B84C8B">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p>
        </w:tc>
        <w:tc>
          <w:tcPr>
            <w:tcW w:w="1259" w:type="dxa"/>
            <w:noWrap/>
            <w:tcMar>
              <w:left w:w="0" w:type="dxa"/>
              <w:right w:w="397" w:type="dxa"/>
            </w:tcMar>
            <w:vAlign w:val="center"/>
          </w:tcPr>
          <w:p w14:paraId="388803C3" w14:textId="5BC6B45F" w:rsidR="00B84C8B" w:rsidRPr="00701514" w:rsidRDefault="00B84C8B" w:rsidP="00B84C8B">
            <w:pPr>
              <w:ind w:firstLineChars="200" w:firstLine="36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701514">
              <w:rPr>
                <w:rFonts w:ascii="Verdana" w:hAnsi="Verdana" w:cs="Calibri"/>
                <w:color w:val="365F91"/>
                <w:sz w:val="18"/>
                <w:szCs w:val="18"/>
                <w:lang w:val="el-GR"/>
              </w:rPr>
              <w:t>2,3</w:t>
            </w:r>
          </w:p>
        </w:tc>
        <w:tc>
          <w:tcPr>
            <w:tcW w:w="1190" w:type="dxa"/>
            <w:noWrap/>
            <w:tcMar>
              <w:left w:w="0" w:type="dxa"/>
              <w:right w:w="397" w:type="dxa"/>
            </w:tcMar>
            <w:vAlign w:val="center"/>
          </w:tcPr>
          <w:p w14:paraId="55052555" w14:textId="07DD37B5" w:rsidR="00B84C8B" w:rsidRPr="00701514" w:rsidRDefault="00B84C8B" w:rsidP="00B84C8B">
            <w:pPr>
              <w:ind w:firstLineChars="200" w:firstLine="36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701514">
              <w:rPr>
                <w:rFonts w:ascii="Verdana" w:hAnsi="Verdana" w:cs="Calibri"/>
                <w:color w:val="365F91"/>
                <w:sz w:val="18"/>
                <w:szCs w:val="18"/>
                <w:lang w:val="el-GR"/>
              </w:rPr>
              <w:t>0,0</w:t>
            </w:r>
          </w:p>
        </w:tc>
        <w:tc>
          <w:tcPr>
            <w:tcW w:w="1465" w:type="dxa"/>
            <w:gridSpan w:val="2"/>
            <w:noWrap/>
            <w:tcMar>
              <w:left w:w="0" w:type="dxa"/>
              <w:right w:w="397" w:type="dxa"/>
            </w:tcMar>
            <w:vAlign w:val="center"/>
          </w:tcPr>
          <w:p w14:paraId="41761162" w14:textId="67F9CCD0" w:rsidR="00B84C8B" w:rsidRPr="00701514" w:rsidRDefault="00B84C8B" w:rsidP="00B84C8B">
            <w:pPr>
              <w:ind w:right="113" w:firstLineChars="300" w:firstLine="54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701514">
              <w:rPr>
                <w:rFonts w:ascii="Verdana" w:hAnsi="Verdana" w:cs="Calibri"/>
                <w:color w:val="365F91"/>
                <w:sz w:val="18"/>
                <w:szCs w:val="18"/>
                <w:lang w:val="el-GR"/>
              </w:rPr>
              <w:t>2,3</w:t>
            </w:r>
          </w:p>
        </w:tc>
      </w:tr>
      <w:tr w:rsidR="00B84C8B" w:rsidRPr="00701514" w14:paraId="654BB30C" w14:textId="77777777" w:rsidTr="00D25AB6">
        <w:trPr>
          <w:trHeight w:val="397"/>
          <w:jc w:val="center"/>
        </w:trPr>
        <w:tc>
          <w:tcPr>
            <w:cnfStyle w:val="001000000000" w:firstRow="0" w:lastRow="0" w:firstColumn="1" w:lastColumn="0" w:oddVBand="0" w:evenVBand="0" w:oddHBand="0" w:evenHBand="0" w:firstRowFirstColumn="0" w:firstRowLastColumn="0" w:lastRowFirstColumn="0" w:lastRowLastColumn="0"/>
            <w:tcW w:w="3076" w:type="dxa"/>
            <w:vAlign w:val="center"/>
          </w:tcPr>
          <w:p w14:paraId="4AF6D03D" w14:textId="77777777" w:rsidR="00B84C8B" w:rsidRPr="00701514" w:rsidRDefault="00B84C8B" w:rsidP="00B84C8B">
            <w:pPr>
              <w:rPr>
                <w:rFonts w:ascii="Verdana" w:eastAsia="Times New Roman" w:hAnsi="Verdana" w:cs="Arial"/>
                <w:b w:val="0"/>
                <w:bCs w:val="0"/>
                <w:color w:val="365F91"/>
                <w:sz w:val="18"/>
                <w:szCs w:val="18"/>
                <w:lang w:val="el-GR"/>
              </w:rPr>
            </w:pPr>
            <w:proofErr w:type="spellStart"/>
            <w:r w:rsidRPr="00701514">
              <w:rPr>
                <w:rFonts w:ascii="Verdana" w:eastAsia="Times New Roman" w:hAnsi="Verdana" w:cs="Arial"/>
                <w:b w:val="0"/>
                <w:bCs w:val="0"/>
                <w:color w:val="365F91"/>
                <w:sz w:val="18"/>
                <w:szCs w:val="18"/>
                <w:lang w:val="el-GR"/>
              </w:rPr>
              <w:t>Restaurants</w:t>
            </w:r>
            <w:proofErr w:type="spellEnd"/>
            <w:r w:rsidRPr="00701514">
              <w:rPr>
                <w:rFonts w:ascii="Verdana" w:eastAsia="Times New Roman" w:hAnsi="Verdana" w:cs="Arial"/>
                <w:b w:val="0"/>
                <w:bCs w:val="0"/>
                <w:color w:val="365F91"/>
                <w:sz w:val="18"/>
                <w:szCs w:val="18"/>
                <w:lang w:val="el-GR"/>
              </w:rPr>
              <w:t xml:space="preserve"> and </w:t>
            </w:r>
            <w:r w:rsidRPr="00701514">
              <w:rPr>
                <w:rFonts w:ascii="Verdana" w:eastAsia="Times New Roman" w:hAnsi="Verdana" w:cs="Arial"/>
                <w:b w:val="0"/>
                <w:bCs w:val="0"/>
                <w:color w:val="365F91"/>
                <w:sz w:val="18"/>
                <w:szCs w:val="18"/>
              </w:rPr>
              <w:t>H</w:t>
            </w:r>
            <w:proofErr w:type="spellStart"/>
            <w:r w:rsidRPr="00701514">
              <w:rPr>
                <w:rFonts w:ascii="Verdana" w:eastAsia="Times New Roman" w:hAnsi="Verdana" w:cs="Arial"/>
                <w:b w:val="0"/>
                <w:bCs w:val="0"/>
                <w:color w:val="365F91"/>
                <w:sz w:val="18"/>
                <w:szCs w:val="18"/>
                <w:lang w:val="el-GR"/>
              </w:rPr>
              <w:t>otels</w:t>
            </w:r>
            <w:proofErr w:type="spellEnd"/>
          </w:p>
        </w:tc>
        <w:tc>
          <w:tcPr>
            <w:tcW w:w="1319" w:type="dxa"/>
            <w:noWrap/>
            <w:tcMar>
              <w:left w:w="0" w:type="dxa"/>
              <w:right w:w="198" w:type="dxa"/>
            </w:tcMar>
            <w:vAlign w:val="center"/>
          </w:tcPr>
          <w:p w14:paraId="799F8C59" w14:textId="47BD2542" w:rsidR="00B84C8B" w:rsidRPr="00701514" w:rsidRDefault="00B84C8B" w:rsidP="00B84C8B">
            <w:pPr>
              <w:ind w:right="227"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701514">
              <w:rPr>
                <w:rFonts w:ascii="Verdana" w:hAnsi="Verdana" w:cs="Calibri"/>
                <w:color w:val="365F91"/>
                <w:sz w:val="18"/>
                <w:szCs w:val="18"/>
                <w:lang w:val="el-GR"/>
              </w:rPr>
              <w:t>121,14</w:t>
            </w:r>
          </w:p>
        </w:tc>
        <w:tc>
          <w:tcPr>
            <w:tcW w:w="1370" w:type="dxa"/>
            <w:noWrap/>
            <w:tcMar>
              <w:left w:w="0" w:type="dxa"/>
              <w:right w:w="198" w:type="dxa"/>
            </w:tcMar>
            <w:vAlign w:val="center"/>
          </w:tcPr>
          <w:p w14:paraId="78D82A84" w14:textId="676C4148" w:rsidR="00B84C8B" w:rsidRPr="00701514" w:rsidRDefault="00B84C8B" w:rsidP="00B84C8B">
            <w:pPr>
              <w:ind w:right="227"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701514">
              <w:rPr>
                <w:rFonts w:ascii="Verdana" w:hAnsi="Verdana" w:cs="Calibri"/>
                <w:color w:val="365F91"/>
                <w:sz w:val="18"/>
                <w:szCs w:val="18"/>
                <w:lang w:val="el-GR"/>
              </w:rPr>
              <w:t>124,07</w:t>
            </w:r>
          </w:p>
        </w:tc>
        <w:tc>
          <w:tcPr>
            <w:tcW w:w="291" w:type="dxa"/>
            <w:noWrap/>
            <w:tcMar>
              <w:left w:w="0" w:type="dxa"/>
              <w:right w:w="28" w:type="dxa"/>
            </w:tcMar>
            <w:vAlign w:val="center"/>
          </w:tcPr>
          <w:p w14:paraId="17E3F148" w14:textId="77777777" w:rsidR="00B84C8B" w:rsidRPr="00701514" w:rsidRDefault="00B84C8B" w:rsidP="00B84C8B">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p>
        </w:tc>
        <w:tc>
          <w:tcPr>
            <w:tcW w:w="1259" w:type="dxa"/>
            <w:noWrap/>
            <w:tcMar>
              <w:left w:w="0" w:type="dxa"/>
              <w:right w:w="397" w:type="dxa"/>
            </w:tcMar>
            <w:vAlign w:val="center"/>
          </w:tcPr>
          <w:p w14:paraId="1EAC1D37" w14:textId="188653CE" w:rsidR="00B84C8B" w:rsidRPr="00701514" w:rsidRDefault="00B84C8B" w:rsidP="00B84C8B">
            <w:pPr>
              <w:ind w:firstLineChars="200" w:firstLine="36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701514">
              <w:rPr>
                <w:rFonts w:ascii="Verdana" w:hAnsi="Verdana" w:cs="Calibri"/>
                <w:color w:val="365F91"/>
                <w:sz w:val="18"/>
                <w:szCs w:val="18"/>
                <w:lang w:val="el-GR"/>
              </w:rPr>
              <w:t>6,1</w:t>
            </w:r>
          </w:p>
        </w:tc>
        <w:tc>
          <w:tcPr>
            <w:tcW w:w="1190" w:type="dxa"/>
            <w:noWrap/>
            <w:tcMar>
              <w:left w:w="0" w:type="dxa"/>
              <w:right w:w="397" w:type="dxa"/>
            </w:tcMar>
            <w:vAlign w:val="center"/>
          </w:tcPr>
          <w:p w14:paraId="4BE99A73" w14:textId="4D7EEAE7" w:rsidR="00B84C8B" w:rsidRPr="00701514" w:rsidRDefault="00B84C8B" w:rsidP="00B84C8B">
            <w:pPr>
              <w:ind w:firstLineChars="200" w:firstLine="36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701514">
              <w:rPr>
                <w:rFonts w:ascii="Verdana" w:hAnsi="Verdana" w:cs="Calibri"/>
                <w:color w:val="365F91"/>
                <w:sz w:val="18"/>
                <w:szCs w:val="18"/>
                <w:lang w:val="el-GR"/>
              </w:rPr>
              <w:t>2,4</w:t>
            </w:r>
          </w:p>
        </w:tc>
        <w:tc>
          <w:tcPr>
            <w:tcW w:w="1465" w:type="dxa"/>
            <w:gridSpan w:val="2"/>
            <w:noWrap/>
            <w:tcMar>
              <w:left w:w="0" w:type="dxa"/>
              <w:right w:w="397" w:type="dxa"/>
            </w:tcMar>
            <w:vAlign w:val="center"/>
          </w:tcPr>
          <w:p w14:paraId="5BD714F4" w14:textId="2A9640D6" w:rsidR="00B84C8B" w:rsidRPr="00701514" w:rsidRDefault="00B84C8B" w:rsidP="00B84C8B">
            <w:pPr>
              <w:ind w:right="113" w:firstLineChars="300" w:firstLine="54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701514">
              <w:rPr>
                <w:rFonts w:ascii="Verdana" w:hAnsi="Verdana" w:cs="Calibri"/>
                <w:color w:val="365F91"/>
                <w:sz w:val="18"/>
                <w:szCs w:val="18"/>
                <w:lang w:val="el-GR"/>
              </w:rPr>
              <w:t>5,8</w:t>
            </w:r>
          </w:p>
        </w:tc>
      </w:tr>
      <w:tr w:rsidR="00B84C8B" w:rsidRPr="00701514" w14:paraId="48077356" w14:textId="77777777" w:rsidTr="00D25AB6">
        <w:trPr>
          <w:trHeight w:val="567"/>
          <w:jc w:val="center"/>
        </w:trPr>
        <w:tc>
          <w:tcPr>
            <w:cnfStyle w:val="001000000000" w:firstRow="0" w:lastRow="0" w:firstColumn="1" w:lastColumn="0" w:oddVBand="0" w:evenVBand="0" w:oddHBand="0" w:evenHBand="0" w:firstRowFirstColumn="0" w:firstRowLastColumn="0" w:lastRowFirstColumn="0" w:lastRowLastColumn="0"/>
            <w:tcW w:w="3076" w:type="dxa"/>
            <w:tcBorders>
              <w:bottom w:val="single" w:sz="4" w:space="0" w:color="366092"/>
            </w:tcBorders>
            <w:vAlign w:val="center"/>
          </w:tcPr>
          <w:p w14:paraId="2420CE78" w14:textId="77777777" w:rsidR="00B84C8B" w:rsidRPr="00701514" w:rsidRDefault="00B84C8B" w:rsidP="00B84C8B">
            <w:pPr>
              <w:rPr>
                <w:rFonts w:ascii="Verdana" w:eastAsia="Times New Roman" w:hAnsi="Verdana" w:cs="Arial"/>
                <w:b w:val="0"/>
                <w:bCs w:val="0"/>
                <w:color w:val="365F91"/>
                <w:sz w:val="18"/>
                <w:szCs w:val="18"/>
                <w:lang w:val="el-GR"/>
              </w:rPr>
            </w:pPr>
            <w:proofErr w:type="spellStart"/>
            <w:r w:rsidRPr="00701514">
              <w:rPr>
                <w:rFonts w:ascii="Verdana" w:eastAsia="Times New Roman" w:hAnsi="Verdana" w:cs="Arial"/>
                <w:b w:val="0"/>
                <w:bCs w:val="0"/>
                <w:color w:val="365F91"/>
                <w:sz w:val="18"/>
                <w:szCs w:val="18"/>
                <w:lang w:val="el-GR"/>
              </w:rPr>
              <w:t>Miscellaneous</w:t>
            </w:r>
            <w:proofErr w:type="spellEnd"/>
            <w:r w:rsidRPr="00701514">
              <w:rPr>
                <w:rFonts w:ascii="Verdana" w:eastAsia="Times New Roman" w:hAnsi="Verdana" w:cs="Arial"/>
                <w:b w:val="0"/>
                <w:bCs w:val="0"/>
                <w:color w:val="365F91"/>
                <w:sz w:val="18"/>
                <w:szCs w:val="18"/>
                <w:lang w:val="el-GR"/>
              </w:rPr>
              <w:t xml:space="preserve"> </w:t>
            </w:r>
            <w:r w:rsidRPr="00701514">
              <w:rPr>
                <w:rFonts w:ascii="Verdana" w:eastAsia="Times New Roman" w:hAnsi="Verdana" w:cs="Arial"/>
                <w:b w:val="0"/>
                <w:bCs w:val="0"/>
                <w:color w:val="365F91"/>
                <w:sz w:val="18"/>
                <w:szCs w:val="18"/>
              </w:rPr>
              <w:t>G</w:t>
            </w:r>
            <w:proofErr w:type="spellStart"/>
            <w:r w:rsidRPr="00701514">
              <w:rPr>
                <w:rFonts w:ascii="Verdana" w:eastAsia="Times New Roman" w:hAnsi="Verdana" w:cs="Arial"/>
                <w:b w:val="0"/>
                <w:bCs w:val="0"/>
                <w:color w:val="365F91"/>
                <w:sz w:val="18"/>
                <w:szCs w:val="18"/>
                <w:lang w:val="el-GR"/>
              </w:rPr>
              <w:t>oods</w:t>
            </w:r>
            <w:proofErr w:type="spellEnd"/>
            <w:r w:rsidRPr="00701514">
              <w:rPr>
                <w:rFonts w:ascii="Verdana" w:eastAsia="Times New Roman" w:hAnsi="Verdana" w:cs="Arial"/>
                <w:b w:val="0"/>
                <w:bCs w:val="0"/>
                <w:color w:val="365F91"/>
                <w:sz w:val="18"/>
                <w:szCs w:val="18"/>
                <w:lang w:val="el-GR"/>
              </w:rPr>
              <w:t xml:space="preserve"> and </w:t>
            </w:r>
            <w:r w:rsidRPr="00701514">
              <w:rPr>
                <w:rFonts w:ascii="Verdana" w:eastAsia="Times New Roman" w:hAnsi="Verdana" w:cs="Arial"/>
                <w:b w:val="0"/>
                <w:bCs w:val="0"/>
                <w:color w:val="365F91"/>
                <w:sz w:val="18"/>
                <w:szCs w:val="18"/>
              </w:rPr>
              <w:t>S</w:t>
            </w:r>
            <w:proofErr w:type="spellStart"/>
            <w:r w:rsidRPr="00701514">
              <w:rPr>
                <w:rFonts w:ascii="Verdana" w:eastAsia="Times New Roman" w:hAnsi="Verdana" w:cs="Arial"/>
                <w:b w:val="0"/>
                <w:bCs w:val="0"/>
                <w:color w:val="365F91"/>
                <w:sz w:val="18"/>
                <w:szCs w:val="18"/>
                <w:lang w:val="el-GR"/>
              </w:rPr>
              <w:t>ervices</w:t>
            </w:r>
            <w:proofErr w:type="spellEnd"/>
          </w:p>
        </w:tc>
        <w:tc>
          <w:tcPr>
            <w:tcW w:w="1319" w:type="dxa"/>
            <w:tcBorders>
              <w:bottom w:val="single" w:sz="4" w:space="0" w:color="366092"/>
            </w:tcBorders>
            <w:noWrap/>
            <w:tcMar>
              <w:left w:w="0" w:type="dxa"/>
              <w:right w:w="198" w:type="dxa"/>
            </w:tcMar>
            <w:vAlign w:val="center"/>
          </w:tcPr>
          <w:p w14:paraId="199D95C8" w14:textId="415E1282" w:rsidR="00B84C8B" w:rsidRPr="00701514" w:rsidRDefault="00B84C8B" w:rsidP="00B84C8B">
            <w:pPr>
              <w:ind w:right="227"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701514">
              <w:rPr>
                <w:rFonts w:ascii="Verdana" w:hAnsi="Verdana" w:cs="Calibri"/>
                <w:color w:val="365F91"/>
                <w:sz w:val="18"/>
                <w:szCs w:val="18"/>
                <w:lang w:val="el-GR"/>
              </w:rPr>
              <w:t>111,65</w:t>
            </w:r>
          </w:p>
        </w:tc>
        <w:tc>
          <w:tcPr>
            <w:tcW w:w="1370" w:type="dxa"/>
            <w:tcBorders>
              <w:bottom w:val="single" w:sz="4" w:space="0" w:color="366092"/>
            </w:tcBorders>
            <w:noWrap/>
            <w:tcMar>
              <w:left w:w="0" w:type="dxa"/>
              <w:right w:w="198" w:type="dxa"/>
            </w:tcMar>
            <w:vAlign w:val="center"/>
          </w:tcPr>
          <w:p w14:paraId="4D87D85F" w14:textId="78BA4804" w:rsidR="00B84C8B" w:rsidRPr="00701514" w:rsidRDefault="00B84C8B" w:rsidP="00B84C8B">
            <w:pPr>
              <w:ind w:right="227"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701514">
              <w:rPr>
                <w:rFonts w:ascii="Verdana" w:hAnsi="Verdana" w:cs="Calibri"/>
                <w:color w:val="365F91"/>
                <w:sz w:val="18"/>
                <w:szCs w:val="18"/>
                <w:lang w:val="el-GR"/>
              </w:rPr>
              <w:t>111,86</w:t>
            </w:r>
          </w:p>
        </w:tc>
        <w:tc>
          <w:tcPr>
            <w:tcW w:w="291" w:type="dxa"/>
            <w:tcBorders>
              <w:bottom w:val="single" w:sz="4" w:space="0" w:color="366092"/>
            </w:tcBorders>
            <w:noWrap/>
            <w:tcMar>
              <w:left w:w="0" w:type="dxa"/>
              <w:right w:w="28" w:type="dxa"/>
            </w:tcMar>
            <w:vAlign w:val="center"/>
          </w:tcPr>
          <w:p w14:paraId="6F848F9F" w14:textId="77777777" w:rsidR="00B84C8B" w:rsidRPr="00701514" w:rsidRDefault="00B84C8B" w:rsidP="00B84C8B">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p>
        </w:tc>
        <w:tc>
          <w:tcPr>
            <w:tcW w:w="1259" w:type="dxa"/>
            <w:tcBorders>
              <w:bottom w:val="single" w:sz="4" w:space="0" w:color="366092"/>
            </w:tcBorders>
            <w:noWrap/>
            <w:tcMar>
              <w:left w:w="0" w:type="dxa"/>
              <w:right w:w="397" w:type="dxa"/>
            </w:tcMar>
            <w:vAlign w:val="center"/>
          </w:tcPr>
          <w:p w14:paraId="4B86C22B" w14:textId="798E05EF" w:rsidR="00B84C8B" w:rsidRPr="00701514" w:rsidRDefault="00B84C8B" w:rsidP="00B84C8B">
            <w:pPr>
              <w:ind w:firstLineChars="200" w:firstLine="36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701514">
              <w:rPr>
                <w:rFonts w:ascii="Verdana" w:hAnsi="Verdana" w:cs="Calibri"/>
                <w:color w:val="365F91"/>
                <w:sz w:val="18"/>
                <w:szCs w:val="18"/>
                <w:lang w:val="el-GR"/>
              </w:rPr>
              <w:t>3,1</w:t>
            </w:r>
          </w:p>
        </w:tc>
        <w:tc>
          <w:tcPr>
            <w:tcW w:w="1190" w:type="dxa"/>
            <w:tcBorders>
              <w:bottom w:val="single" w:sz="4" w:space="0" w:color="366092"/>
            </w:tcBorders>
            <w:noWrap/>
            <w:tcMar>
              <w:left w:w="0" w:type="dxa"/>
              <w:right w:w="397" w:type="dxa"/>
            </w:tcMar>
            <w:vAlign w:val="center"/>
          </w:tcPr>
          <w:p w14:paraId="0BD3CBC2" w14:textId="41198BAC" w:rsidR="00B84C8B" w:rsidRPr="00701514" w:rsidRDefault="00B84C8B" w:rsidP="00B84C8B">
            <w:pPr>
              <w:ind w:firstLineChars="200" w:firstLine="36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701514">
              <w:rPr>
                <w:rFonts w:ascii="Verdana" w:hAnsi="Verdana" w:cs="Calibri"/>
                <w:color w:val="365F91"/>
                <w:sz w:val="18"/>
                <w:szCs w:val="18"/>
                <w:lang w:val="el-GR"/>
              </w:rPr>
              <w:t>0,2</w:t>
            </w:r>
          </w:p>
        </w:tc>
        <w:tc>
          <w:tcPr>
            <w:tcW w:w="1465" w:type="dxa"/>
            <w:gridSpan w:val="2"/>
            <w:tcBorders>
              <w:bottom w:val="single" w:sz="4" w:space="0" w:color="366092"/>
            </w:tcBorders>
            <w:noWrap/>
            <w:tcMar>
              <w:left w:w="0" w:type="dxa"/>
              <w:right w:w="397" w:type="dxa"/>
            </w:tcMar>
            <w:vAlign w:val="center"/>
          </w:tcPr>
          <w:p w14:paraId="573C86AD" w14:textId="5F134167" w:rsidR="00B84C8B" w:rsidRPr="00701514" w:rsidRDefault="00B84C8B" w:rsidP="00B84C8B">
            <w:pPr>
              <w:ind w:right="113" w:firstLineChars="300" w:firstLine="54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701514">
              <w:rPr>
                <w:rFonts w:ascii="Verdana" w:hAnsi="Verdana" w:cs="Calibri"/>
                <w:color w:val="365F91"/>
                <w:sz w:val="18"/>
                <w:szCs w:val="18"/>
                <w:lang w:val="el-GR"/>
              </w:rPr>
              <w:t>2,9</w:t>
            </w:r>
          </w:p>
        </w:tc>
      </w:tr>
      <w:tr w:rsidR="00B84C8B" w:rsidRPr="00701514" w14:paraId="2FDA5EB3" w14:textId="77777777" w:rsidTr="00D25AB6">
        <w:trPr>
          <w:trHeight w:val="567"/>
          <w:jc w:val="center"/>
        </w:trPr>
        <w:tc>
          <w:tcPr>
            <w:cnfStyle w:val="001000000000" w:firstRow="0" w:lastRow="0" w:firstColumn="1" w:lastColumn="0" w:oddVBand="0" w:evenVBand="0" w:oddHBand="0" w:evenHBand="0" w:firstRowFirstColumn="0" w:firstRowLastColumn="0" w:lastRowFirstColumn="0" w:lastRowLastColumn="0"/>
            <w:tcW w:w="3076" w:type="dxa"/>
            <w:tcBorders>
              <w:top w:val="single" w:sz="4" w:space="0" w:color="366092"/>
              <w:bottom w:val="single" w:sz="4" w:space="0" w:color="366092"/>
            </w:tcBorders>
            <w:tcMar>
              <w:right w:w="0" w:type="dxa"/>
            </w:tcMar>
            <w:vAlign w:val="center"/>
          </w:tcPr>
          <w:p w14:paraId="60E097EF" w14:textId="77777777" w:rsidR="00B84C8B" w:rsidRPr="00701514" w:rsidRDefault="00B84C8B" w:rsidP="00B84C8B">
            <w:pPr>
              <w:rPr>
                <w:rFonts w:ascii="Verdana" w:hAnsi="Verdana" w:cs="Calibri"/>
                <w:color w:val="365F91"/>
                <w:sz w:val="18"/>
                <w:szCs w:val="18"/>
              </w:rPr>
            </w:pPr>
            <w:r w:rsidRPr="00701514">
              <w:rPr>
                <w:rFonts w:ascii="Verdana" w:eastAsia="Times New Roman" w:hAnsi="Verdana" w:cs="Arial"/>
                <w:color w:val="365F91"/>
                <w:sz w:val="18"/>
                <w:szCs w:val="18"/>
              </w:rPr>
              <w:t xml:space="preserve">General </w:t>
            </w:r>
            <w:proofErr w:type="spellStart"/>
            <w:r w:rsidRPr="00701514">
              <w:rPr>
                <w:rFonts w:ascii="Verdana" w:eastAsia="Times New Roman" w:hAnsi="Verdana" w:cs="Arial"/>
                <w:color w:val="365F91"/>
                <w:sz w:val="18"/>
                <w:szCs w:val="18"/>
              </w:rPr>
              <w:t>Harmonised</w:t>
            </w:r>
            <w:proofErr w:type="spellEnd"/>
            <w:r w:rsidRPr="00701514">
              <w:rPr>
                <w:rFonts w:ascii="Verdana" w:eastAsia="Times New Roman" w:hAnsi="Verdana" w:cs="Arial"/>
                <w:color w:val="365F91"/>
                <w:sz w:val="18"/>
                <w:szCs w:val="18"/>
              </w:rPr>
              <w:t xml:space="preserve"> Consumer Price Index</w:t>
            </w:r>
          </w:p>
        </w:tc>
        <w:tc>
          <w:tcPr>
            <w:tcW w:w="1319" w:type="dxa"/>
            <w:tcBorders>
              <w:top w:val="single" w:sz="4" w:space="0" w:color="366092"/>
              <w:bottom w:val="single" w:sz="4" w:space="0" w:color="366092"/>
            </w:tcBorders>
            <w:noWrap/>
            <w:tcMar>
              <w:left w:w="0" w:type="dxa"/>
              <w:right w:w="198" w:type="dxa"/>
            </w:tcMar>
            <w:vAlign w:val="center"/>
          </w:tcPr>
          <w:p w14:paraId="2331A908" w14:textId="077E736A" w:rsidR="00B84C8B" w:rsidRPr="00701514" w:rsidRDefault="00B84C8B" w:rsidP="00B84C8B">
            <w:pPr>
              <w:ind w:right="227" w:firstLineChars="100" w:firstLine="181"/>
              <w:jc w:val="right"/>
              <w:cnfStyle w:val="000000000000" w:firstRow="0" w:lastRow="0" w:firstColumn="0" w:lastColumn="0" w:oddVBand="0" w:evenVBand="0" w:oddHBand="0" w:evenHBand="0" w:firstRowFirstColumn="0" w:firstRowLastColumn="0" w:lastRowFirstColumn="0" w:lastRowLastColumn="0"/>
              <w:rPr>
                <w:rFonts w:ascii="Verdana" w:hAnsi="Verdana" w:cs="Calibri"/>
                <w:b/>
                <w:bCs/>
                <w:color w:val="365F91"/>
                <w:sz w:val="18"/>
                <w:szCs w:val="18"/>
              </w:rPr>
            </w:pPr>
            <w:r w:rsidRPr="00701514">
              <w:rPr>
                <w:rFonts w:ascii="Verdana" w:hAnsi="Verdana" w:cs="Calibri"/>
                <w:b/>
                <w:bCs/>
                <w:color w:val="365F91"/>
                <w:sz w:val="18"/>
                <w:szCs w:val="18"/>
              </w:rPr>
              <w:t>116,07</w:t>
            </w:r>
          </w:p>
        </w:tc>
        <w:tc>
          <w:tcPr>
            <w:tcW w:w="1370" w:type="dxa"/>
            <w:tcBorders>
              <w:top w:val="single" w:sz="4" w:space="0" w:color="366092"/>
              <w:bottom w:val="single" w:sz="4" w:space="0" w:color="366092"/>
            </w:tcBorders>
            <w:noWrap/>
            <w:tcMar>
              <w:left w:w="0" w:type="dxa"/>
              <w:right w:w="198" w:type="dxa"/>
            </w:tcMar>
            <w:vAlign w:val="center"/>
          </w:tcPr>
          <w:p w14:paraId="432E5F63" w14:textId="3C6C3206" w:rsidR="00B84C8B" w:rsidRPr="00701514" w:rsidRDefault="00B84C8B" w:rsidP="00B84C8B">
            <w:pPr>
              <w:ind w:right="227" w:firstLineChars="100" w:firstLine="181"/>
              <w:jc w:val="right"/>
              <w:cnfStyle w:val="000000000000" w:firstRow="0" w:lastRow="0" w:firstColumn="0" w:lastColumn="0" w:oddVBand="0" w:evenVBand="0" w:oddHBand="0" w:evenHBand="0" w:firstRowFirstColumn="0" w:firstRowLastColumn="0" w:lastRowFirstColumn="0" w:lastRowLastColumn="0"/>
              <w:rPr>
                <w:rFonts w:ascii="Verdana" w:hAnsi="Verdana" w:cs="Calibri"/>
                <w:b/>
                <w:bCs/>
                <w:color w:val="365F91"/>
                <w:sz w:val="18"/>
                <w:szCs w:val="18"/>
              </w:rPr>
            </w:pPr>
            <w:r w:rsidRPr="00701514">
              <w:rPr>
                <w:rFonts w:ascii="Verdana" w:hAnsi="Verdana" w:cs="Calibri"/>
                <w:b/>
                <w:bCs/>
                <w:color w:val="365F91"/>
                <w:sz w:val="18"/>
                <w:szCs w:val="18"/>
              </w:rPr>
              <w:t>117,46</w:t>
            </w:r>
          </w:p>
        </w:tc>
        <w:tc>
          <w:tcPr>
            <w:tcW w:w="291" w:type="dxa"/>
            <w:tcBorders>
              <w:top w:val="single" w:sz="4" w:space="0" w:color="366092"/>
              <w:bottom w:val="single" w:sz="4" w:space="0" w:color="366092"/>
            </w:tcBorders>
            <w:noWrap/>
            <w:tcMar>
              <w:left w:w="0" w:type="dxa"/>
              <w:right w:w="28" w:type="dxa"/>
            </w:tcMar>
            <w:vAlign w:val="center"/>
          </w:tcPr>
          <w:p w14:paraId="650E3DBE" w14:textId="77777777" w:rsidR="00B84C8B" w:rsidRPr="00701514" w:rsidRDefault="00B84C8B" w:rsidP="00B84C8B">
            <w:pPr>
              <w:ind w:firstLineChars="100" w:firstLine="181"/>
              <w:jc w:val="right"/>
              <w:cnfStyle w:val="000000000000" w:firstRow="0" w:lastRow="0" w:firstColumn="0" w:lastColumn="0" w:oddVBand="0" w:evenVBand="0" w:oddHBand="0" w:evenHBand="0" w:firstRowFirstColumn="0" w:firstRowLastColumn="0" w:lastRowFirstColumn="0" w:lastRowLastColumn="0"/>
              <w:rPr>
                <w:rFonts w:ascii="Verdana" w:hAnsi="Verdana" w:cs="Calibri"/>
                <w:b/>
                <w:bCs/>
                <w:color w:val="365F91"/>
                <w:sz w:val="18"/>
                <w:szCs w:val="18"/>
              </w:rPr>
            </w:pPr>
          </w:p>
        </w:tc>
        <w:tc>
          <w:tcPr>
            <w:tcW w:w="1259" w:type="dxa"/>
            <w:tcBorders>
              <w:top w:val="single" w:sz="4" w:space="0" w:color="366092"/>
              <w:bottom w:val="single" w:sz="4" w:space="0" w:color="366092"/>
            </w:tcBorders>
            <w:noWrap/>
            <w:tcMar>
              <w:left w:w="0" w:type="dxa"/>
              <w:right w:w="397" w:type="dxa"/>
            </w:tcMar>
            <w:vAlign w:val="center"/>
          </w:tcPr>
          <w:p w14:paraId="6E6387A0" w14:textId="181D9264" w:rsidR="00B84C8B" w:rsidRPr="00701514" w:rsidRDefault="00B84C8B" w:rsidP="00B84C8B">
            <w:pPr>
              <w:ind w:firstLineChars="200" w:firstLine="361"/>
              <w:jc w:val="right"/>
              <w:cnfStyle w:val="000000000000" w:firstRow="0" w:lastRow="0" w:firstColumn="0" w:lastColumn="0" w:oddVBand="0" w:evenVBand="0" w:oddHBand="0" w:evenHBand="0" w:firstRowFirstColumn="0" w:firstRowLastColumn="0" w:lastRowFirstColumn="0" w:lastRowLastColumn="0"/>
              <w:rPr>
                <w:rFonts w:ascii="Verdana" w:hAnsi="Verdana" w:cs="Calibri"/>
                <w:b/>
                <w:bCs/>
                <w:color w:val="365F91"/>
                <w:sz w:val="18"/>
                <w:szCs w:val="18"/>
              </w:rPr>
            </w:pPr>
            <w:r w:rsidRPr="00701514">
              <w:rPr>
                <w:rFonts w:ascii="Verdana" w:hAnsi="Verdana" w:cs="Calibri"/>
                <w:b/>
                <w:bCs/>
                <w:color w:val="365F91"/>
                <w:sz w:val="18"/>
                <w:szCs w:val="18"/>
              </w:rPr>
              <w:t>3,0</w:t>
            </w:r>
          </w:p>
        </w:tc>
        <w:tc>
          <w:tcPr>
            <w:tcW w:w="1190" w:type="dxa"/>
            <w:tcBorders>
              <w:top w:val="single" w:sz="4" w:space="0" w:color="366092"/>
              <w:bottom w:val="single" w:sz="4" w:space="0" w:color="366092"/>
            </w:tcBorders>
            <w:noWrap/>
            <w:tcMar>
              <w:left w:w="0" w:type="dxa"/>
              <w:right w:w="397" w:type="dxa"/>
            </w:tcMar>
            <w:vAlign w:val="center"/>
          </w:tcPr>
          <w:p w14:paraId="7B56EAA6" w14:textId="43F65155" w:rsidR="00B84C8B" w:rsidRPr="00701514" w:rsidRDefault="00B84C8B" w:rsidP="00B84C8B">
            <w:pPr>
              <w:ind w:firstLineChars="200" w:firstLine="361"/>
              <w:jc w:val="right"/>
              <w:cnfStyle w:val="000000000000" w:firstRow="0" w:lastRow="0" w:firstColumn="0" w:lastColumn="0" w:oddVBand="0" w:evenVBand="0" w:oddHBand="0" w:evenHBand="0" w:firstRowFirstColumn="0" w:firstRowLastColumn="0" w:lastRowFirstColumn="0" w:lastRowLastColumn="0"/>
              <w:rPr>
                <w:rFonts w:ascii="Verdana" w:hAnsi="Verdana" w:cs="Calibri"/>
                <w:b/>
                <w:bCs/>
                <w:color w:val="365F91"/>
                <w:sz w:val="18"/>
                <w:szCs w:val="18"/>
              </w:rPr>
            </w:pPr>
            <w:r w:rsidRPr="00701514">
              <w:rPr>
                <w:rFonts w:ascii="Verdana" w:hAnsi="Verdana" w:cs="Calibri"/>
                <w:b/>
                <w:bCs/>
                <w:color w:val="365F91"/>
                <w:sz w:val="18"/>
                <w:szCs w:val="18"/>
              </w:rPr>
              <w:t>1,2</w:t>
            </w:r>
          </w:p>
        </w:tc>
        <w:tc>
          <w:tcPr>
            <w:tcW w:w="1465" w:type="dxa"/>
            <w:gridSpan w:val="2"/>
            <w:tcBorders>
              <w:top w:val="single" w:sz="4" w:space="0" w:color="366092"/>
              <w:bottom w:val="single" w:sz="4" w:space="0" w:color="366092"/>
            </w:tcBorders>
            <w:noWrap/>
            <w:tcMar>
              <w:left w:w="0" w:type="dxa"/>
              <w:right w:w="397" w:type="dxa"/>
            </w:tcMar>
            <w:vAlign w:val="center"/>
          </w:tcPr>
          <w:p w14:paraId="5074E74D" w14:textId="663DAC41" w:rsidR="00B84C8B" w:rsidRPr="00701514" w:rsidRDefault="00B84C8B" w:rsidP="00B84C8B">
            <w:pPr>
              <w:ind w:right="113" w:firstLineChars="300" w:firstLine="542"/>
              <w:jc w:val="right"/>
              <w:cnfStyle w:val="000000000000" w:firstRow="0" w:lastRow="0" w:firstColumn="0" w:lastColumn="0" w:oddVBand="0" w:evenVBand="0" w:oddHBand="0" w:evenHBand="0" w:firstRowFirstColumn="0" w:firstRowLastColumn="0" w:lastRowFirstColumn="0" w:lastRowLastColumn="0"/>
              <w:rPr>
                <w:rFonts w:ascii="Verdana" w:hAnsi="Verdana" w:cs="Calibri"/>
                <w:b/>
                <w:bCs/>
                <w:color w:val="365F91"/>
                <w:sz w:val="18"/>
                <w:szCs w:val="18"/>
              </w:rPr>
            </w:pPr>
            <w:r w:rsidRPr="00701514">
              <w:rPr>
                <w:rFonts w:ascii="Verdana" w:hAnsi="Verdana" w:cs="Calibri"/>
                <w:b/>
                <w:bCs/>
                <w:color w:val="365F91"/>
                <w:sz w:val="18"/>
                <w:szCs w:val="18"/>
              </w:rPr>
              <w:t>2,2</w:t>
            </w:r>
          </w:p>
        </w:tc>
      </w:tr>
    </w:tbl>
    <w:p w14:paraId="78E78FF5" w14:textId="77777777" w:rsidR="0087342D" w:rsidRDefault="0087342D" w:rsidP="00B736A4">
      <w:pPr>
        <w:tabs>
          <w:tab w:val="left" w:pos="1080"/>
          <w:tab w:val="left" w:pos="6840"/>
        </w:tabs>
        <w:jc w:val="both"/>
        <w:rPr>
          <w:rFonts w:ascii="Verdana" w:eastAsia="Malgun Gothic" w:hAnsi="Verdana" w:cs="Arial"/>
          <w:sz w:val="18"/>
          <w:szCs w:val="18"/>
          <w:lang w:val="en-GB"/>
        </w:rPr>
      </w:pPr>
    </w:p>
    <w:p w14:paraId="60A414D9" w14:textId="77777777" w:rsidR="00DE0103" w:rsidRPr="00C7014F" w:rsidRDefault="00DE0103" w:rsidP="00B7227E">
      <w:pPr>
        <w:tabs>
          <w:tab w:val="left" w:pos="1080"/>
          <w:tab w:val="left" w:pos="6840"/>
        </w:tabs>
        <w:jc w:val="both"/>
        <w:rPr>
          <w:rFonts w:ascii="Verdana" w:eastAsia="Malgun Gothic" w:hAnsi="Verdana" w:cs="Arial"/>
        </w:rPr>
      </w:pPr>
    </w:p>
    <w:p w14:paraId="49520B51" w14:textId="77777777" w:rsidR="008339CF" w:rsidRDefault="008339CF" w:rsidP="00B7227E">
      <w:pPr>
        <w:tabs>
          <w:tab w:val="left" w:pos="1080"/>
          <w:tab w:val="left" w:pos="6840"/>
        </w:tabs>
        <w:jc w:val="both"/>
        <w:rPr>
          <w:rFonts w:ascii="Verdana" w:eastAsia="Malgun Gothic" w:hAnsi="Verdana" w:cs="Arial"/>
          <w:sz w:val="18"/>
          <w:szCs w:val="18"/>
        </w:rPr>
      </w:pPr>
    </w:p>
    <w:p w14:paraId="6B88F332" w14:textId="77777777" w:rsidR="00DE0103" w:rsidRPr="00496951" w:rsidRDefault="00DE0103" w:rsidP="00B7227E">
      <w:pPr>
        <w:tabs>
          <w:tab w:val="left" w:pos="1080"/>
          <w:tab w:val="left" w:pos="6840"/>
        </w:tabs>
        <w:jc w:val="both"/>
        <w:rPr>
          <w:rFonts w:ascii="Verdana" w:eastAsia="Malgun Gothic" w:hAnsi="Verdana" w:cs="Arial"/>
          <w:sz w:val="18"/>
          <w:szCs w:val="18"/>
          <w:lang w:val="en-GB"/>
        </w:rPr>
      </w:pPr>
    </w:p>
    <w:tbl>
      <w:tblPr>
        <w:tblW w:w="5000" w:type="pct"/>
        <w:jc w:val="center"/>
        <w:tblLayout w:type="fixed"/>
        <w:tblLook w:val="04A0" w:firstRow="1" w:lastRow="0" w:firstColumn="1" w:lastColumn="0" w:noHBand="0" w:noVBand="1"/>
      </w:tblPr>
      <w:tblGrid>
        <w:gridCol w:w="3590"/>
        <w:gridCol w:w="1595"/>
        <w:gridCol w:w="1797"/>
        <w:gridCol w:w="2552"/>
        <w:gridCol w:w="54"/>
      </w:tblGrid>
      <w:tr w:rsidR="00B7227E" w:rsidRPr="004F677C" w14:paraId="5214C592" w14:textId="77777777" w:rsidTr="00AF6356">
        <w:trPr>
          <w:trHeight w:val="170"/>
          <w:jc w:val="center"/>
        </w:trPr>
        <w:tc>
          <w:tcPr>
            <w:tcW w:w="5000" w:type="pct"/>
            <w:gridSpan w:val="5"/>
            <w:tcBorders>
              <w:left w:val="nil"/>
              <w:bottom w:val="single" w:sz="4" w:space="0" w:color="366092"/>
            </w:tcBorders>
            <w:shd w:val="clear" w:color="FFFFFF" w:fill="FFFFFF"/>
            <w:vAlign w:val="center"/>
            <w:hideMark/>
          </w:tcPr>
          <w:p w14:paraId="7FE6BE05" w14:textId="77777777" w:rsidR="00B7227E" w:rsidRPr="004F677C" w:rsidRDefault="00B7227E" w:rsidP="00D3306C">
            <w:pPr>
              <w:rPr>
                <w:rFonts w:ascii="Verdana" w:eastAsia="Times New Roman" w:hAnsi="Verdana" w:cs="Arial"/>
                <w:b/>
                <w:bCs/>
                <w:color w:val="366092"/>
                <w:sz w:val="18"/>
                <w:szCs w:val="18"/>
                <w:lang w:val="el-GR"/>
              </w:rPr>
            </w:pPr>
            <w:r>
              <w:rPr>
                <w:rFonts w:ascii="Verdana" w:eastAsia="Times New Roman" w:hAnsi="Verdana" w:cs="Arial"/>
                <w:b/>
                <w:bCs/>
                <w:color w:val="366092"/>
                <w:sz w:val="18"/>
                <w:szCs w:val="18"/>
              </w:rPr>
              <w:t>Table</w:t>
            </w:r>
            <w:r w:rsidRPr="004F677C">
              <w:rPr>
                <w:rFonts w:ascii="Verdana" w:eastAsia="Times New Roman" w:hAnsi="Verdana" w:cs="Arial"/>
                <w:b/>
                <w:bCs/>
                <w:color w:val="366092"/>
                <w:sz w:val="18"/>
                <w:szCs w:val="18"/>
                <w:lang w:val="el-GR"/>
              </w:rPr>
              <w:t xml:space="preserve"> 2</w:t>
            </w:r>
          </w:p>
        </w:tc>
      </w:tr>
      <w:tr w:rsidR="00B7227E" w:rsidRPr="004F677C" w14:paraId="159D56C6" w14:textId="77777777" w:rsidTr="00AF6356">
        <w:trPr>
          <w:trHeight w:val="232"/>
          <w:jc w:val="center"/>
        </w:trPr>
        <w:tc>
          <w:tcPr>
            <w:tcW w:w="1872" w:type="pct"/>
            <w:vMerge w:val="restart"/>
            <w:tcBorders>
              <w:top w:val="single" w:sz="4" w:space="0" w:color="366092"/>
              <w:left w:val="nil"/>
              <w:bottom w:val="single" w:sz="4" w:space="0" w:color="366092"/>
            </w:tcBorders>
            <w:shd w:val="clear" w:color="FFFFFF" w:fill="FFFFFF"/>
            <w:vAlign w:val="center"/>
            <w:hideMark/>
          </w:tcPr>
          <w:p w14:paraId="01EC4058" w14:textId="77777777" w:rsidR="00B7227E" w:rsidRPr="000D636E" w:rsidRDefault="00B7227E" w:rsidP="00D3306C">
            <w:pPr>
              <w:rPr>
                <w:rFonts w:ascii="Verdana" w:eastAsia="Times New Roman" w:hAnsi="Verdana" w:cs="Arial"/>
                <w:b/>
                <w:bCs/>
                <w:color w:val="366092"/>
                <w:sz w:val="18"/>
                <w:szCs w:val="18"/>
              </w:rPr>
            </w:pPr>
            <w:r>
              <w:rPr>
                <w:rFonts w:ascii="Verdana" w:eastAsia="Times New Roman" w:hAnsi="Verdana" w:cs="Arial"/>
                <w:b/>
                <w:bCs/>
                <w:color w:val="366092"/>
                <w:sz w:val="18"/>
                <w:szCs w:val="18"/>
              </w:rPr>
              <w:t>Economic Origin</w:t>
            </w:r>
          </w:p>
        </w:tc>
        <w:tc>
          <w:tcPr>
            <w:tcW w:w="832" w:type="pct"/>
            <w:vMerge w:val="restart"/>
            <w:tcBorders>
              <w:top w:val="single" w:sz="4" w:space="0" w:color="366092"/>
              <w:bottom w:val="single" w:sz="4" w:space="0" w:color="366092"/>
            </w:tcBorders>
            <w:shd w:val="clear" w:color="FFFFFF" w:fill="FFFFFF"/>
            <w:vAlign w:val="center"/>
            <w:hideMark/>
          </w:tcPr>
          <w:p w14:paraId="5F6D1C53" w14:textId="77777777" w:rsidR="00B7227E" w:rsidRPr="00251632" w:rsidRDefault="00B7227E" w:rsidP="00D3306C">
            <w:pPr>
              <w:jc w:val="center"/>
              <w:rPr>
                <w:rFonts w:ascii="Verdana" w:eastAsia="Times New Roman" w:hAnsi="Verdana" w:cs="Arial"/>
                <w:b/>
                <w:bCs/>
                <w:color w:val="366092"/>
                <w:sz w:val="18"/>
                <w:szCs w:val="18"/>
              </w:rPr>
            </w:pPr>
            <w:r>
              <w:rPr>
                <w:rFonts w:ascii="Verdana" w:eastAsia="Times New Roman" w:hAnsi="Verdana" w:cs="Arial"/>
                <w:b/>
                <w:bCs/>
                <w:color w:val="366092"/>
                <w:sz w:val="18"/>
                <w:szCs w:val="18"/>
              </w:rPr>
              <w:t>Weights</w:t>
            </w:r>
          </w:p>
        </w:tc>
        <w:tc>
          <w:tcPr>
            <w:tcW w:w="2296" w:type="pct"/>
            <w:gridSpan w:val="3"/>
            <w:tcBorders>
              <w:top w:val="single" w:sz="4" w:space="0" w:color="366092"/>
              <w:bottom w:val="single" w:sz="4" w:space="0" w:color="366092"/>
              <w:right w:val="nil"/>
            </w:tcBorders>
            <w:shd w:val="clear" w:color="FFFFFF" w:fill="FFFFFF"/>
            <w:vAlign w:val="center"/>
            <w:hideMark/>
          </w:tcPr>
          <w:p w14:paraId="77E48A5F" w14:textId="77777777" w:rsidR="00B7227E" w:rsidRPr="004F677C" w:rsidRDefault="00B7227E" w:rsidP="00D3306C">
            <w:pPr>
              <w:jc w:val="center"/>
              <w:rPr>
                <w:rFonts w:ascii="Verdana" w:eastAsia="Times New Roman" w:hAnsi="Verdana" w:cs="Arial"/>
                <w:b/>
                <w:bCs/>
                <w:color w:val="366092"/>
                <w:sz w:val="18"/>
                <w:szCs w:val="18"/>
              </w:rPr>
            </w:pPr>
            <w:r>
              <w:rPr>
                <w:rFonts w:ascii="Verdana" w:eastAsia="Times New Roman" w:hAnsi="Verdana" w:cs="Arial"/>
                <w:b/>
                <w:bCs/>
                <w:color w:val="366092"/>
                <w:sz w:val="18"/>
                <w:szCs w:val="18"/>
              </w:rPr>
              <w:t>Change</w:t>
            </w:r>
            <w:r w:rsidRPr="004F677C">
              <w:rPr>
                <w:rFonts w:ascii="Verdana" w:eastAsia="Times New Roman" w:hAnsi="Verdana" w:cs="Arial"/>
                <w:b/>
                <w:bCs/>
                <w:color w:val="366092"/>
                <w:sz w:val="18"/>
                <w:szCs w:val="18"/>
              </w:rPr>
              <w:t xml:space="preserve"> (%)</w:t>
            </w:r>
          </w:p>
        </w:tc>
      </w:tr>
      <w:tr w:rsidR="003C1786" w:rsidRPr="004F677C" w14:paraId="412A91B9" w14:textId="77777777" w:rsidTr="00AF6356">
        <w:trPr>
          <w:trHeight w:val="540"/>
          <w:jc w:val="center"/>
        </w:trPr>
        <w:tc>
          <w:tcPr>
            <w:tcW w:w="1872" w:type="pct"/>
            <w:vMerge/>
            <w:tcBorders>
              <w:top w:val="single" w:sz="4" w:space="0" w:color="366092"/>
              <w:left w:val="nil"/>
              <w:bottom w:val="single" w:sz="4" w:space="0" w:color="366092"/>
            </w:tcBorders>
            <w:vAlign w:val="center"/>
            <w:hideMark/>
          </w:tcPr>
          <w:p w14:paraId="5016B1EF" w14:textId="77777777" w:rsidR="003C1786" w:rsidRPr="004F677C" w:rsidRDefault="003C1786" w:rsidP="003C1786">
            <w:pPr>
              <w:rPr>
                <w:rFonts w:ascii="Verdana" w:eastAsia="Times New Roman" w:hAnsi="Verdana" w:cs="Arial"/>
                <w:b/>
                <w:bCs/>
                <w:color w:val="366092"/>
                <w:sz w:val="18"/>
                <w:szCs w:val="18"/>
              </w:rPr>
            </w:pPr>
          </w:p>
        </w:tc>
        <w:tc>
          <w:tcPr>
            <w:tcW w:w="832" w:type="pct"/>
            <w:vMerge/>
            <w:tcBorders>
              <w:top w:val="single" w:sz="4" w:space="0" w:color="366092"/>
              <w:bottom w:val="single" w:sz="4" w:space="0" w:color="366092"/>
            </w:tcBorders>
            <w:vAlign w:val="center"/>
            <w:hideMark/>
          </w:tcPr>
          <w:p w14:paraId="11B50D05" w14:textId="77777777" w:rsidR="003C1786" w:rsidRPr="004F677C" w:rsidRDefault="003C1786" w:rsidP="003C1786">
            <w:pPr>
              <w:jc w:val="center"/>
              <w:rPr>
                <w:rFonts w:ascii="Verdana" w:eastAsia="Times New Roman" w:hAnsi="Verdana" w:cs="Arial"/>
                <w:b/>
                <w:bCs/>
                <w:color w:val="366092"/>
                <w:sz w:val="18"/>
                <w:szCs w:val="18"/>
              </w:rPr>
            </w:pPr>
          </w:p>
        </w:tc>
        <w:tc>
          <w:tcPr>
            <w:tcW w:w="937" w:type="pct"/>
            <w:tcBorders>
              <w:top w:val="single" w:sz="4" w:space="0" w:color="366092"/>
              <w:bottom w:val="single" w:sz="4" w:space="0" w:color="366092"/>
            </w:tcBorders>
            <w:shd w:val="clear" w:color="FFFFFF" w:fill="FFFFFF"/>
            <w:hideMark/>
          </w:tcPr>
          <w:p w14:paraId="79B1062C" w14:textId="77777777" w:rsidR="003C1786" w:rsidRPr="00B84C8B" w:rsidRDefault="003C1786" w:rsidP="003C1786">
            <w:pPr>
              <w:tabs>
                <w:tab w:val="left" w:pos="1080"/>
                <w:tab w:val="left" w:pos="6840"/>
              </w:tabs>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 xml:space="preserve">May </w:t>
            </w:r>
            <w:r w:rsidRPr="00300B86">
              <w:rPr>
                <w:rFonts w:ascii="Verdana" w:eastAsia="Times New Roman" w:hAnsi="Verdana" w:cs="Arial"/>
                <w:b/>
                <w:bCs/>
                <w:color w:val="365F91"/>
                <w:sz w:val="18"/>
                <w:szCs w:val="18"/>
                <w:lang w:val="el-GR"/>
              </w:rPr>
              <w:t>2</w:t>
            </w:r>
            <w:r w:rsidRPr="00300B86">
              <w:rPr>
                <w:rFonts w:ascii="Verdana" w:eastAsia="Times New Roman" w:hAnsi="Verdana" w:cs="Arial"/>
                <w:b/>
                <w:bCs/>
                <w:color w:val="365F91"/>
                <w:sz w:val="18"/>
                <w:szCs w:val="18"/>
              </w:rPr>
              <w:t>4</w:t>
            </w:r>
            <w:r w:rsidRPr="00300B86">
              <w:rPr>
                <w:rFonts w:ascii="Verdana" w:eastAsia="Times New Roman" w:hAnsi="Verdana" w:cs="Arial"/>
                <w:b/>
                <w:bCs/>
                <w:color w:val="365F91"/>
                <w:sz w:val="18"/>
                <w:szCs w:val="18"/>
                <w:lang w:val="el-GR"/>
              </w:rPr>
              <w:t>/</w:t>
            </w:r>
          </w:p>
          <w:p w14:paraId="35FD6631" w14:textId="1746CE22" w:rsidR="003C1786" w:rsidRPr="00C90FA1" w:rsidRDefault="003C1786" w:rsidP="003C1786">
            <w:pPr>
              <w:ind w:right="47"/>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 xml:space="preserve">May </w:t>
            </w:r>
            <w:r w:rsidRPr="00300B86">
              <w:rPr>
                <w:rFonts w:ascii="Verdana" w:eastAsia="Times New Roman" w:hAnsi="Verdana" w:cs="Arial"/>
                <w:b/>
                <w:bCs/>
                <w:color w:val="365F91"/>
                <w:sz w:val="18"/>
                <w:szCs w:val="18"/>
                <w:lang w:val="el-GR"/>
              </w:rPr>
              <w:t>2</w:t>
            </w:r>
            <w:r w:rsidRPr="00300B86">
              <w:rPr>
                <w:rFonts w:ascii="Verdana" w:eastAsia="Times New Roman" w:hAnsi="Verdana" w:cs="Arial"/>
                <w:b/>
                <w:bCs/>
                <w:color w:val="365F91"/>
                <w:sz w:val="18"/>
                <w:szCs w:val="18"/>
              </w:rPr>
              <w:t>3</w:t>
            </w:r>
          </w:p>
        </w:tc>
        <w:tc>
          <w:tcPr>
            <w:tcW w:w="1359" w:type="pct"/>
            <w:gridSpan w:val="2"/>
            <w:tcBorders>
              <w:top w:val="single" w:sz="4" w:space="0" w:color="366092"/>
              <w:bottom w:val="single" w:sz="4" w:space="0" w:color="366092"/>
              <w:right w:val="nil"/>
            </w:tcBorders>
            <w:shd w:val="clear" w:color="FFFFFF" w:fill="FFFFFF"/>
            <w:hideMark/>
          </w:tcPr>
          <w:p w14:paraId="53B250D7" w14:textId="77777777" w:rsidR="003C1786" w:rsidRPr="00300B86" w:rsidRDefault="003C1786" w:rsidP="003C1786">
            <w:pPr>
              <w:tabs>
                <w:tab w:val="left" w:pos="1080"/>
                <w:tab w:val="left" w:pos="6840"/>
              </w:tabs>
              <w:jc w:val="center"/>
              <w:rPr>
                <w:rFonts w:ascii="Verdana" w:eastAsia="Times New Roman" w:hAnsi="Verdana" w:cs="Arial"/>
                <w:b/>
                <w:bCs/>
                <w:color w:val="365F91"/>
                <w:sz w:val="18"/>
                <w:szCs w:val="18"/>
                <w:lang w:val="el-GR"/>
              </w:rPr>
            </w:pPr>
            <w:r>
              <w:rPr>
                <w:rFonts w:ascii="Verdana" w:eastAsia="Times New Roman" w:hAnsi="Verdana" w:cs="Arial"/>
                <w:b/>
                <w:bCs/>
                <w:color w:val="365F91"/>
                <w:sz w:val="18"/>
                <w:szCs w:val="18"/>
              </w:rPr>
              <w:t xml:space="preserve">May </w:t>
            </w:r>
            <w:r w:rsidRPr="00300B86">
              <w:rPr>
                <w:rFonts w:ascii="Verdana" w:eastAsia="Times New Roman" w:hAnsi="Verdana" w:cs="Arial"/>
                <w:b/>
                <w:bCs/>
                <w:color w:val="365F91"/>
                <w:sz w:val="18"/>
                <w:szCs w:val="18"/>
                <w:lang w:val="el-GR"/>
              </w:rPr>
              <w:t>2</w:t>
            </w:r>
            <w:r w:rsidRPr="00300B86">
              <w:rPr>
                <w:rFonts w:ascii="Verdana" w:eastAsia="Times New Roman" w:hAnsi="Verdana" w:cs="Arial"/>
                <w:b/>
                <w:bCs/>
                <w:color w:val="365F91"/>
                <w:sz w:val="18"/>
                <w:szCs w:val="18"/>
              </w:rPr>
              <w:t>4</w:t>
            </w:r>
            <w:r w:rsidRPr="00300B86">
              <w:rPr>
                <w:rFonts w:ascii="Verdana" w:eastAsia="Times New Roman" w:hAnsi="Verdana" w:cs="Arial"/>
                <w:b/>
                <w:bCs/>
                <w:color w:val="365F91"/>
                <w:sz w:val="18"/>
                <w:szCs w:val="18"/>
                <w:lang w:val="el-GR"/>
              </w:rPr>
              <w:t>/</w:t>
            </w:r>
          </w:p>
          <w:p w14:paraId="0007AAA8" w14:textId="7AD439EB" w:rsidR="003C1786" w:rsidRPr="00C90FA1" w:rsidRDefault="003C1786" w:rsidP="003C1786">
            <w:pPr>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Apr</w:t>
            </w:r>
            <w:r w:rsidRPr="00300B86">
              <w:rPr>
                <w:rFonts w:ascii="Verdana" w:eastAsia="Times New Roman" w:hAnsi="Verdana" w:cs="Arial"/>
                <w:b/>
                <w:bCs/>
                <w:color w:val="365F91"/>
                <w:sz w:val="18"/>
                <w:szCs w:val="18"/>
                <w:lang w:val="el-GR"/>
              </w:rPr>
              <w:t xml:space="preserve"> 2</w:t>
            </w:r>
            <w:r w:rsidRPr="00300B86">
              <w:rPr>
                <w:rFonts w:ascii="Verdana" w:eastAsia="Times New Roman" w:hAnsi="Verdana" w:cs="Arial"/>
                <w:b/>
                <w:bCs/>
                <w:color w:val="365F91"/>
                <w:sz w:val="18"/>
                <w:szCs w:val="18"/>
              </w:rPr>
              <w:t>4</w:t>
            </w:r>
          </w:p>
        </w:tc>
      </w:tr>
      <w:tr w:rsidR="003C1786" w:rsidRPr="004F677C" w14:paraId="764E5937" w14:textId="77777777" w:rsidTr="00AF6356">
        <w:trPr>
          <w:trHeight w:val="397"/>
          <w:jc w:val="center"/>
        </w:trPr>
        <w:tc>
          <w:tcPr>
            <w:tcW w:w="1872" w:type="pct"/>
            <w:tcBorders>
              <w:top w:val="single" w:sz="4" w:space="0" w:color="366092"/>
              <w:left w:val="nil"/>
            </w:tcBorders>
            <w:shd w:val="clear" w:color="FFFFFF" w:fill="FFFFFF"/>
            <w:noWrap/>
            <w:vAlign w:val="center"/>
            <w:hideMark/>
          </w:tcPr>
          <w:p w14:paraId="192543DF" w14:textId="77777777" w:rsidR="003C1786" w:rsidRPr="004F677C" w:rsidRDefault="003C1786" w:rsidP="003C1786">
            <w:pPr>
              <w:rPr>
                <w:rFonts w:ascii="Verdana" w:eastAsia="Times New Roman" w:hAnsi="Verdana" w:cs="Arial"/>
                <w:b/>
                <w:bCs/>
                <w:color w:val="365F91"/>
                <w:sz w:val="18"/>
                <w:szCs w:val="18"/>
              </w:rPr>
            </w:pPr>
            <w:r>
              <w:rPr>
                <w:rFonts w:ascii="Verdana" w:eastAsia="Times New Roman" w:hAnsi="Verdana" w:cs="Arial"/>
                <w:b/>
                <w:bCs/>
                <w:color w:val="365F91"/>
                <w:sz w:val="18"/>
                <w:szCs w:val="18"/>
              </w:rPr>
              <w:t>General HICP</w:t>
            </w:r>
            <w:r w:rsidRPr="004F677C">
              <w:rPr>
                <w:rFonts w:ascii="Verdana" w:eastAsia="Times New Roman" w:hAnsi="Verdana" w:cs="Arial"/>
                <w:b/>
                <w:bCs/>
                <w:color w:val="365F91"/>
                <w:sz w:val="18"/>
                <w:szCs w:val="18"/>
              </w:rPr>
              <w:t xml:space="preserve"> </w:t>
            </w:r>
          </w:p>
        </w:tc>
        <w:tc>
          <w:tcPr>
            <w:tcW w:w="832" w:type="pct"/>
            <w:tcBorders>
              <w:top w:val="single" w:sz="4" w:space="0" w:color="366092"/>
            </w:tcBorders>
            <w:shd w:val="clear" w:color="FFFFFF" w:fill="FFFFFF"/>
            <w:noWrap/>
            <w:vAlign w:val="center"/>
            <w:hideMark/>
          </w:tcPr>
          <w:p w14:paraId="45A98513" w14:textId="2994EB49" w:rsidR="003C1786" w:rsidRPr="00B736A4" w:rsidRDefault="003C1786" w:rsidP="003C1786">
            <w:pPr>
              <w:tabs>
                <w:tab w:val="left" w:pos="2001"/>
              </w:tabs>
              <w:ind w:right="392"/>
              <w:jc w:val="right"/>
              <w:rPr>
                <w:rFonts w:ascii="Verdana" w:hAnsi="Verdana"/>
                <w:b/>
                <w:bCs/>
                <w:color w:val="365F91"/>
                <w:sz w:val="18"/>
                <w:szCs w:val="18"/>
                <w:lang w:val="el-GR"/>
              </w:rPr>
            </w:pPr>
            <w:r w:rsidRPr="00B736A4">
              <w:rPr>
                <w:rFonts w:ascii="Verdana" w:hAnsi="Verdana"/>
                <w:b/>
                <w:bCs/>
                <w:color w:val="365F91"/>
                <w:sz w:val="18"/>
                <w:szCs w:val="18"/>
                <w:lang w:val="el-GR"/>
              </w:rPr>
              <w:t>1000</w:t>
            </w:r>
          </w:p>
        </w:tc>
        <w:tc>
          <w:tcPr>
            <w:tcW w:w="937" w:type="pct"/>
            <w:tcBorders>
              <w:top w:val="single" w:sz="4" w:space="0" w:color="366092"/>
            </w:tcBorders>
            <w:shd w:val="clear" w:color="FFFFFF" w:fill="FFFFFF"/>
            <w:noWrap/>
            <w:tcMar>
              <w:right w:w="0" w:type="dxa"/>
            </w:tcMar>
            <w:vAlign w:val="center"/>
          </w:tcPr>
          <w:p w14:paraId="1362F32F" w14:textId="61FADEEE" w:rsidR="003C1786" w:rsidRPr="007A722C" w:rsidRDefault="003C1786" w:rsidP="003C1786">
            <w:pPr>
              <w:tabs>
                <w:tab w:val="left" w:pos="2001"/>
              </w:tabs>
              <w:ind w:right="794"/>
              <w:jc w:val="right"/>
              <w:rPr>
                <w:rFonts w:ascii="Verdana" w:hAnsi="Verdana"/>
                <w:b/>
                <w:bCs/>
                <w:color w:val="365F91"/>
                <w:sz w:val="18"/>
                <w:szCs w:val="18"/>
                <w:lang w:val="el-GR"/>
              </w:rPr>
            </w:pPr>
            <w:r w:rsidRPr="00BB15BC">
              <w:rPr>
                <w:rFonts w:ascii="Verdana" w:hAnsi="Verdana"/>
                <w:b/>
                <w:bCs/>
                <w:color w:val="365F91"/>
                <w:sz w:val="18"/>
                <w:szCs w:val="18"/>
                <w:lang w:val="el-GR"/>
              </w:rPr>
              <w:t>3</w:t>
            </w:r>
            <w:r>
              <w:rPr>
                <w:rFonts w:ascii="Verdana" w:hAnsi="Verdana"/>
                <w:b/>
                <w:bCs/>
                <w:color w:val="365F91"/>
                <w:sz w:val="18"/>
                <w:szCs w:val="18"/>
                <w:lang w:val="el-GR"/>
              </w:rPr>
              <w:t>,</w:t>
            </w:r>
            <w:r w:rsidRPr="00BB15BC">
              <w:rPr>
                <w:rFonts w:ascii="Verdana" w:hAnsi="Verdana"/>
                <w:b/>
                <w:bCs/>
                <w:color w:val="365F91"/>
                <w:sz w:val="18"/>
                <w:szCs w:val="18"/>
                <w:lang w:val="el-GR"/>
              </w:rPr>
              <w:t>0</w:t>
            </w:r>
          </w:p>
        </w:tc>
        <w:tc>
          <w:tcPr>
            <w:tcW w:w="1359" w:type="pct"/>
            <w:gridSpan w:val="2"/>
            <w:tcBorders>
              <w:top w:val="single" w:sz="4" w:space="0" w:color="366092"/>
              <w:right w:val="nil"/>
            </w:tcBorders>
            <w:shd w:val="clear" w:color="FFFFFF" w:fill="FFFFFF"/>
            <w:noWrap/>
            <w:vAlign w:val="center"/>
          </w:tcPr>
          <w:p w14:paraId="56181E46" w14:textId="79CEE85C" w:rsidR="003C1786" w:rsidRPr="007A722C" w:rsidRDefault="003C1786" w:rsidP="003C1786">
            <w:pPr>
              <w:tabs>
                <w:tab w:val="left" w:pos="2001"/>
              </w:tabs>
              <w:ind w:right="1021"/>
              <w:jc w:val="right"/>
              <w:rPr>
                <w:rFonts w:ascii="Verdana" w:hAnsi="Verdana"/>
                <w:b/>
                <w:bCs/>
                <w:color w:val="365F91"/>
                <w:sz w:val="18"/>
                <w:szCs w:val="18"/>
                <w:lang w:val="el-GR"/>
              </w:rPr>
            </w:pPr>
            <w:r w:rsidRPr="00BB15BC">
              <w:rPr>
                <w:rFonts w:ascii="Verdana" w:hAnsi="Verdana"/>
                <w:b/>
                <w:bCs/>
                <w:color w:val="365F91"/>
                <w:sz w:val="18"/>
                <w:szCs w:val="18"/>
                <w:lang w:val="el-GR"/>
              </w:rPr>
              <w:t>1</w:t>
            </w:r>
            <w:r>
              <w:rPr>
                <w:rFonts w:ascii="Verdana" w:hAnsi="Verdana"/>
                <w:b/>
                <w:bCs/>
                <w:color w:val="365F91"/>
                <w:sz w:val="18"/>
                <w:szCs w:val="18"/>
                <w:lang w:val="el-GR"/>
              </w:rPr>
              <w:t>,</w:t>
            </w:r>
            <w:r w:rsidRPr="00BB15BC">
              <w:rPr>
                <w:rFonts w:ascii="Verdana" w:hAnsi="Verdana"/>
                <w:b/>
                <w:bCs/>
                <w:color w:val="365F91"/>
                <w:sz w:val="18"/>
                <w:szCs w:val="18"/>
                <w:lang w:val="el-GR"/>
              </w:rPr>
              <w:t>2</w:t>
            </w:r>
          </w:p>
        </w:tc>
      </w:tr>
      <w:tr w:rsidR="003C1786" w:rsidRPr="000E24B1" w14:paraId="02FB2631" w14:textId="77777777" w:rsidTr="00AF6356">
        <w:trPr>
          <w:trHeight w:val="397"/>
          <w:jc w:val="center"/>
        </w:trPr>
        <w:tc>
          <w:tcPr>
            <w:tcW w:w="1872" w:type="pct"/>
            <w:tcBorders>
              <w:top w:val="nil"/>
              <w:left w:val="nil"/>
              <w:bottom w:val="nil"/>
            </w:tcBorders>
            <w:shd w:val="clear" w:color="FFFFFF" w:fill="FFFFFF"/>
            <w:noWrap/>
            <w:vAlign w:val="center"/>
            <w:hideMark/>
          </w:tcPr>
          <w:p w14:paraId="36C18180" w14:textId="77777777" w:rsidR="003C1786" w:rsidRPr="000D636E" w:rsidRDefault="003C1786" w:rsidP="003C1786">
            <w:pPr>
              <w:ind w:left="2"/>
              <w:rPr>
                <w:rFonts w:ascii="Verdana" w:eastAsia="Times New Roman" w:hAnsi="Verdana" w:cs="Arial"/>
                <w:color w:val="365F91"/>
                <w:sz w:val="18"/>
                <w:szCs w:val="18"/>
              </w:rPr>
            </w:pPr>
            <w:r>
              <w:rPr>
                <w:rFonts w:ascii="Verdana" w:eastAsia="Times New Roman" w:hAnsi="Verdana" w:cs="Arial"/>
                <w:color w:val="365F91"/>
                <w:sz w:val="18"/>
                <w:szCs w:val="18"/>
              </w:rPr>
              <w:t>Energy</w:t>
            </w:r>
          </w:p>
        </w:tc>
        <w:tc>
          <w:tcPr>
            <w:tcW w:w="832" w:type="pct"/>
            <w:tcBorders>
              <w:top w:val="nil"/>
              <w:bottom w:val="nil"/>
            </w:tcBorders>
            <w:shd w:val="clear" w:color="FFFFFF" w:fill="FFFFFF"/>
            <w:noWrap/>
            <w:vAlign w:val="center"/>
            <w:hideMark/>
          </w:tcPr>
          <w:p w14:paraId="3891E258" w14:textId="686200C0" w:rsidR="003C1786" w:rsidRPr="00B736A4" w:rsidRDefault="003C1786" w:rsidP="003C1786">
            <w:pPr>
              <w:tabs>
                <w:tab w:val="left" w:pos="1308"/>
              </w:tabs>
              <w:ind w:right="392"/>
              <w:jc w:val="right"/>
              <w:rPr>
                <w:rFonts w:ascii="Verdana" w:hAnsi="Verdana"/>
                <w:color w:val="365F91"/>
                <w:sz w:val="18"/>
                <w:szCs w:val="18"/>
              </w:rPr>
            </w:pPr>
            <w:r w:rsidRPr="00B736A4">
              <w:rPr>
                <w:rFonts w:ascii="Verdana" w:hAnsi="Verdana"/>
                <w:color w:val="365F91"/>
                <w:sz w:val="18"/>
                <w:szCs w:val="18"/>
              </w:rPr>
              <w:t>101</w:t>
            </w:r>
            <w:r>
              <w:rPr>
                <w:rFonts w:ascii="Verdana" w:hAnsi="Verdana"/>
                <w:color w:val="365F91"/>
                <w:sz w:val="18"/>
                <w:szCs w:val="18"/>
              </w:rPr>
              <w:t>,</w:t>
            </w:r>
            <w:r w:rsidRPr="00B736A4">
              <w:rPr>
                <w:rFonts w:ascii="Verdana" w:hAnsi="Verdana"/>
                <w:color w:val="365F91"/>
                <w:sz w:val="18"/>
                <w:szCs w:val="18"/>
              </w:rPr>
              <w:t>71</w:t>
            </w:r>
          </w:p>
        </w:tc>
        <w:tc>
          <w:tcPr>
            <w:tcW w:w="937" w:type="pct"/>
            <w:tcBorders>
              <w:top w:val="nil"/>
              <w:bottom w:val="nil"/>
            </w:tcBorders>
            <w:shd w:val="clear" w:color="FFFFFF" w:fill="FFFFFF"/>
            <w:noWrap/>
            <w:tcMar>
              <w:right w:w="0" w:type="dxa"/>
            </w:tcMar>
            <w:vAlign w:val="center"/>
          </w:tcPr>
          <w:p w14:paraId="4FA51173" w14:textId="68EB0A75" w:rsidR="003C1786" w:rsidRPr="007A722C" w:rsidRDefault="003C1786" w:rsidP="003C1786">
            <w:pPr>
              <w:tabs>
                <w:tab w:val="left" w:pos="1308"/>
              </w:tabs>
              <w:ind w:right="794"/>
              <w:jc w:val="right"/>
              <w:rPr>
                <w:rFonts w:ascii="Verdana" w:hAnsi="Verdana"/>
                <w:color w:val="365F91"/>
                <w:sz w:val="18"/>
                <w:szCs w:val="18"/>
              </w:rPr>
            </w:pPr>
            <w:r w:rsidRPr="00BB15BC">
              <w:rPr>
                <w:rFonts w:ascii="Verdana" w:hAnsi="Verdana"/>
                <w:color w:val="365F91"/>
                <w:sz w:val="18"/>
                <w:szCs w:val="18"/>
              </w:rPr>
              <w:t>7</w:t>
            </w:r>
            <w:r>
              <w:rPr>
                <w:rFonts w:ascii="Verdana" w:hAnsi="Verdana"/>
                <w:color w:val="365F91"/>
                <w:sz w:val="18"/>
                <w:szCs w:val="18"/>
              </w:rPr>
              <w:t>,</w:t>
            </w:r>
            <w:r w:rsidRPr="00BB15BC">
              <w:rPr>
                <w:rFonts w:ascii="Verdana" w:hAnsi="Verdana"/>
                <w:color w:val="365F91"/>
                <w:sz w:val="18"/>
                <w:szCs w:val="18"/>
              </w:rPr>
              <w:t>2</w:t>
            </w:r>
          </w:p>
        </w:tc>
        <w:tc>
          <w:tcPr>
            <w:tcW w:w="1359" w:type="pct"/>
            <w:gridSpan w:val="2"/>
            <w:tcBorders>
              <w:top w:val="nil"/>
              <w:bottom w:val="nil"/>
              <w:right w:val="nil"/>
            </w:tcBorders>
            <w:shd w:val="clear" w:color="FFFFFF" w:fill="FFFFFF"/>
            <w:noWrap/>
            <w:vAlign w:val="center"/>
          </w:tcPr>
          <w:p w14:paraId="0A9B4D8F" w14:textId="5917620A" w:rsidR="003C1786" w:rsidRPr="007A722C" w:rsidRDefault="003C1786" w:rsidP="003C1786">
            <w:pPr>
              <w:tabs>
                <w:tab w:val="left" w:pos="1308"/>
              </w:tabs>
              <w:ind w:right="1021"/>
              <w:jc w:val="right"/>
              <w:rPr>
                <w:rFonts w:ascii="Verdana" w:hAnsi="Verdana"/>
                <w:color w:val="365F91"/>
                <w:sz w:val="18"/>
                <w:szCs w:val="18"/>
              </w:rPr>
            </w:pPr>
            <w:r w:rsidRPr="00BB15BC">
              <w:rPr>
                <w:rFonts w:ascii="Verdana" w:hAnsi="Verdana"/>
                <w:color w:val="365F91"/>
                <w:sz w:val="18"/>
                <w:szCs w:val="18"/>
              </w:rPr>
              <w:t>0</w:t>
            </w:r>
            <w:r>
              <w:rPr>
                <w:rFonts w:ascii="Verdana" w:hAnsi="Verdana"/>
                <w:color w:val="365F91"/>
                <w:sz w:val="18"/>
                <w:szCs w:val="18"/>
              </w:rPr>
              <w:t>,</w:t>
            </w:r>
            <w:r w:rsidRPr="00BB15BC">
              <w:rPr>
                <w:rFonts w:ascii="Verdana" w:hAnsi="Verdana"/>
                <w:color w:val="365F91"/>
                <w:sz w:val="18"/>
                <w:szCs w:val="18"/>
              </w:rPr>
              <w:t>6</w:t>
            </w:r>
          </w:p>
        </w:tc>
      </w:tr>
      <w:tr w:rsidR="003C1786" w:rsidRPr="000E24B1" w14:paraId="3DBFE68D" w14:textId="77777777" w:rsidTr="00AF6356">
        <w:trPr>
          <w:trHeight w:val="397"/>
          <w:jc w:val="center"/>
        </w:trPr>
        <w:tc>
          <w:tcPr>
            <w:tcW w:w="1872" w:type="pct"/>
            <w:tcBorders>
              <w:top w:val="nil"/>
              <w:left w:val="nil"/>
              <w:bottom w:val="nil"/>
            </w:tcBorders>
            <w:shd w:val="clear" w:color="FFFFFF" w:fill="FFFFFF"/>
            <w:noWrap/>
            <w:vAlign w:val="center"/>
            <w:hideMark/>
          </w:tcPr>
          <w:p w14:paraId="77F4E4F6" w14:textId="77777777" w:rsidR="003C1786" w:rsidRPr="004F677C" w:rsidRDefault="003C1786" w:rsidP="003C1786">
            <w:pPr>
              <w:ind w:left="2"/>
              <w:rPr>
                <w:rFonts w:ascii="Verdana" w:eastAsia="Times New Roman" w:hAnsi="Verdana" w:cs="Arial"/>
                <w:color w:val="365F91"/>
                <w:sz w:val="18"/>
                <w:szCs w:val="18"/>
              </w:rPr>
            </w:pPr>
            <w:r>
              <w:rPr>
                <w:rFonts w:ascii="Verdana" w:eastAsia="Times New Roman" w:hAnsi="Verdana" w:cs="Arial"/>
                <w:color w:val="365F91"/>
                <w:sz w:val="18"/>
                <w:szCs w:val="18"/>
              </w:rPr>
              <w:t>Food</w:t>
            </w:r>
            <w:r w:rsidRPr="0025254F">
              <w:rPr>
                <w:rFonts w:ascii="Verdana" w:eastAsia="Times New Roman" w:hAnsi="Verdana" w:cs="Arial"/>
                <w:color w:val="365F91"/>
                <w:sz w:val="18"/>
                <w:szCs w:val="18"/>
              </w:rPr>
              <w:t>-</w:t>
            </w:r>
            <w:r>
              <w:rPr>
                <w:rFonts w:ascii="Verdana" w:eastAsia="Times New Roman" w:hAnsi="Verdana" w:cs="Arial"/>
                <w:color w:val="365F91"/>
                <w:sz w:val="18"/>
                <w:szCs w:val="18"/>
              </w:rPr>
              <w:t>Alcoholic Beverages</w:t>
            </w:r>
            <w:r w:rsidRPr="0025254F">
              <w:rPr>
                <w:rFonts w:ascii="Verdana" w:eastAsia="Times New Roman" w:hAnsi="Verdana" w:cs="Arial"/>
                <w:color w:val="365F91"/>
                <w:sz w:val="18"/>
                <w:szCs w:val="18"/>
              </w:rPr>
              <w:t>-</w:t>
            </w:r>
            <w:r>
              <w:rPr>
                <w:rFonts w:ascii="Verdana" w:eastAsia="Times New Roman" w:hAnsi="Verdana" w:cs="Arial"/>
                <w:color w:val="365F91"/>
                <w:sz w:val="18"/>
                <w:szCs w:val="18"/>
              </w:rPr>
              <w:t>Tobacco</w:t>
            </w:r>
          </w:p>
        </w:tc>
        <w:tc>
          <w:tcPr>
            <w:tcW w:w="832" w:type="pct"/>
            <w:tcBorders>
              <w:top w:val="nil"/>
              <w:bottom w:val="nil"/>
            </w:tcBorders>
            <w:shd w:val="clear" w:color="FFFFFF" w:fill="FFFFFF"/>
            <w:noWrap/>
            <w:vAlign w:val="center"/>
            <w:hideMark/>
          </w:tcPr>
          <w:p w14:paraId="0900B64C" w14:textId="7743E4B6" w:rsidR="003C1786" w:rsidRPr="00B736A4" w:rsidRDefault="003C1786" w:rsidP="003C1786">
            <w:pPr>
              <w:tabs>
                <w:tab w:val="left" w:pos="1308"/>
              </w:tabs>
              <w:ind w:right="392"/>
              <w:jc w:val="right"/>
              <w:rPr>
                <w:rFonts w:ascii="Verdana" w:hAnsi="Verdana"/>
                <w:color w:val="365F91"/>
                <w:sz w:val="18"/>
                <w:szCs w:val="18"/>
              </w:rPr>
            </w:pPr>
            <w:r w:rsidRPr="00B736A4">
              <w:rPr>
                <w:rFonts w:ascii="Verdana" w:hAnsi="Verdana"/>
                <w:color w:val="365F91"/>
                <w:sz w:val="18"/>
                <w:szCs w:val="18"/>
              </w:rPr>
              <w:t>222</w:t>
            </w:r>
            <w:r>
              <w:rPr>
                <w:rFonts w:ascii="Verdana" w:hAnsi="Verdana"/>
                <w:color w:val="365F91"/>
                <w:sz w:val="18"/>
                <w:szCs w:val="18"/>
              </w:rPr>
              <w:t>,</w:t>
            </w:r>
            <w:r w:rsidRPr="00B736A4">
              <w:rPr>
                <w:rFonts w:ascii="Verdana" w:hAnsi="Verdana"/>
                <w:color w:val="365F91"/>
                <w:sz w:val="18"/>
                <w:szCs w:val="18"/>
              </w:rPr>
              <w:t>41</w:t>
            </w:r>
          </w:p>
        </w:tc>
        <w:tc>
          <w:tcPr>
            <w:tcW w:w="937" w:type="pct"/>
            <w:tcBorders>
              <w:top w:val="nil"/>
              <w:bottom w:val="nil"/>
            </w:tcBorders>
            <w:shd w:val="clear" w:color="FFFFFF" w:fill="FFFFFF"/>
            <w:noWrap/>
            <w:tcMar>
              <w:right w:w="0" w:type="dxa"/>
            </w:tcMar>
            <w:vAlign w:val="center"/>
          </w:tcPr>
          <w:p w14:paraId="7B5E2EA3" w14:textId="65FC1239" w:rsidR="003C1786" w:rsidRPr="007A722C" w:rsidRDefault="003C1786" w:rsidP="003C1786">
            <w:pPr>
              <w:tabs>
                <w:tab w:val="left" w:pos="1308"/>
              </w:tabs>
              <w:ind w:right="794"/>
              <w:jc w:val="right"/>
              <w:rPr>
                <w:rFonts w:ascii="Verdana" w:hAnsi="Verdana"/>
                <w:color w:val="365F91"/>
                <w:sz w:val="18"/>
                <w:szCs w:val="18"/>
              </w:rPr>
            </w:pPr>
            <w:r w:rsidRPr="00BB15BC">
              <w:rPr>
                <w:rFonts w:ascii="Verdana" w:hAnsi="Verdana"/>
                <w:color w:val="365F91"/>
                <w:sz w:val="18"/>
                <w:szCs w:val="18"/>
              </w:rPr>
              <w:t>1</w:t>
            </w:r>
            <w:r>
              <w:rPr>
                <w:rFonts w:ascii="Verdana" w:hAnsi="Verdana"/>
                <w:color w:val="365F91"/>
                <w:sz w:val="18"/>
                <w:szCs w:val="18"/>
              </w:rPr>
              <w:t>,</w:t>
            </w:r>
            <w:r w:rsidRPr="00BB15BC">
              <w:rPr>
                <w:rFonts w:ascii="Verdana" w:hAnsi="Verdana"/>
                <w:color w:val="365F91"/>
                <w:sz w:val="18"/>
                <w:szCs w:val="18"/>
              </w:rPr>
              <w:t>3</w:t>
            </w:r>
          </w:p>
        </w:tc>
        <w:tc>
          <w:tcPr>
            <w:tcW w:w="1359" w:type="pct"/>
            <w:gridSpan w:val="2"/>
            <w:tcBorders>
              <w:top w:val="nil"/>
              <w:bottom w:val="nil"/>
              <w:right w:val="nil"/>
            </w:tcBorders>
            <w:shd w:val="clear" w:color="FFFFFF" w:fill="FFFFFF"/>
            <w:noWrap/>
            <w:vAlign w:val="center"/>
          </w:tcPr>
          <w:p w14:paraId="673029C9" w14:textId="38FEC204" w:rsidR="003C1786" w:rsidRPr="007A722C" w:rsidRDefault="003C1786" w:rsidP="003C1786">
            <w:pPr>
              <w:tabs>
                <w:tab w:val="left" w:pos="1308"/>
              </w:tabs>
              <w:ind w:right="1021"/>
              <w:jc w:val="right"/>
              <w:rPr>
                <w:rFonts w:ascii="Verdana" w:hAnsi="Verdana"/>
                <w:color w:val="365F91"/>
                <w:sz w:val="18"/>
                <w:szCs w:val="18"/>
              </w:rPr>
            </w:pPr>
            <w:r w:rsidRPr="00BB15BC">
              <w:rPr>
                <w:rFonts w:ascii="Verdana" w:hAnsi="Verdana"/>
                <w:color w:val="365F91"/>
                <w:sz w:val="18"/>
                <w:szCs w:val="18"/>
              </w:rPr>
              <w:t>1</w:t>
            </w:r>
            <w:r>
              <w:rPr>
                <w:rFonts w:ascii="Verdana" w:hAnsi="Verdana"/>
                <w:color w:val="365F91"/>
                <w:sz w:val="18"/>
                <w:szCs w:val="18"/>
              </w:rPr>
              <w:t>,</w:t>
            </w:r>
            <w:r w:rsidRPr="00BB15BC">
              <w:rPr>
                <w:rFonts w:ascii="Verdana" w:hAnsi="Verdana"/>
                <w:color w:val="365F91"/>
                <w:sz w:val="18"/>
                <w:szCs w:val="18"/>
              </w:rPr>
              <w:t>4</w:t>
            </w:r>
          </w:p>
        </w:tc>
      </w:tr>
      <w:tr w:rsidR="003C1786" w:rsidRPr="000E24B1" w14:paraId="64C83AD2" w14:textId="77777777" w:rsidTr="00AF6356">
        <w:trPr>
          <w:trHeight w:val="397"/>
          <w:jc w:val="center"/>
        </w:trPr>
        <w:tc>
          <w:tcPr>
            <w:tcW w:w="1872" w:type="pct"/>
            <w:tcBorders>
              <w:top w:val="nil"/>
              <w:left w:val="nil"/>
              <w:bottom w:val="nil"/>
            </w:tcBorders>
            <w:shd w:val="clear" w:color="FFFFFF" w:fill="FFFFFF"/>
            <w:noWrap/>
            <w:vAlign w:val="center"/>
            <w:hideMark/>
          </w:tcPr>
          <w:p w14:paraId="05FC8399" w14:textId="77777777" w:rsidR="003C1786" w:rsidRPr="004F677C" w:rsidRDefault="003C1786" w:rsidP="003C1786">
            <w:pPr>
              <w:ind w:left="2"/>
              <w:rPr>
                <w:rFonts w:ascii="Verdana" w:eastAsia="Times New Roman" w:hAnsi="Verdana" w:cs="Arial"/>
                <w:color w:val="365F91"/>
                <w:sz w:val="18"/>
                <w:szCs w:val="18"/>
              </w:rPr>
            </w:pPr>
            <w:r>
              <w:rPr>
                <w:rFonts w:ascii="Verdana" w:eastAsia="Times New Roman" w:hAnsi="Verdana" w:cs="Arial"/>
                <w:color w:val="365F91"/>
                <w:sz w:val="18"/>
                <w:szCs w:val="18"/>
              </w:rPr>
              <w:t>Non energy industrial goods</w:t>
            </w:r>
          </w:p>
        </w:tc>
        <w:tc>
          <w:tcPr>
            <w:tcW w:w="832" w:type="pct"/>
            <w:tcBorders>
              <w:top w:val="nil"/>
              <w:bottom w:val="nil"/>
            </w:tcBorders>
            <w:shd w:val="clear" w:color="FFFFFF" w:fill="FFFFFF"/>
            <w:noWrap/>
            <w:vAlign w:val="center"/>
            <w:hideMark/>
          </w:tcPr>
          <w:p w14:paraId="435125ED" w14:textId="52E30BFC" w:rsidR="003C1786" w:rsidRPr="00B736A4" w:rsidRDefault="003C1786" w:rsidP="003C1786">
            <w:pPr>
              <w:tabs>
                <w:tab w:val="left" w:pos="1308"/>
              </w:tabs>
              <w:ind w:right="392"/>
              <w:jc w:val="right"/>
              <w:rPr>
                <w:rFonts w:ascii="Verdana" w:hAnsi="Verdana"/>
                <w:color w:val="365F91"/>
                <w:sz w:val="18"/>
                <w:szCs w:val="18"/>
              </w:rPr>
            </w:pPr>
            <w:r w:rsidRPr="00B736A4">
              <w:rPr>
                <w:rFonts w:ascii="Verdana" w:hAnsi="Verdana"/>
                <w:color w:val="365F91"/>
                <w:sz w:val="18"/>
                <w:szCs w:val="18"/>
              </w:rPr>
              <w:t>231</w:t>
            </w:r>
            <w:r>
              <w:rPr>
                <w:rFonts w:ascii="Verdana" w:hAnsi="Verdana"/>
                <w:color w:val="365F91"/>
                <w:sz w:val="18"/>
                <w:szCs w:val="18"/>
              </w:rPr>
              <w:t>,</w:t>
            </w:r>
            <w:r w:rsidRPr="00B736A4">
              <w:rPr>
                <w:rFonts w:ascii="Verdana" w:hAnsi="Verdana"/>
                <w:color w:val="365F91"/>
                <w:sz w:val="18"/>
                <w:szCs w:val="18"/>
              </w:rPr>
              <w:t>47</w:t>
            </w:r>
          </w:p>
        </w:tc>
        <w:tc>
          <w:tcPr>
            <w:tcW w:w="937" w:type="pct"/>
            <w:tcBorders>
              <w:top w:val="nil"/>
              <w:bottom w:val="nil"/>
            </w:tcBorders>
            <w:shd w:val="clear" w:color="FFFFFF" w:fill="FFFFFF"/>
            <w:noWrap/>
            <w:tcMar>
              <w:right w:w="0" w:type="dxa"/>
            </w:tcMar>
            <w:vAlign w:val="center"/>
          </w:tcPr>
          <w:p w14:paraId="1B28C86C" w14:textId="7EC38524" w:rsidR="003C1786" w:rsidRPr="007A722C" w:rsidRDefault="003C1786" w:rsidP="003C1786">
            <w:pPr>
              <w:tabs>
                <w:tab w:val="left" w:pos="1308"/>
              </w:tabs>
              <w:ind w:right="794"/>
              <w:jc w:val="right"/>
              <w:rPr>
                <w:rFonts w:ascii="Verdana" w:hAnsi="Verdana"/>
                <w:color w:val="365F91"/>
                <w:sz w:val="18"/>
                <w:szCs w:val="18"/>
              </w:rPr>
            </w:pPr>
            <w:r w:rsidRPr="00BB15BC">
              <w:rPr>
                <w:rFonts w:ascii="Verdana" w:hAnsi="Verdana"/>
                <w:color w:val="365F91"/>
                <w:sz w:val="18"/>
                <w:szCs w:val="18"/>
              </w:rPr>
              <w:t>-0</w:t>
            </w:r>
            <w:r>
              <w:rPr>
                <w:rFonts w:ascii="Verdana" w:hAnsi="Verdana"/>
                <w:color w:val="365F91"/>
                <w:sz w:val="18"/>
                <w:szCs w:val="18"/>
              </w:rPr>
              <w:t>,</w:t>
            </w:r>
            <w:r w:rsidRPr="00BB15BC">
              <w:rPr>
                <w:rFonts w:ascii="Verdana" w:hAnsi="Verdana"/>
                <w:color w:val="365F91"/>
                <w:sz w:val="18"/>
                <w:szCs w:val="18"/>
              </w:rPr>
              <w:t>2</w:t>
            </w:r>
          </w:p>
        </w:tc>
        <w:tc>
          <w:tcPr>
            <w:tcW w:w="1359" w:type="pct"/>
            <w:gridSpan w:val="2"/>
            <w:tcBorders>
              <w:top w:val="nil"/>
              <w:bottom w:val="nil"/>
              <w:right w:val="nil"/>
            </w:tcBorders>
            <w:shd w:val="clear" w:color="FFFFFF" w:fill="FFFFFF"/>
            <w:noWrap/>
            <w:vAlign w:val="center"/>
          </w:tcPr>
          <w:p w14:paraId="069D8A1D" w14:textId="48FFA851" w:rsidR="003C1786" w:rsidRPr="007A722C" w:rsidRDefault="003C1786" w:rsidP="003C1786">
            <w:pPr>
              <w:tabs>
                <w:tab w:val="left" w:pos="1308"/>
              </w:tabs>
              <w:ind w:right="1021"/>
              <w:jc w:val="right"/>
              <w:rPr>
                <w:rFonts w:ascii="Verdana" w:hAnsi="Verdana"/>
                <w:color w:val="365F91"/>
                <w:sz w:val="18"/>
                <w:szCs w:val="18"/>
              </w:rPr>
            </w:pPr>
            <w:r w:rsidRPr="00BB15BC">
              <w:rPr>
                <w:rFonts w:ascii="Verdana" w:hAnsi="Verdana"/>
                <w:color w:val="365F91"/>
                <w:sz w:val="18"/>
                <w:szCs w:val="18"/>
              </w:rPr>
              <w:t>0</w:t>
            </w:r>
            <w:r>
              <w:rPr>
                <w:rFonts w:ascii="Verdana" w:hAnsi="Verdana"/>
                <w:color w:val="365F91"/>
                <w:sz w:val="18"/>
                <w:szCs w:val="18"/>
              </w:rPr>
              <w:t>,</w:t>
            </w:r>
            <w:r w:rsidRPr="00BB15BC">
              <w:rPr>
                <w:rFonts w:ascii="Verdana" w:hAnsi="Verdana"/>
                <w:color w:val="365F91"/>
                <w:sz w:val="18"/>
                <w:szCs w:val="18"/>
              </w:rPr>
              <w:t>3</w:t>
            </w:r>
          </w:p>
        </w:tc>
      </w:tr>
      <w:tr w:rsidR="003C1786" w:rsidRPr="000E24B1" w14:paraId="11D172F0" w14:textId="77777777" w:rsidTr="00AF6356">
        <w:trPr>
          <w:trHeight w:val="397"/>
          <w:jc w:val="center"/>
        </w:trPr>
        <w:tc>
          <w:tcPr>
            <w:tcW w:w="1872" w:type="pct"/>
            <w:tcBorders>
              <w:top w:val="nil"/>
              <w:left w:val="nil"/>
              <w:bottom w:val="single" w:sz="4" w:space="0" w:color="366092"/>
            </w:tcBorders>
            <w:shd w:val="clear" w:color="FFFFFF" w:fill="FFFFFF"/>
            <w:noWrap/>
            <w:vAlign w:val="center"/>
            <w:hideMark/>
          </w:tcPr>
          <w:p w14:paraId="708584A5" w14:textId="77777777" w:rsidR="003C1786" w:rsidRPr="004F677C" w:rsidRDefault="003C1786" w:rsidP="003C1786">
            <w:pPr>
              <w:ind w:left="2"/>
              <w:rPr>
                <w:rFonts w:ascii="Verdana" w:eastAsia="Times New Roman" w:hAnsi="Verdana" w:cs="Arial"/>
                <w:color w:val="365F91"/>
                <w:sz w:val="18"/>
                <w:szCs w:val="18"/>
              </w:rPr>
            </w:pPr>
            <w:r>
              <w:rPr>
                <w:rFonts w:ascii="Verdana" w:eastAsia="Times New Roman" w:hAnsi="Verdana" w:cs="Arial"/>
                <w:color w:val="365F91"/>
                <w:sz w:val="18"/>
                <w:szCs w:val="18"/>
              </w:rPr>
              <w:t>Services</w:t>
            </w:r>
          </w:p>
        </w:tc>
        <w:tc>
          <w:tcPr>
            <w:tcW w:w="832" w:type="pct"/>
            <w:tcBorders>
              <w:top w:val="nil"/>
              <w:bottom w:val="single" w:sz="4" w:space="0" w:color="366092"/>
            </w:tcBorders>
            <w:shd w:val="clear" w:color="FFFFFF" w:fill="FFFFFF"/>
            <w:noWrap/>
            <w:vAlign w:val="center"/>
            <w:hideMark/>
          </w:tcPr>
          <w:p w14:paraId="4D3E9F88" w14:textId="67801287" w:rsidR="003C1786" w:rsidRPr="00B736A4" w:rsidRDefault="003C1786" w:rsidP="003C1786">
            <w:pPr>
              <w:tabs>
                <w:tab w:val="left" w:pos="1308"/>
              </w:tabs>
              <w:ind w:right="392"/>
              <w:jc w:val="right"/>
              <w:rPr>
                <w:rFonts w:ascii="Verdana" w:hAnsi="Verdana"/>
                <w:color w:val="365F91"/>
                <w:sz w:val="18"/>
                <w:szCs w:val="18"/>
              </w:rPr>
            </w:pPr>
            <w:r w:rsidRPr="00B736A4">
              <w:rPr>
                <w:rFonts w:ascii="Verdana" w:hAnsi="Verdana"/>
                <w:color w:val="365F91"/>
                <w:sz w:val="18"/>
                <w:szCs w:val="18"/>
              </w:rPr>
              <w:t>444</w:t>
            </w:r>
            <w:r>
              <w:rPr>
                <w:rFonts w:ascii="Verdana" w:hAnsi="Verdana"/>
                <w:color w:val="365F91"/>
                <w:sz w:val="18"/>
                <w:szCs w:val="18"/>
              </w:rPr>
              <w:t>,</w:t>
            </w:r>
            <w:r w:rsidRPr="00B736A4">
              <w:rPr>
                <w:rFonts w:ascii="Verdana" w:hAnsi="Verdana"/>
                <w:color w:val="365F91"/>
                <w:sz w:val="18"/>
                <w:szCs w:val="18"/>
              </w:rPr>
              <w:t>42</w:t>
            </w:r>
          </w:p>
        </w:tc>
        <w:tc>
          <w:tcPr>
            <w:tcW w:w="937" w:type="pct"/>
            <w:tcBorders>
              <w:top w:val="nil"/>
              <w:bottom w:val="single" w:sz="4" w:space="0" w:color="366092"/>
            </w:tcBorders>
            <w:shd w:val="clear" w:color="FFFFFF" w:fill="FFFFFF"/>
            <w:noWrap/>
            <w:tcMar>
              <w:right w:w="0" w:type="dxa"/>
            </w:tcMar>
            <w:vAlign w:val="center"/>
          </w:tcPr>
          <w:p w14:paraId="767B0C54" w14:textId="0DF5107A" w:rsidR="003C1786" w:rsidRPr="007A722C" w:rsidRDefault="003C1786" w:rsidP="003C1786">
            <w:pPr>
              <w:tabs>
                <w:tab w:val="left" w:pos="1308"/>
              </w:tabs>
              <w:ind w:right="794"/>
              <w:jc w:val="right"/>
              <w:rPr>
                <w:rFonts w:ascii="Verdana" w:hAnsi="Verdana"/>
                <w:color w:val="365F91"/>
                <w:sz w:val="18"/>
                <w:szCs w:val="18"/>
              </w:rPr>
            </w:pPr>
            <w:r w:rsidRPr="00BB15BC">
              <w:rPr>
                <w:rFonts w:ascii="Verdana" w:hAnsi="Verdana"/>
                <w:color w:val="365F91"/>
                <w:sz w:val="18"/>
                <w:szCs w:val="18"/>
              </w:rPr>
              <w:t>4</w:t>
            </w:r>
            <w:r>
              <w:rPr>
                <w:rFonts w:ascii="Verdana" w:hAnsi="Verdana"/>
                <w:color w:val="365F91"/>
                <w:sz w:val="18"/>
                <w:szCs w:val="18"/>
              </w:rPr>
              <w:t>,</w:t>
            </w:r>
            <w:r w:rsidRPr="00BB15BC">
              <w:rPr>
                <w:rFonts w:ascii="Verdana" w:hAnsi="Verdana"/>
                <w:color w:val="365F91"/>
                <w:sz w:val="18"/>
                <w:szCs w:val="18"/>
              </w:rPr>
              <w:t>7</w:t>
            </w:r>
          </w:p>
        </w:tc>
        <w:tc>
          <w:tcPr>
            <w:tcW w:w="1359" w:type="pct"/>
            <w:gridSpan w:val="2"/>
            <w:tcBorders>
              <w:top w:val="nil"/>
              <w:bottom w:val="single" w:sz="4" w:space="0" w:color="366092"/>
              <w:right w:val="nil"/>
            </w:tcBorders>
            <w:shd w:val="clear" w:color="FFFFFF" w:fill="FFFFFF"/>
            <w:noWrap/>
            <w:vAlign w:val="center"/>
          </w:tcPr>
          <w:p w14:paraId="6994F03E" w14:textId="61D0F84E" w:rsidR="003C1786" w:rsidRPr="007A722C" w:rsidRDefault="003C1786" w:rsidP="003C1786">
            <w:pPr>
              <w:tabs>
                <w:tab w:val="left" w:pos="1308"/>
              </w:tabs>
              <w:ind w:right="1021"/>
              <w:jc w:val="right"/>
              <w:rPr>
                <w:rFonts w:ascii="Verdana" w:hAnsi="Verdana"/>
                <w:color w:val="365F91"/>
                <w:sz w:val="18"/>
                <w:szCs w:val="18"/>
              </w:rPr>
            </w:pPr>
            <w:r w:rsidRPr="00BB15BC">
              <w:rPr>
                <w:rFonts w:ascii="Verdana" w:hAnsi="Verdana"/>
                <w:color w:val="365F91"/>
                <w:sz w:val="18"/>
                <w:szCs w:val="18"/>
              </w:rPr>
              <w:t>1</w:t>
            </w:r>
            <w:r>
              <w:rPr>
                <w:rFonts w:ascii="Verdana" w:hAnsi="Verdana"/>
                <w:color w:val="365F91"/>
                <w:sz w:val="18"/>
                <w:szCs w:val="18"/>
              </w:rPr>
              <w:t>,</w:t>
            </w:r>
            <w:r w:rsidRPr="00BB15BC">
              <w:rPr>
                <w:rFonts w:ascii="Verdana" w:hAnsi="Verdana"/>
                <w:color w:val="365F91"/>
                <w:sz w:val="18"/>
                <w:szCs w:val="18"/>
              </w:rPr>
              <w:t>7</w:t>
            </w:r>
          </w:p>
        </w:tc>
      </w:tr>
      <w:tr w:rsidR="005D78E6" w:rsidRPr="00496951" w14:paraId="61143648" w14:textId="77777777" w:rsidTr="00B736A4">
        <w:trPr>
          <w:gridAfter w:val="1"/>
          <w:wAfter w:w="28" w:type="pct"/>
          <w:trHeight w:val="375"/>
          <w:jc w:val="center"/>
        </w:trPr>
        <w:tc>
          <w:tcPr>
            <w:tcW w:w="4972" w:type="pct"/>
            <w:gridSpan w:val="4"/>
            <w:tcBorders>
              <w:top w:val="single" w:sz="4" w:space="0" w:color="366092"/>
            </w:tcBorders>
            <w:shd w:val="clear" w:color="FFFFFF" w:fill="FFFFFF"/>
            <w:noWrap/>
            <w:vAlign w:val="center"/>
          </w:tcPr>
          <w:p w14:paraId="2B3310B2" w14:textId="77777777" w:rsidR="005D78E6" w:rsidRPr="00BD7CCC" w:rsidRDefault="005D78E6" w:rsidP="005D78E6">
            <w:pPr>
              <w:ind w:right="907"/>
              <w:rPr>
                <w:rFonts w:ascii="Verdana" w:eastAsia="Times New Roman" w:hAnsi="Verdana" w:cs="Arial"/>
                <w:b/>
                <w:bCs/>
                <w:color w:val="365F91"/>
                <w:sz w:val="18"/>
                <w:szCs w:val="18"/>
              </w:rPr>
            </w:pPr>
            <w:r w:rsidRPr="00A0172D">
              <w:rPr>
                <w:rFonts w:ascii="Verdana" w:eastAsia="Times New Roman" w:hAnsi="Verdana" w:cs="Arial"/>
                <w:bCs/>
                <w:color w:val="365F91"/>
                <w:sz w:val="16"/>
                <w:szCs w:val="16"/>
              </w:rPr>
              <w:t xml:space="preserve">Note: </w:t>
            </w:r>
            <w:r>
              <w:rPr>
                <w:rFonts w:ascii="Verdana" w:eastAsia="Times New Roman" w:hAnsi="Verdana" w:cs="Arial"/>
                <w:bCs/>
                <w:color w:val="365F91"/>
                <w:sz w:val="16"/>
                <w:szCs w:val="16"/>
              </w:rPr>
              <w:t>The weights of</w:t>
            </w:r>
            <w:r w:rsidRPr="00A0172D">
              <w:rPr>
                <w:rFonts w:ascii="Verdana" w:eastAsia="Times New Roman" w:hAnsi="Verdana" w:cs="Arial"/>
                <w:bCs/>
                <w:color w:val="365F91"/>
                <w:sz w:val="16"/>
                <w:szCs w:val="16"/>
              </w:rPr>
              <w:t xml:space="preserve"> the categories </w:t>
            </w:r>
            <w:r>
              <w:rPr>
                <w:rFonts w:ascii="Verdana" w:eastAsia="Times New Roman" w:hAnsi="Verdana" w:cs="Arial"/>
                <w:bCs/>
                <w:color w:val="365F91"/>
                <w:sz w:val="16"/>
                <w:szCs w:val="16"/>
              </w:rPr>
              <w:t xml:space="preserve">are calculated </w:t>
            </w:r>
            <w:r w:rsidRPr="00A0172D">
              <w:rPr>
                <w:rFonts w:ascii="Verdana" w:eastAsia="Times New Roman" w:hAnsi="Verdana" w:cs="Arial"/>
                <w:bCs/>
                <w:color w:val="365F91"/>
                <w:sz w:val="16"/>
                <w:szCs w:val="16"/>
              </w:rPr>
              <w:t xml:space="preserve">with infinite decimal figures and rounded up to two decimals when published. Figures </w:t>
            </w:r>
            <w:r>
              <w:rPr>
                <w:rFonts w:ascii="Verdana" w:eastAsia="Times New Roman" w:hAnsi="Verdana" w:cs="Arial"/>
                <w:bCs/>
                <w:color w:val="365F91"/>
                <w:sz w:val="16"/>
                <w:szCs w:val="16"/>
              </w:rPr>
              <w:t>do not add up to the total due to rounding.</w:t>
            </w:r>
          </w:p>
        </w:tc>
      </w:tr>
    </w:tbl>
    <w:p w14:paraId="5F735C25" w14:textId="77777777" w:rsidR="00496951" w:rsidRDefault="008339CF" w:rsidP="00300B86">
      <w:pPr>
        <w:tabs>
          <w:tab w:val="left" w:pos="1080"/>
          <w:tab w:val="left" w:pos="6840"/>
        </w:tabs>
        <w:jc w:val="both"/>
        <w:rPr>
          <w:rFonts w:ascii="Verdana" w:eastAsia="Malgun Gothic" w:hAnsi="Verdana" w:cs="Arial"/>
          <w:b/>
          <w:sz w:val="18"/>
          <w:szCs w:val="18"/>
          <w:u w:val="single"/>
        </w:rPr>
      </w:pPr>
      <w:r>
        <w:rPr>
          <w:rFonts w:ascii="Verdana" w:eastAsia="Malgun Gothic" w:hAnsi="Verdana" w:cs="Arial"/>
          <w:b/>
          <w:sz w:val="18"/>
          <w:szCs w:val="18"/>
          <w:u w:val="single"/>
        </w:rPr>
        <w:br w:type="page"/>
      </w:r>
    </w:p>
    <w:p w14:paraId="6D4BFCED" w14:textId="77777777" w:rsidR="00B7227E" w:rsidRPr="00EF71F3" w:rsidRDefault="00B7227E" w:rsidP="00496951">
      <w:pPr>
        <w:tabs>
          <w:tab w:val="left" w:pos="1080"/>
          <w:tab w:val="left" w:pos="6840"/>
        </w:tabs>
        <w:jc w:val="center"/>
        <w:rPr>
          <w:rFonts w:ascii="Verdana" w:eastAsia="Malgun Gothic" w:hAnsi="Verdana" w:cs="Arial"/>
          <w:b/>
          <w:u w:val="single"/>
        </w:rPr>
      </w:pPr>
      <w:r>
        <w:rPr>
          <w:rFonts w:ascii="Verdana" w:eastAsia="Malgun Gothic" w:hAnsi="Verdana" w:cs="Arial"/>
          <w:b/>
          <w:u w:val="single"/>
        </w:rPr>
        <w:lastRenderedPageBreak/>
        <w:t>METHODOLOGICAL</w:t>
      </w:r>
      <w:r w:rsidRPr="00EF71F3">
        <w:rPr>
          <w:rFonts w:ascii="Verdana" w:eastAsia="Malgun Gothic" w:hAnsi="Verdana" w:cs="Arial"/>
          <w:b/>
          <w:u w:val="single"/>
        </w:rPr>
        <w:t xml:space="preserve"> </w:t>
      </w:r>
      <w:r>
        <w:rPr>
          <w:rFonts w:ascii="Verdana" w:eastAsia="Malgun Gothic" w:hAnsi="Verdana" w:cs="Arial"/>
          <w:b/>
          <w:u w:val="single"/>
        </w:rPr>
        <w:t>NOTES</w:t>
      </w:r>
    </w:p>
    <w:p w14:paraId="17331459" w14:textId="77777777" w:rsidR="00B7227E" w:rsidRPr="00EF71F3" w:rsidRDefault="00B7227E" w:rsidP="00B7227E">
      <w:pPr>
        <w:tabs>
          <w:tab w:val="left" w:pos="1080"/>
          <w:tab w:val="left" w:pos="6840"/>
        </w:tabs>
        <w:jc w:val="both"/>
        <w:rPr>
          <w:rFonts w:ascii="Verdana" w:eastAsia="Malgun Gothic" w:hAnsi="Verdana" w:cs="Arial"/>
          <w:b/>
          <w:sz w:val="20"/>
          <w:szCs w:val="20"/>
          <w:u w:val="single"/>
        </w:rPr>
      </w:pPr>
    </w:p>
    <w:p w14:paraId="1DA064BD" w14:textId="77777777" w:rsidR="00B7227E" w:rsidRPr="00EF71F3" w:rsidRDefault="00B7227E" w:rsidP="00B7227E">
      <w:pPr>
        <w:tabs>
          <w:tab w:val="left" w:pos="1080"/>
          <w:tab w:val="left" w:pos="6840"/>
        </w:tabs>
        <w:jc w:val="both"/>
        <w:rPr>
          <w:rFonts w:ascii="Verdana" w:eastAsia="Malgun Gothic" w:hAnsi="Verdana" w:cs="Arial"/>
          <w:b/>
          <w:sz w:val="18"/>
          <w:szCs w:val="18"/>
          <w:u w:val="single"/>
        </w:rPr>
      </w:pPr>
      <w:r>
        <w:rPr>
          <w:rFonts w:ascii="Verdana" w:eastAsia="Malgun Gothic" w:hAnsi="Verdana" w:cs="Arial"/>
          <w:b/>
          <w:sz w:val="18"/>
          <w:szCs w:val="18"/>
          <w:u w:val="single"/>
        </w:rPr>
        <w:t>Definitions</w:t>
      </w:r>
    </w:p>
    <w:p w14:paraId="2D45684C" w14:textId="77777777" w:rsidR="00B7227E" w:rsidRPr="00EF71F3" w:rsidRDefault="00B7227E" w:rsidP="00B7227E">
      <w:pPr>
        <w:tabs>
          <w:tab w:val="left" w:pos="1080"/>
          <w:tab w:val="left" w:pos="6840"/>
        </w:tabs>
        <w:jc w:val="both"/>
        <w:rPr>
          <w:rFonts w:ascii="Verdana" w:eastAsia="Malgun Gothic" w:hAnsi="Verdana" w:cs="Arial"/>
          <w:sz w:val="20"/>
          <w:szCs w:val="20"/>
        </w:rPr>
      </w:pPr>
    </w:p>
    <w:p w14:paraId="5ABF09F1" w14:textId="77777777" w:rsidR="00B7227E" w:rsidRPr="001E07AC" w:rsidRDefault="00B7227E" w:rsidP="00B7227E">
      <w:pPr>
        <w:tabs>
          <w:tab w:val="left" w:pos="945"/>
        </w:tabs>
        <w:jc w:val="both"/>
        <w:rPr>
          <w:rFonts w:ascii="Verdana" w:eastAsia="Malgun Gothic" w:hAnsi="Verdana" w:cs="Arial"/>
          <w:sz w:val="18"/>
          <w:szCs w:val="18"/>
          <w:lang w:val="en-GB"/>
        </w:rPr>
      </w:pPr>
      <w:r>
        <w:rPr>
          <w:rFonts w:ascii="Verdana" w:eastAsia="Malgun Gothic" w:hAnsi="Verdana" w:cs="Arial"/>
          <w:sz w:val="18"/>
          <w:szCs w:val="18"/>
          <w:lang w:val="en-GB"/>
        </w:rPr>
        <w:t>The</w:t>
      </w:r>
      <w:r w:rsidRPr="005A63DC">
        <w:rPr>
          <w:rFonts w:ascii="Verdana" w:eastAsia="Malgun Gothic" w:hAnsi="Verdana" w:cs="Arial"/>
          <w:sz w:val="18"/>
          <w:szCs w:val="18"/>
        </w:rPr>
        <w:t xml:space="preserve"> </w:t>
      </w:r>
      <w:r w:rsidRPr="005A63DC">
        <w:rPr>
          <w:rFonts w:ascii="Verdana" w:eastAsia="Malgun Gothic" w:hAnsi="Verdana" w:cs="Arial"/>
          <w:b/>
          <w:sz w:val="18"/>
          <w:szCs w:val="18"/>
        </w:rPr>
        <w:t>Harmonized Price Index (HICP)</w:t>
      </w:r>
      <w:r w:rsidRPr="005A63DC">
        <w:rPr>
          <w:rFonts w:ascii="Verdana" w:eastAsia="Malgun Gothic" w:hAnsi="Verdana" w:cs="Arial"/>
          <w:sz w:val="18"/>
          <w:szCs w:val="18"/>
        </w:rPr>
        <w:t xml:space="preserve"> </w:t>
      </w:r>
      <w:r w:rsidRPr="005A63DC">
        <w:rPr>
          <w:rFonts w:ascii="Verdana" w:eastAsia="Malgun Gothic" w:hAnsi="Verdana" w:cs="Arial"/>
          <w:sz w:val="18"/>
          <w:szCs w:val="18"/>
          <w:lang w:val="en-GB"/>
        </w:rPr>
        <w:t>an economic indicator constructed to measure the changes of prices over time of consumer goods and services acquired, used or paid by households</w:t>
      </w:r>
      <w:r>
        <w:rPr>
          <w:rFonts w:ascii="Verdana" w:eastAsia="Malgun Gothic" w:hAnsi="Verdana" w:cs="Arial"/>
          <w:sz w:val="18"/>
          <w:szCs w:val="18"/>
          <w:lang w:val="en-GB"/>
        </w:rPr>
        <w:t xml:space="preserve"> and tourists </w:t>
      </w:r>
      <w:r w:rsidRPr="005A63DC">
        <w:rPr>
          <w:rFonts w:ascii="Verdana" w:eastAsia="Malgun Gothic" w:hAnsi="Verdana" w:cs="Arial"/>
          <w:sz w:val="18"/>
          <w:szCs w:val="18"/>
        </w:rPr>
        <w:t>within</w:t>
      </w:r>
      <w:r>
        <w:rPr>
          <w:rFonts w:ascii="Verdana" w:eastAsia="Malgun Gothic" w:hAnsi="Verdana" w:cs="Arial"/>
          <w:sz w:val="18"/>
          <w:szCs w:val="18"/>
        </w:rPr>
        <w:t xml:space="preserve"> the economic territory of the country. </w:t>
      </w:r>
      <w:r w:rsidRPr="001E07AC">
        <w:rPr>
          <w:rFonts w:ascii="Verdana" w:eastAsia="Malgun Gothic" w:hAnsi="Verdana" w:cs="Arial"/>
          <w:sz w:val="18"/>
          <w:szCs w:val="18"/>
          <w:lang w:val="en-GB"/>
        </w:rPr>
        <w:t>The HICP is calculated according to a harmonized approach and methodology laid down by a series of regulations of EU.</w:t>
      </w:r>
    </w:p>
    <w:p w14:paraId="6DED56B0" w14:textId="77777777" w:rsidR="00B7227E" w:rsidRDefault="00B7227E" w:rsidP="00B7227E">
      <w:pPr>
        <w:tabs>
          <w:tab w:val="left" w:pos="945"/>
        </w:tabs>
        <w:jc w:val="both"/>
        <w:rPr>
          <w:rFonts w:ascii="Verdana" w:eastAsia="Malgun Gothic" w:hAnsi="Verdana" w:cs="Arial"/>
          <w:sz w:val="18"/>
          <w:szCs w:val="18"/>
        </w:rPr>
      </w:pPr>
    </w:p>
    <w:p w14:paraId="45238C9B" w14:textId="77777777" w:rsidR="00B7227E" w:rsidRPr="005E42D5" w:rsidRDefault="00B7227E" w:rsidP="00B7227E">
      <w:pPr>
        <w:tabs>
          <w:tab w:val="left" w:pos="945"/>
        </w:tabs>
        <w:jc w:val="both"/>
        <w:rPr>
          <w:rFonts w:ascii="Verdana" w:eastAsia="Malgun Gothic" w:hAnsi="Verdana" w:cs="Arial"/>
          <w:sz w:val="18"/>
          <w:szCs w:val="18"/>
        </w:rPr>
      </w:pPr>
      <w:r w:rsidRPr="005E42D5">
        <w:rPr>
          <w:rFonts w:ascii="Verdana" w:eastAsia="Malgun Gothic" w:hAnsi="Verdana" w:cs="Arial"/>
          <w:sz w:val="18"/>
          <w:szCs w:val="18"/>
        </w:rPr>
        <w:t xml:space="preserve">The </w:t>
      </w:r>
      <w:r>
        <w:rPr>
          <w:rFonts w:ascii="Verdana" w:eastAsia="Malgun Gothic" w:hAnsi="Verdana" w:cs="Arial"/>
          <w:b/>
          <w:sz w:val="18"/>
          <w:szCs w:val="18"/>
        </w:rPr>
        <w:t>Annual change</w:t>
      </w:r>
      <w:r w:rsidRPr="005E42D5">
        <w:rPr>
          <w:rFonts w:ascii="Verdana" w:eastAsia="Malgun Gothic" w:hAnsi="Verdana" w:cs="Arial"/>
          <w:sz w:val="18"/>
          <w:szCs w:val="18"/>
        </w:rPr>
        <w:t xml:space="preserve"> shows the change of the </w:t>
      </w:r>
      <w:r>
        <w:rPr>
          <w:rFonts w:ascii="Verdana" w:eastAsia="Malgun Gothic" w:hAnsi="Verdana" w:cs="Arial"/>
          <w:sz w:val="18"/>
          <w:szCs w:val="18"/>
        </w:rPr>
        <w:t>HICP</w:t>
      </w:r>
      <w:r w:rsidRPr="005E42D5">
        <w:rPr>
          <w:rFonts w:ascii="Verdana" w:eastAsia="Malgun Gothic" w:hAnsi="Verdana" w:cs="Arial"/>
          <w:sz w:val="18"/>
          <w:szCs w:val="18"/>
        </w:rPr>
        <w:t xml:space="preserve"> when compared with the index of the corresponding month of the previous year.</w:t>
      </w:r>
    </w:p>
    <w:p w14:paraId="7FD5FB15" w14:textId="77777777" w:rsidR="00B7227E" w:rsidRDefault="00B7227E" w:rsidP="00B7227E">
      <w:pPr>
        <w:tabs>
          <w:tab w:val="left" w:pos="945"/>
        </w:tabs>
        <w:jc w:val="both"/>
        <w:rPr>
          <w:rFonts w:ascii="Verdana" w:eastAsia="Malgun Gothic" w:hAnsi="Verdana" w:cs="Arial"/>
          <w:sz w:val="18"/>
          <w:szCs w:val="18"/>
        </w:rPr>
      </w:pPr>
    </w:p>
    <w:p w14:paraId="4F0E6098" w14:textId="77777777" w:rsidR="00B7227E" w:rsidRPr="006C1D6F" w:rsidRDefault="00B7227E" w:rsidP="00B7227E">
      <w:pPr>
        <w:pStyle w:val="Normal13pt"/>
        <w:tabs>
          <w:tab w:val="left" w:pos="630"/>
        </w:tabs>
        <w:spacing w:before="120"/>
        <w:ind w:left="0"/>
        <w:rPr>
          <w:rFonts w:ascii="Verdana" w:eastAsia="Malgun Gothic" w:hAnsi="Verdana" w:cs="Arial"/>
          <w:sz w:val="18"/>
          <w:szCs w:val="18"/>
          <w:lang w:val="en-US"/>
        </w:rPr>
      </w:pPr>
      <w:r w:rsidRPr="006C1D6F">
        <w:rPr>
          <w:rFonts w:ascii="Verdana" w:eastAsia="Malgun Gothic" w:hAnsi="Verdana" w:cs="Arial"/>
          <w:sz w:val="18"/>
          <w:szCs w:val="18"/>
          <w:lang w:val="en-US"/>
        </w:rPr>
        <w:t xml:space="preserve">Products/Services </w:t>
      </w:r>
    </w:p>
    <w:p w14:paraId="759C8CBE" w14:textId="77777777" w:rsidR="00B7227E" w:rsidRPr="00197FF2" w:rsidRDefault="00B7227E" w:rsidP="00B7227E">
      <w:pPr>
        <w:pStyle w:val="Normal13pt"/>
        <w:tabs>
          <w:tab w:val="left" w:pos="630"/>
        </w:tabs>
        <w:spacing w:before="120"/>
        <w:ind w:left="0"/>
        <w:rPr>
          <w:rFonts w:ascii="Verdana" w:eastAsia="Malgun Gothic" w:hAnsi="Verdana" w:cs="Arial"/>
          <w:b w:val="0"/>
          <w:sz w:val="18"/>
          <w:szCs w:val="18"/>
          <w:u w:val="none"/>
          <w:lang w:val="en-US"/>
        </w:rPr>
      </w:pPr>
      <w:r>
        <w:rPr>
          <w:rFonts w:ascii="Verdana" w:eastAsia="Malgun Gothic" w:hAnsi="Verdana" w:cs="Arial"/>
          <w:b w:val="0"/>
          <w:sz w:val="18"/>
          <w:szCs w:val="18"/>
          <w:u w:val="none"/>
          <w:lang w:val="en-US"/>
        </w:rPr>
        <w:t>From January 2018 and onwards, the products included in the HICP have been revised. The</w:t>
      </w:r>
      <w:r w:rsidRPr="006C1D6F">
        <w:rPr>
          <w:rFonts w:ascii="Verdana" w:eastAsia="Malgun Gothic" w:hAnsi="Verdana" w:cs="Arial"/>
          <w:b w:val="0"/>
          <w:sz w:val="18"/>
          <w:szCs w:val="18"/>
          <w:u w:val="none"/>
          <w:lang w:val="en-US"/>
        </w:rPr>
        <w:t xml:space="preserve"> </w:t>
      </w:r>
      <w:r>
        <w:rPr>
          <w:rFonts w:ascii="Verdana" w:eastAsia="Malgun Gothic" w:hAnsi="Verdana" w:cs="Arial"/>
          <w:b w:val="0"/>
          <w:sz w:val="18"/>
          <w:szCs w:val="18"/>
          <w:u w:val="none"/>
          <w:lang w:val="en-US"/>
        </w:rPr>
        <w:t>revision</w:t>
      </w:r>
      <w:r w:rsidRPr="006C1D6F">
        <w:rPr>
          <w:rFonts w:ascii="Verdana" w:eastAsia="Malgun Gothic" w:hAnsi="Verdana" w:cs="Arial"/>
          <w:b w:val="0"/>
          <w:sz w:val="18"/>
          <w:szCs w:val="18"/>
          <w:u w:val="none"/>
          <w:lang w:val="en-US"/>
        </w:rPr>
        <w:t xml:space="preserve"> </w:t>
      </w:r>
      <w:r>
        <w:rPr>
          <w:rFonts w:ascii="Verdana" w:eastAsia="Malgun Gothic" w:hAnsi="Verdana" w:cs="Arial"/>
          <w:b w:val="0"/>
          <w:sz w:val="18"/>
          <w:szCs w:val="18"/>
          <w:u w:val="none"/>
          <w:lang w:val="en-US"/>
        </w:rPr>
        <w:t>was based on the results of the Household Budget Survey 2015/2016.</w:t>
      </w:r>
      <w:r w:rsidRPr="00197FF2">
        <w:rPr>
          <w:rFonts w:ascii="Verdana" w:eastAsia="Malgun Gothic" w:hAnsi="Verdana" w:cs="Arial"/>
          <w:b w:val="0"/>
          <w:sz w:val="18"/>
          <w:szCs w:val="18"/>
          <w:u w:val="none"/>
          <w:lang w:val="en-US"/>
        </w:rPr>
        <w:t xml:space="preserve"> </w:t>
      </w:r>
      <w:r w:rsidRPr="00556123">
        <w:rPr>
          <w:rFonts w:ascii="Verdana" w:eastAsia="Malgun Gothic" w:hAnsi="Verdana" w:cs="Arial"/>
          <w:b w:val="0"/>
          <w:sz w:val="18"/>
          <w:szCs w:val="18"/>
          <w:u w:val="none"/>
          <w:lang w:val="en-US"/>
        </w:rPr>
        <w:t xml:space="preserve">More details are </w:t>
      </w:r>
      <w:r w:rsidRPr="00006919">
        <w:rPr>
          <w:rFonts w:ascii="Verdana" w:eastAsia="Malgun Gothic" w:hAnsi="Verdana" w:cs="Arial"/>
          <w:b w:val="0"/>
          <w:sz w:val="18"/>
          <w:szCs w:val="18"/>
          <w:u w:val="none"/>
          <w:lang w:val="en-US"/>
        </w:rPr>
        <w:t xml:space="preserve">available on </w:t>
      </w:r>
      <w:r w:rsidRPr="00556123">
        <w:rPr>
          <w:rFonts w:ascii="Verdana" w:eastAsia="Malgun Gothic" w:hAnsi="Verdana" w:cs="Arial"/>
          <w:b w:val="0"/>
          <w:sz w:val="18"/>
          <w:szCs w:val="18"/>
          <w:u w:val="none"/>
          <w:lang w:val="en-US"/>
        </w:rPr>
        <w:t xml:space="preserve">CYSTAT website </w:t>
      </w:r>
      <w:r w:rsidRPr="00006919">
        <w:rPr>
          <w:rFonts w:ascii="Verdana" w:eastAsia="Malgun Gothic" w:hAnsi="Verdana" w:cs="Arial"/>
          <w:b w:val="0"/>
          <w:sz w:val="18"/>
          <w:szCs w:val="18"/>
          <w:u w:val="none"/>
          <w:lang w:val="en-US"/>
        </w:rPr>
        <w:t xml:space="preserve">in the </w:t>
      </w:r>
      <w:r w:rsidRPr="00556123">
        <w:rPr>
          <w:rFonts w:ascii="Verdana" w:eastAsia="Malgun Gothic" w:hAnsi="Verdana" w:cs="Arial"/>
          <w:b w:val="0"/>
          <w:sz w:val="18"/>
          <w:szCs w:val="18"/>
          <w:u w:val="none"/>
          <w:lang w:val="en-US"/>
        </w:rPr>
        <w:t>M</w:t>
      </w:r>
      <w:r w:rsidRPr="00006919">
        <w:rPr>
          <w:rFonts w:ascii="Verdana" w:eastAsia="Malgun Gothic" w:hAnsi="Verdana" w:cs="Arial"/>
          <w:b w:val="0"/>
          <w:sz w:val="18"/>
          <w:szCs w:val="18"/>
          <w:u w:val="none"/>
          <w:lang w:val="en-US"/>
        </w:rPr>
        <w:t>ethodology section, in the statistical sub</w:t>
      </w:r>
      <w:r w:rsidRPr="00556123">
        <w:rPr>
          <w:rFonts w:ascii="Verdana" w:eastAsia="Malgun Gothic" w:hAnsi="Verdana" w:cs="Arial"/>
          <w:b w:val="0"/>
          <w:sz w:val="18"/>
          <w:szCs w:val="18"/>
          <w:u w:val="none"/>
          <w:lang w:val="en-US"/>
        </w:rPr>
        <w:t>-category E</w:t>
      </w:r>
      <w:r w:rsidRPr="00006919">
        <w:rPr>
          <w:rFonts w:ascii="Verdana" w:eastAsia="Malgun Gothic" w:hAnsi="Verdana" w:cs="Arial"/>
          <w:b w:val="0"/>
          <w:sz w:val="18"/>
          <w:szCs w:val="18"/>
          <w:u w:val="none"/>
          <w:lang w:val="en-US"/>
        </w:rPr>
        <w:t>conomy / Price Indices / Harmonized Consumer Price Index.</w:t>
      </w:r>
    </w:p>
    <w:p w14:paraId="11D059F3" w14:textId="77777777" w:rsidR="00B7227E" w:rsidRPr="005A63DC" w:rsidRDefault="00B7227E" w:rsidP="00B7227E">
      <w:pPr>
        <w:tabs>
          <w:tab w:val="left" w:pos="945"/>
        </w:tabs>
        <w:jc w:val="both"/>
        <w:rPr>
          <w:rFonts w:ascii="Verdana" w:eastAsia="Malgun Gothic" w:hAnsi="Verdana" w:cs="Arial"/>
          <w:sz w:val="18"/>
          <w:szCs w:val="18"/>
        </w:rPr>
      </w:pPr>
    </w:p>
    <w:p w14:paraId="01177BC0" w14:textId="77777777" w:rsidR="00B7227E" w:rsidRPr="001E07AC" w:rsidRDefault="00B7227E" w:rsidP="00B7227E">
      <w:pPr>
        <w:tabs>
          <w:tab w:val="left" w:pos="1080"/>
          <w:tab w:val="left" w:pos="6840"/>
        </w:tabs>
        <w:jc w:val="both"/>
        <w:rPr>
          <w:rFonts w:ascii="Verdana" w:eastAsia="Malgun Gothic" w:hAnsi="Verdana" w:cs="Arial"/>
          <w:b/>
          <w:sz w:val="18"/>
          <w:szCs w:val="18"/>
          <w:u w:val="single"/>
          <w:lang w:val="en-GB"/>
        </w:rPr>
      </w:pPr>
      <w:r>
        <w:rPr>
          <w:rFonts w:ascii="Verdana" w:eastAsia="Malgun Gothic" w:hAnsi="Verdana" w:cs="Arial"/>
          <w:b/>
          <w:sz w:val="18"/>
          <w:szCs w:val="18"/>
          <w:u w:val="single"/>
          <w:lang w:val="en-GB"/>
        </w:rPr>
        <w:t>Collection</w:t>
      </w:r>
    </w:p>
    <w:p w14:paraId="7CF31843" w14:textId="77777777" w:rsidR="00B7227E" w:rsidRPr="001E07AC" w:rsidRDefault="00B7227E" w:rsidP="00B7227E">
      <w:pPr>
        <w:tabs>
          <w:tab w:val="left" w:pos="945"/>
        </w:tabs>
        <w:jc w:val="both"/>
        <w:rPr>
          <w:rFonts w:ascii="Verdana" w:eastAsia="Malgun Gothic" w:hAnsi="Verdana" w:cs="Arial"/>
          <w:color w:val="948A54"/>
          <w:sz w:val="18"/>
          <w:szCs w:val="18"/>
        </w:rPr>
      </w:pPr>
    </w:p>
    <w:p w14:paraId="14F6C64B" w14:textId="77777777" w:rsidR="00B7227E" w:rsidRDefault="00B7227E" w:rsidP="00B7227E">
      <w:pPr>
        <w:jc w:val="both"/>
        <w:rPr>
          <w:rFonts w:ascii="Verdana" w:eastAsia="Malgun Gothic" w:hAnsi="Verdana" w:cs="Arial"/>
          <w:sz w:val="18"/>
          <w:szCs w:val="18"/>
        </w:rPr>
      </w:pPr>
      <w:r w:rsidRPr="00CC297C">
        <w:rPr>
          <w:rFonts w:ascii="Verdana" w:eastAsia="Malgun Gothic" w:hAnsi="Verdana" w:cs="Arial"/>
          <w:sz w:val="18"/>
          <w:szCs w:val="18"/>
        </w:rPr>
        <w:t>The price collection is carried out only in urban districts of Nicosia, Larnaca, Limassol and Paphos.</w:t>
      </w:r>
      <w:r w:rsidRPr="005E42D5">
        <w:rPr>
          <w:rFonts w:ascii="Verdana" w:eastAsia="Malgun Gothic" w:hAnsi="Verdana" w:cs="Arial"/>
          <w:sz w:val="18"/>
          <w:szCs w:val="18"/>
        </w:rPr>
        <w:t xml:space="preserve"> For each city, the fluctuations in the product prices each month are weighted according to their population. Specifically, the weights for the four districts are: Nicosia 42%, Limassol 30%, Larnaca 18% and Paphos 10%. </w:t>
      </w:r>
    </w:p>
    <w:p w14:paraId="5A21E550" w14:textId="77777777" w:rsidR="00B7227E" w:rsidRPr="001E07AC" w:rsidRDefault="00B7227E" w:rsidP="00B7227E">
      <w:pPr>
        <w:tabs>
          <w:tab w:val="left" w:pos="945"/>
        </w:tabs>
        <w:jc w:val="both"/>
        <w:rPr>
          <w:rFonts w:ascii="Verdana" w:eastAsia="Malgun Gothic" w:hAnsi="Verdana" w:cs="Arial"/>
          <w:color w:val="948A54"/>
          <w:sz w:val="18"/>
          <w:szCs w:val="18"/>
        </w:rPr>
      </w:pPr>
    </w:p>
    <w:p w14:paraId="6167257F" w14:textId="77777777" w:rsidR="00B7227E" w:rsidRPr="001E07AC" w:rsidRDefault="00B7227E" w:rsidP="00B7227E">
      <w:pPr>
        <w:jc w:val="both"/>
        <w:rPr>
          <w:rFonts w:ascii="Verdana" w:eastAsia="Malgun Gothic" w:hAnsi="Verdana" w:cs="Arial"/>
          <w:sz w:val="18"/>
          <w:szCs w:val="18"/>
        </w:rPr>
      </w:pPr>
      <w:r w:rsidRPr="00B56CEF">
        <w:rPr>
          <w:rFonts w:ascii="Verdana" w:eastAsia="Malgun Gothic" w:hAnsi="Verdana" w:cs="Arial"/>
          <w:sz w:val="18"/>
          <w:szCs w:val="18"/>
        </w:rPr>
        <w:t>The prices of 8</w:t>
      </w:r>
      <w:r>
        <w:rPr>
          <w:rFonts w:ascii="Verdana" w:eastAsia="Malgun Gothic" w:hAnsi="Verdana" w:cs="Arial"/>
          <w:sz w:val="18"/>
          <w:szCs w:val="18"/>
        </w:rPr>
        <w:t>05</w:t>
      </w:r>
      <w:r w:rsidRPr="00B56CEF">
        <w:rPr>
          <w:rFonts w:ascii="Verdana" w:eastAsia="Malgun Gothic" w:hAnsi="Verdana" w:cs="Arial"/>
          <w:sz w:val="18"/>
          <w:szCs w:val="18"/>
        </w:rPr>
        <w:t xml:space="preserve"> goods and services are recorded once every month, except for some seasonal products </w:t>
      </w:r>
      <w:r>
        <w:rPr>
          <w:rFonts w:ascii="Verdana" w:eastAsia="Malgun Gothic" w:hAnsi="Verdana" w:cs="Arial"/>
          <w:sz w:val="18"/>
          <w:szCs w:val="18"/>
        </w:rPr>
        <w:t>(</w:t>
      </w:r>
      <w:proofErr w:type="spellStart"/>
      <w:r>
        <w:rPr>
          <w:rFonts w:ascii="Verdana" w:eastAsia="Malgun Gothic" w:hAnsi="Verdana" w:cs="Arial"/>
          <w:sz w:val="18"/>
          <w:szCs w:val="18"/>
        </w:rPr>
        <w:t>e.g</w:t>
      </w:r>
      <w:proofErr w:type="spellEnd"/>
      <w:r>
        <w:rPr>
          <w:rFonts w:ascii="Verdana" w:eastAsia="Malgun Gothic" w:hAnsi="Verdana" w:cs="Arial"/>
          <w:sz w:val="18"/>
          <w:szCs w:val="18"/>
        </w:rPr>
        <w:t xml:space="preserve"> vegetables and fruits)</w:t>
      </w:r>
      <w:r w:rsidRPr="00B56CEF">
        <w:rPr>
          <w:rFonts w:ascii="Verdana" w:eastAsia="Malgun Gothic" w:hAnsi="Verdana" w:cs="Arial"/>
          <w:sz w:val="18"/>
          <w:szCs w:val="18"/>
        </w:rPr>
        <w:t>, meat and fuel</w:t>
      </w:r>
      <w:r>
        <w:rPr>
          <w:rFonts w:ascii="Verdana" w:eastAsia="Malgun Gothic" w:hAnsi="Verdana" w:cs="Arial"/>
          <w:sz w:val="18"/>
          <w:szCs w:val="18"/>
        </w:rPr>
        <w:t>s</w:t>
      </w:r>
      <w:r w:rsidRPr="00B56CEF">
        <w:rPr>
          <w:rFonts w:ascii="Verdana" w:eastAsia="Malgun Gothic" w:hAnsi="Verdana" w:cs="Arial"/>
          <w:sz w:val="18"/>
          <w:szCs w:val="18"/>
        </w:rPr>
        <w:t>, whose prices are collected every week (every Thursday).</w:t>
      </w:r>
      <w:r>
        <w:rPr>
          <w:rFonts w:ascii="Verdana" w:eastAsia="Malgun Gothic" w:hAnsi="Verdana" w:cs="Arial"/>
          <w:sz w:val="18"/>
          <w:szCs w:val="18"/>
        </w:rPr>
        <w:t xml:space="preserve"> The collected prices </w:t>
      </w:r>
      <w:r w:rsidRPr="001E07AC">
        <w:rPr>
          <w:rFonts w:ascii="Verdana" w:eastAsia="Malgun Gothic" w:hAnsi="Verdana" w:cs="Arial"/>
          <w:sz w:val="18"/>
          <w:szCs w:val="18"/>
        </w:rPr>
        <w:t>are those actually paid by consumers for the purchase of specific goods and services, and they include various taxes, such as the Value Added Tax and excise duties. For the calculation of the Index end-of-season sales prices are taken into account as well as special offer prices which are available for the general public and have no restrictions.</w:t>
      </w:r>
    </w:p>
    <w:p w14:paraId="4D166781" w14:textId="77777777" w:rsidR="00B7227E" w:rsidRPr="001E07AC" w:rsidRDefault="00B7227E" w:rsidP="00B7227E">
      <w:pPr>
        <w:tabs>
          <w:tab w:val="left" w:pos="945"/>
        </w:tabs>
        <w:jc w:val="both"/>
        <w:rPr>
          <w:rFonts w:ascii="Verdana" w:eastAsia="Malgun Gothic" w:hAnsi="Verdana" w:cs="Arial"/>
          <w:sz w:val="18"/>
          <w:szCs w:val="18"/>
        </w:rPr>
      </w:pPr>
    </w:p>
    <w:p w14:paraId="6F8DAF0E" w14:textId="77777777" w:rsidR="00B7227E" w:rsidRPr="00E70640" w:rsidRDefault="00B7227E" w:rsidP="00B7227E">
      <w:pPr>
        <w:tabs>
          <w:tab w:val="left" w:pos="360"/>
          <w:tab w:val="left" w:pos="6840"/>
        </w:tabs>
        <w:ind w:right="-79"/>
        <w:jc w:val="both"/>
        <w:rPr>
          <w:rFonts w:ascii="Verdana" w:eastAsia="Malgun Gothic" w:hAnsi="Verdana" w:cs="Arial"/>
          <w:b/>
          <w:sz w:val="18"/>
          <w:szCs w:val="18"/>
          <w:u w:val="single"/>
          <w:lang w:val="en-GB"/>
        </w:rPr>
      </w:pPr>
      <w:r>
        <w:rPr>
          <w:rFonts w:ascii="Verdana" w:eastAsia="Malgun Gothic" w:hAnsi="Verdana" w:cs="Arial"/>
          <w:b/>
          <w:sz w:val="18"/>
          <w:szCs w:val="18"/>
          <w:u w:val="single"/>
          <w:lang w:val="en-GB"/>
        </w:rPr>
        <w:t>Weights</w:t>
      </w:r>
    </w:p>
    <w:p w14:paraId="29819B35" w14:textId="77777777" w:rsidR="00B7227E" w:rsidRPr="00721351" w:rsidRDefault="00B7227E" w:rsidP="00B7227E">
      <w:pPr>
        <w:tabs>
          <w:tab w:val="left" w:pos="360"/>
          <w:tab w:val="left" w:pos="6840"/>
        </w:tabs>
        <w:ind w:right="-79"/>
        <w:jc w:val="both"/>
        <w:rPr>
          <w:rFonts w:ascii="Verdana" w:eastAsia="Malgun Gothic" w:hAnsi="Verdana" w:cs="Arial"/>
          <w:b/>
          <w:i/>
          <w:sz w:val="20"/>
          <w:szCs w:val="20"/>
        </w:rPr>
      </w:pPr>
    </w:p>
    <w:p w14:paraId="6C2C021D" w14:textId="77777777" w:rsidR="00B7227E" w:rsidRDefault="00B7227E" w:rsidP="00B7227E">
      <w:pPr>
        <w:tabs>
          <w:tab w:val="left" w:pos="945"/>
        </w:tabs>
        <w:jc w:val="both"/>
        <w:rPr>
          <w:rFonts w:ascii="Verdana" w:eastAsia="Malgun Gothic" w:hAnsi="Verdana" w:cs="Arial"/>
          <w:sz w:val="18"/>
          <w:szCs w:val="18"/>
        </w:rPr>
      </w:pPr>
      <w:r w:rsidRPr="00E70640">
        <w:rPr>
          <w:rFonts w:ascii="Verdana" w:eastAsia="Malgun Gothic" w:hAnsi="Verdana" w:cs="Arial"/>
          <w:sz w:val="18"/>
          <w:szCs w:val="18"/>
        </w:rPr>
        <w:t xml:space="preserve">The weight of </w:t>
      </w:r>
      <w:r>
        <w:rPr>
          <w:rFonts w:ascii="Verdana" w:eastAsia="Malgun Gothic" w:hAnsi="Verdana" w:cs="Arial"/>
          <w:sz w:val="18"/>
          <w:szCs w:val="18"/>
        </w:rPr>
        <w:t xml:space="preserve">the HICP </w:t>
      </w:r>
      <w:r w:rsidRPr="00E70640">
        <w:rPr>
          <w:rFonts w:ascii="Verdana" w:eastAsia="Malgun Gothic" w:hAnsi="Verdana" w:cs="Arial"/>
          <w:sz w:val="18"/>
          <w:szCs w:val="18"/>
        </w:rPr>
        <w:t>good</w:t>
      </w:r>
      <w:r>
        <w:rPr>
          <w:rFonts w:ascii="Verdana" w:eastAsia="Malgun Gothic" w:hAnsi="Verdana" w:cs="Arial"/>
          <w:sz w:val="18"/>
          <w:szCs w:val="18"/>
        </w:rPr>
        <w:t>s</w:t>
      </w:r>
      <w:r w:rsidRPr="00E70640">
        <w:rPr>
          <w:rFonts w:ascii="Verdana" w:eastAsia="Malgun Gothic" w:hAnsi="Verdana" w:cs="Arial"/>
          <w:sz w:val="18"/>
          <w:szCs w:val="18"/>
        </w:rPr>
        <w:t xml:space="preserve"> </w:t>
      </w:r>
      <w:r>
        <w:rPr>
          <w:rFonts w:ascii="Verdana" w:eastAsia="Malgun Gothic" w:hAnsi="Verdana" w:cs="Arial"/>
          <w:sz w:val="18"/>
          <w:szCs w:val="18"/>
        </w:rPr>
        <w:t>and</w:t>
      </w:r>
      <w:r w:rsidRPr="00E70640">
        <w:rPr>
          <w:rFonts w:ascii="Verdana" w:eastAsia="Malgun Gothic" w:hAnsi="Verdana" w:cs="Arial"/>
          <w:sz w:val="18"/>
          <w:szCs w:val="18"/>
        </w:rPr>
        <w:t xml:space="preserve"> service</w:t>
      </w:r>
      <w:r>
        <w:rPr>
          <w:rFonts w:ascii="Verdana" w:eastAsia="Malgun Gothic" w:hAnsi="Verdana" w:cs="Arial"/>
          <w:sz w:val="18"/>
          <w:szCs w:val="18"/>
        </w:rPr>
        <w:t>s are calculated based on consumption expenditure (of both households and tourists) incurred in the economic territory of the country</w:t>
      </w:r>
      <w:r w:rsidRPr="00E70640">
        <w:rPr>
          <w:rFonts w:ascii="Verdana" w:eastAsia="Malgun Gothic" w:hAnsi="Verdana" w:cs="Arial"/>
          <w:sz w:val="18"/>
          <w:szCs w:val="18"/>
        </w:rPr>
        <w:t xml:space="preserve">. Up to 2011, </w:t>
      </w:r>
      <w:r>
        <w:rPr>
          <w:rFonts w:ascii="Verdana" w:eastAsia="Malgun Gothic" w:hAnsi="Verdana" w:cs="Arial"/>
          <w:sz w:val="18"/>
          <w:szCs w:val="18"/>
        </w:rPr>
        <w:t xml:space="preserve">the main source for the consumption expenditures was the Household Budget Survey, while from </w:t>
      </w:r>
      <w:r w:rsidRPr="00E70640">
        <w:rPr>
          <w:rFonts w:ascii="Verdana" w:eastAsia="Malgun Gothic" w:hAnsi="Verdana" w:cs="Arial"/>
          <w:sz w:val="18"/>
          <w:szCs w:val="18"/>
        </w:rPr>
        <w:t xml:space="preserve">2012 </w:t>
      </w:r>
      <w:r>
        <w:rPr>
          <w:rFonts w:ascii="Verdana" w:eastAsia="Malgun Gothic" w:hAnsi="Verdana" w:cs="Arial"/>
          <w:sz w:val="18"/>
          <w:szCs w:val="18"/>
        </w:rPr>
        <w:t xml:space="preserve">and </w:t>
      </w:r>
      <w:r w:rsidRPr="00E70640">
        <w:rPr>
          <w:rFonts w:ascii="Verdana" w:eastAsia="Malgun Gothic" w:hAnsi="Verdana" w:cs="Arial"/>
          <w:sz w:val="18"/>
          <w:szCs w:val="18"/>
        </w:rPr>
        <w:t xml:space="preserve">onwards, </w:t>
      </w:r>
      <w:r>
        <w:rPr>
          <w:rFonts w:ascii="Verdana" w:eastAsia="Malgun Gothic" w:hAnsi="Verdana" w:cs="Arial"/>
          <w:sz w:val="18"/>
          <w:szCs w:val="18"/>
        </w:rPr>
        <w:t xml:space="preserve">data from the </w:t>
      </w:r>
      <w:r w:rsidRPr="00E70640">
        <w:rPr>
          <w:rFonts w:ascii="Verdana" w:eastAsia="Malgun Gothic" w:hAnsi="Verdana" w:cs="Arial"/>
          <w:sz w:val="18"/>
          <w:szCs w:val="18"/>
        </w:rPr>
        <w:t xml:space="preserve">National Accounts </w:t>
      </w:r>
      <w:r>
        <w:rPr>
          <w:rFonts w:ascii="Verdana" w:eastAsia="Malgun Gothic" w:hAnsi="Verdana" w:cs="Arial"/>
          <w:sz w:val="18"/>
          <w:szCs w:val="18"/>
        </w:rPr>
        <w:t xml:space="preserve">are utilized </w:t>
      </w:r>
      <w:r w:rsidRPr="005E42D5">
        <w:rPr>
          <w:rFonts w:ascii="Verdana" w:eastAsia="Malgun Gothic" w:hAnsi="Verdana" w:cs="Arial"/>
          <w:sz w:val="18"/>
          <w:szCs w:val="18"/>
        </w:rPr>
        <w:t>satisfying relevant Eurostat’s Regulation</w:t>
      </w:r>
      <w:r w:rsidRPr="00721351">
        <w:rPr>
          <w:rFonts w:ascii="Verdana" w:eastAsia="Malgun Gothic" w:hAnsi="Verdana" w:cs="Arial"/>
          <w:sz w:val="18"/>
          <w:szCs w:val="18"/>
        </w:rPr>
        <w:t xml:space="preserve"> (No 11</w:t>
      </w:r>
      <w:r w:rsidRPr="00384DDF">
        <w:rPr>
          <w:rFonts w:ascii="Verdana" w:eastAsia="Malgun Gothic" w:hAnsi="Verdana" w:cs="Arial"/>
          <w:sz w:val="18"/>
          <w:szCs w:val="18"/>
        </w:rPr>
        <w:t>48</w:t>
      </w:r>
      <w:r w:rsidRPr="00721351">
        <w:rPr>
          <w:rFonts w:ascii="Verdana" w:eastAsia="Malgun Gothic" w:hAnsi="Verdana" w:cs="Arial"/>
          <w:sz w:val="18"/>
          <w:szCs w:val="18"/>
        </w:rPr>
        <w:t>/20</w:t>
      </w:r>
      <w:r w:rsidRPr="00384DDF">
        <w:rPr>
          <w:rFonts w:ascii="Verdana" w:eastAsia="Malgun Gothic" w:hAnsi="Verdana" w:cs="Arial"/>
          <w:sz w:val="18"/>
          <w:szCs w:val="18"/>
        </w:rPr>
        <w:t>2</w:t>
      </w:r>
      <w:r w:rsidRPr="00721351">
        <w:rPr>
          <w:rFonts w:ascii="Verdana" w:eastAsia="Malgun Gothic" w:hAnsi="Verdana" w:cs="Arial"/>
          <w:sz w:val="18"/>
          <w:szCs w:val="18"/>
        </w:rPr>
        <w:t>0)</w:t>
      </w:r>
      <w:r w:rsidRPr="00E70640">
        <w:rPr>
          <w:rFonts w:ascii="Verdana" w:eastAsia="Malgun Gothic" w:hAnsi="Verdana" w:cs="Arial"/>
          <w:sz w:val="18"/>
          <w:szCs w:val="18"/>
        </w:rPr>
        <w:t>.</w:t>
      </w:r>
    </w:p>
    <w:p w14:paraId="6F5A05C6" w14:textId="77777777" w:rsidR="00B7227E" w:rsidRPr="00E70640" w:rsidRDefault="00B7227E" w:rsidP="00B7227E">
      <w:pPr>
        <w:tabs>
          <w:tab w:val="left" w:pos="945"/>
        </w:tabs>
        <w:jc w:val="both"/>
        <w:rPr>
          <w:rFonts w:ascii="Verdana" w:eastAsia="Malgun Gothic" w:hAnsi="Verdana" w:cs="Arial"/>
          <w:sz w:val="18"/>
          <w:szCs w:val="18"/>
        </w:rPr>
      </w:pPr>
    </w:p>
    <w:p w14:paraId="6B9C64DA" w14:textId="77777777" w:rsidR="00B7227E" w:rsidRPr="005E42D5" w:rsidRDefault="00B7227E" w:rsidP="00B7227E">
      <w:pPr>
        <w:pStyle w:val="Normal13pt"/>
        <w:spacing w:line="240" w:lineRule="auto"/>
        <w:ind w:left="0"/>
        <w:rPr>
          <w:rFonts w:ascii="Verdana" w:eastAsia="Malgun Gothic" w:hAnsi="Verdana" w:cs="Arial"/>
          <w:sz w:val="18"/>
          <w:szCs w:val="18"/>
          <w:lang w:val="en-US"/>
        </w:rPr>
      </w:pPr>
      <w:r w:rsidRPr="005E42D5">
        <w:rPr>
          <w:rFonts w:ascii="Verdana" w:eastAsia="Malgun Gothic" w:hAnsi="Verdana" w:cs="Arial"/>
          <w:sz w:val="18"/>
          <w:szCs w:val="18"/>
          <w:lang w:val="en-US"/>
        </w:rPr>
        <w:t xml:space="preserve">Base </w:t>
      </w:r>
      <w:r w:rsidR="00E05125">
        <w:rPr>
          <w:rFonts w:ascii="Verdana" w:eastAsia="Malgun Gothic" w:hAnsi="Verdana" w:cs="Arial"/>
          <w:sz w:val="18"/>
          <w:szCs w:val="18"/>
          <w:lang w:val="en-US"/>
        </w:rPr>
        <w:t>Y</w:t>
      </w:r>
      <w:r w:rsidRPr="005E42D5">
        <w:rPr>
          <w:rFonts w:ascii="Verdana" w:eastAsia="Malgun Gothic" w:hAnsi="Verdana" w:cs="Arial"/>
          <w:sz w:val="18"/>
          <w:szCs w:val="18"/>
          <w:lang w:val="en-US"/>
        </w:rPr>
        <w:t>ear</w:t>
      </w:r>
    </w:p>
    <w:p w14:paraId="69D5FCFF" w14:textId="77777777" w:rsidR="00B7227E" w:rsidRPr="005E42D5" w:rsidRDefault="00B7227E" w:rsidP="00B7227E">
      <w:pPr>
        <w:pStyle w:val="Normal13pt"/>
        <w:spacing w:line="240" w:lineRule="auto"/>
        <w:ind w:left="0"/>
        <w:rPr>
          <w:rFonts w:ascii="Verdana" w:eastAsia="Malgun Gothic" w:hAnsi="Verdana" w:cs="Arial"/>
          <w:b w:val="0"/>
          <w:sz w:val="18"/>
          <w:szCs w:val="18"/>
          <w:u w:val="none"/>
          <w:lang w:val="en-US"/>
        </w:rPr>
      </w:pPr>
    </w:p>
    <w:p w14:paraId="5157C1F0" w14:textId="09B3E3A0" w:rsidR="00B7227E" w:rsidRDefault="00B7227E" w:rsidP="00B7227E">
      <w:pPr>
        <w:jc w:val="both"/>
        <w:rPr>
          <w:rFonts w:ascii="Verdana" w:eastAsia="Malgun Gothic" w:hAnsi="Verdana" w:cs="Arial"/>
          <w:sz w:val="18"/>
          <w:szCs w:val="18"/>
        </w:rPr>
      </w:pPr>
      <w:r w:rsidRPr="005E42D5">
        <w:rPr>
          <w:rFonts w:ascii="Verdana" w:eastAsia="Malgun Gothic" w:hAnsi="Verdana" w:cs="Arial"/>
          <w:sz w:val="18"/>
          <w:szCs w:val="18"/>
        </w:rPr>
        <w:t xml:space="preserve">The index reference period was 2005=100 for the period between January 2006 and </w:t>
      </w:r>
      <w:r w:rsidR="00B736A4">
        <w:rPr>
          <w:rFonts w:ascii="Verdana" w:eastAsia="Malgun Gothic" w:hAnsi="Verdana" w:cs="Arial"/>
          <w:sz w:val="18"/>
          <w:szCs w:val="18"/>
        </w:rPr>
        <w:t>January</w:t>
      </w:r>
      <w:r w:rsidRPr="005E42D5">
        <w:rPr>
          <w:rFonts w:ascii="Verdana" w:eastAsia="Malgun Gothic" w:hAnsi="Verdana" w:cs="Arial"/>
          <w:sz w:val="18"/>
          <w:szCs w:val="18"/>
        </w:rPr>
        <w:t xml:space="preserve"> 2015. From January 2016 and onwards, the base year is 2015=100.</w:t>
      </w:r>
    </w:p>
    <w:p w14:paraId="2EB80555" w14:textId="77777777" w:rsidR="00B7227E" w:rsidRPr="00B56CEF" w:rsidRDefault="00B7227E" w:rsidP="00B7227E">
      <w:pPr>
        <w:jc w:val="both"/>
        <w:rPr>
          <w:rFonts w:ascii="Verdana" w:eastAsia="Malgun Gothic" w:hAnsi="Verdana" w:cs="Arial"/>
          <w:sz w:val="18"/>
          <w:szCs w:val="18"/>
        </w:rPr>
      </w:pPr>
    </w:p>
    <w:p w14:paraId="64B14BFE" w14:textId="77777777" w:rsidR="00B7227E" w:rsidRPr="005E42D5" w:rsidRDefault="00B7227E" w:rsidP="00B7227E">
      <w:pPr>
        <w:pStyle w:val="Normal13pt"/>
        <w:spacing w:line="240" w:lineRule="auto"/>
        <w:ind w:left="0"/>
        <w:rPr>
          <w:rFonts w:ascii="Verdana" w:eastAsia="Malgun Gothic" w:hAnsi="Verdana" w:cs="Arial"/>
          <w:b w:val="0"/>
          <w:sz w:val="18"/>
          <w:szCs w:val="18"/>
          <w:lang w:val="en-US"/>
        </w:rPr>
      </w:pPr>
      <w:r w:rsidRPr="005E42D5">
        <w:rPr>
          <w:rFonts w:ascii="Verdana" w:eastAsia="Malgun Gothic" w:hAnsi="Verdana" w:cs="Arial"/>
          <w:sz w:val="18"/>
          <w:szCs w:val="18"/>
          <w:lang w:val="en-US"/>
        </w:rPr>
        <w:t xml:space="preserve">Classification </w:t>
      </w:r>
      <w:r w:rsidRPr="005E42D5">
        <w:rPr>
          <w:rFonts w:ascii="Verdana" w:eastAsia="Malgun Gothic" w:hAnsi="Verdana" w:cs="Arial"/>
          <w:b w:val="0"/>
          <w:sz w:val="18"/>
          <w:szCs w:val="18"/>
          <w:lang w:val="en-US"/>
        </w:rPr>
        <w:t xml:space="preserve">                                                                                                                </w:t>
      </w:r>
    </w:p>
    <w:p w14:paraId="00BD3F5F" w14:textId="330758F9" w:rsidR="00B7227E" w:rsidRDefault="00B7227E" w:rsidP="00B7227E">
      <w:pPr>
        <w:pStyle w:val="Normal13pt"/>
        <w:tabs>
          <w:tab w:val="left" w:pos="630"/>
        </w:tabs>
        <w:spacing w:before="120"/>
        <w:ind w:left="0"/>
        <w:rPr>
          <w:rFonts w:ascii="Verdana" w:eastAsia="Malgun Gothic" w:hAnsi="Verdana" w:cs="Arial"/>
          <w:b w:val="0"/>
          <w:sz w:val="18"/>
          <w:szCs w:val="18"/>
          <w:u w:val="none"/>
          <w:lang w:val="en-US"/>
        </w:rPr>
      </w:pPr>
      <w:r w:rsidRPr="005E42D5">
        <w:rPr>
          <w:rFonts w:ascii="Verdana" w:eastAsia="Malgun Gothic" w:hAnsi="Verdana" w:cs="Arial"/>
          <w:b w:val="0"/>
          <w:sz w:val="18"/>
          <w:szCs w:val="18"/>
          <w:u w:val="none"/>
          <w:lang w:val="en-US"/>
        </w:rPr>
        <w:t xml:space="preserve">Until </w:t>
      </w:r>
      <w:r w:rsidR="00B736A4">
        <w:rPr>
          <w:rFonts w:ascii="Verdana" w:eastAsia="Malgun Gothic" w:hAnsi="Verdana" w:cs="Arial"/>
          <w:b w:val="0"/>
          <w:sz w:val="18"/>
          <w:szCs w:val="18"/>
          <w:u w:val="none"/>
          <w:lang w:val="en-US"/>
        </w:rPr>
        <w:t>January</w:t>
      </w:r>
      <w:r w:rsidRPr="005E42D5">
        <w:rPr>
          <w:rFonts w:ascii="Verdana" w:eastAsia="Malgun Gothic" w:hAnsi="Verdana" w:cs="Arial"/>
          <w:b w:val="0"/>
          <w:sz w:val="18"/>
          <w:szCs w:val="18"/>
          <w:u w:val="none"/>
          <w:lang w:val="en-US"/>
        </w:rPr>
        <w:t xml:space="preserve"> 2015, COICOP 4 classification was used for the calculation and the dissemination of the </w:t>
      </w:r>
      <w:r>
        <w:rPr>
          <w:rFonts w:ascii="Verdana" w:eastAsia="Malgun Gothic" w:hAnsi="Verdana" w:cs="Arial"/>
          <w:b w:val="0"/>
          <w:sz w:val="18"/>
          <w:szCs w:val="18"/>
          <w:u w:val="none"/>
          <w:lang w:val="en-US"/>
        </w:rPr>
        <w:t>HICP</w:t>
      </w:r>
      <w:r w:rsidRPr="005E42D5">
        <w:rPr>
          <w:rFonts w:ascii="Verdana" w:eastAsia="Malgun Gothic" w:hAnsi="Verdana" w:cs="Arial"/>
          <w:b w:val="0"/>
          <w:sz w:val="18"/>
          <w:szCs w:val="18"/>
          <w:u w:val="none"/>
          <w:lang w:val="en-US"/>
        </w:rPr>
        <w:t>. From January 2016 and onwards, CYSTAT is adopting the ECOICOP classification satisfying relevant Eurostat’s Regulation. In other words, the lowest level of detail for the classification used in CPI is COICOP 5-digits.</w:t>
      </w:r>
    </w:p>
    <w:p w14:paraId="7734C8CB" w14:textId="77777777" w:rsidR="00B7227E" w:rsidRPr="00812862" w:rsidRDefault="00B7227E" w:rsidP="00B7227E">
      <w:pPr>
        <w:pStyle w:val="Normal13pt"/>
        <w:tabs>
          <w:tab w:val="left" w:pos="630"/>
        </w:tabs>
        <w:ind w:left="0"/>
        <w:rPr>
          <w:rFonts w:ascii="Verdana" w:eastAsia="Malgun Gothic" w:hAnsi="Verdana" w:cs="Arial"/>
          <w:b w:val="0"/>
          <w:sz w:val="18"/>
          <w:szCs w:val="18"/>
          <w:u w:val="none"/>
          <w:lang w:val="en-US"/>
        </w:rPr>
      </w:pPr>
      <w:r w:rsidRPr="00556123">
        <w:rPr>
          <w:rFonts w:ascii="Verdana" w:eastAsia="Malgun Gothic" w:hAnsi="Verdana" w:cs="Arial"/>
          <w:b w:val="0"/>
          <w:sz w:val="18"/>
          <w:szCs w:val="18"/>
          <w:u w:val="none"/>
          <w:lang w:val="en-US"/>
        </w:rPr>
        <w:t xml:space="preserve">Since </w:t>
      </w:r>
      <w:r w:rsidRPr="00812862">
        <w:rPr>
          <w:rFonts w:ascii="Verdana" w:eastAsia="Malgun Gothic" w:hAnsi="Verdana" w:cs="Arial"/>
          <w:b w:val="0"/>
          <w:sz w:val="18"/>
          <w:szCs w:val="18"/>
          <w:u w:val="none"/>
          <w:lang w:val="en-US"/>
        </w:rPr>
        <w:t>February 2019 CYSTAT publi</w:t>
      </w:r>
      <w:r>
        <w:rPr>
          <w:rFonts w:ascii="Verdana" w:eastAsia="Malgun Gothic" w:hAnsi="Verdana" w:cs="Arial"/>
          <w:b w:val="0"/>
          <w:sz w:val="18"/>
          <w:szCs w:val="18"/>
          <w:u w:val="none"/>
          <w:lang w:val="en-US"/>
        </w:rPr>
        <w:t>sh</w:t>
      </w:r>
      <w:r w:rsidRPr="00556123">
        <w:rPr>
          <w:rFonts w:ascii="Verdana" w:eastAsia="Malgun Gothic" w:hAnsi="Verdana" w:cs="Arial"/>
          <w:b w:val="0"/>
          <w:sz w:val="18"/>
          <w:szCs w:val="18"/>
          <w:u w:val="none"/>
          <w:lang w:val="en-US"/>
        </w:rPr>
        <w:t>es</w:t>
      </w:r>
      <w:r>
        <w:rPr>
          <w:rFonts w:ascii="Verdana" w:eastAsia="Malgun Gothic" w:hAnsi="Verdana" w:cs="Arial"/>
          <w:b w:val="0"/>
          <w:sz w:val="18"/>
          <w:szCs w:val="18"/>
          <w:u w:val="none"/>
          <w:lang w:val="en-US"/>
        </w:rPr>
        <w:t xml:space="preserve"> HICP special aggregates (</w:t>
      </w:r>
      <w:r w:rsidRPr="00812862">
        <w:rPr>
          <w:rFonts w:ascii="Verdana" w:eastAsia="Malgun Gothic" w:hAnsi="Verdana" w:cs="Arial"/>
          <w:b w:val="0"/>
          <w:sz w:val="18"/>
          <w:szCs w:val="18"/>
          <w:u w:val="none"/>
          <w:lang w:val="en-US"/>
        </w:rPr>
        <w:t>economic origin) compiled from more detailed input data</w:t>
      </w:r>
      <w:r>
        <w:rPr>
          <w:rFonts w:ascii="Verdana" w:eastAsia="Malgun Gothic" w:hAnsi="Verdana" w:cs="Arial"/>
          <w:b w:val="0"/>
          <w:sz w:val="18"/>
          <w:szCs w:val="18"/>
          <w:u w:val="none"/>
          <w:lang w:val="en-US"/>
        </w:rPr>
        <w:t>.</w:t>
      </w:r>
    </w:p>
    <w:p w14:paraId="3F08172C" w14:textId="77777777" w:rsidR="00B7227E" w:rsidRPr="002F2ACD" w:rsidRDefault="00B7227E" w:rsidP="00B7227E">
      <w:pPr>
        <w:tabs>
          <w:tab w:val="left" w:pos="360"/>
          <w:tab w:val="left" w:pos="6840"/>
        </w:tabs>
        <w:jc w:val="both"/>
        <w:rPr>
          <w:rFonts w:ascii="Verdana" w:eastAsia="Malgun Gothic" w:hAnsi="Verdana" w:cs="Arial"/>
          <w:sz w:val="18"/>
          <w:szCs w:val="18"/>
        </w:rPr>
      </w:pPr>
    </w:p>
    <w:p w14:paraId="346DC8EE" w14:textId="77777777" w:rsidR="00B7227E" w:rsidRDefault="00B7227E" w:rsidP="00B7227E">
      <w:pPr>
        <w:tabs>
          <w:tab w:val="left" w:pos="360"/>
          <w:tab w:val="left" w:pos="6840"/>
        </w:tabs>
        <w:ind w:right="-79"/>
        <w:jc w:val="both"/>
        <w:rPr>
          <w:rFonts w:ascii="Verdana" w:eastAsia="Malgun Gothic" w:hAnsi="Verdana" w:cs="Arial"/>
          <w:b/>
          <w:i/>
          <w:sz w:val="18"/>
          <w:szCs w:val="18"/>
        </w:rPr>
      </w:pPr>
      <w:r>
        <w:rPr>
          <w:rFonts w:ascii="Verdana" w:eastAsia="Malgun Gothic" w:hAnsi="Verdana" w:cs="Arial"/>
          <w:b/>
          <w:i/>
          <w:sz w:val="18"/>
          <w:szCs w:val="18"/>
        </w:rPr>
        <w:t>Further information:</w:t>
      </w:r>
    </w:p>
    <w:p w14:paraId="72C2130C" w14:textId="77777777" w:rsidR="00B7227E" w:rsidRPr="0058615B" w:rsidRDefault="00B7227E" w:rsidP="00B7227E">
      <w:pPr>
        <w:rPr>
          <w:rFonts w:ascii="Verdana" w:hAnsi="Verdana"/>
          <w:sz w:val="18"/>
          <w:szCs w:val="18"/>
        </w:rPr>
      </w:pPr>
      <w:r w:rsidRPr="0058615B">
        <w:rPr>
          <w:rFonts w:ascii="Verdana" w:hAnsi="Verdana"/>
          <w:sz w:val="18"/>
          <w:szCs w:val="18"/>
          <w:lang w:val="en-GB"/>
        </w:rPr>
        <w:t xml:space="preserve">CYSTAT Portal, subtheme </w:t>
      </w:r>
      <w:hyperlink r:id="rId9" w:history="1">
        <w:r w:rsidRPr="0058615B">
          <w:rPr>
            <w:rFonts w:ascii="Verdana" w:hAnsi="Verdana"/>
            <w:color w:val="0000FF"/>
            <w:sz w:val="18"/>
            <w:szCs w:val="18"/>
            <w:u w:val="single"/>
            <w:lang w:val="en-GB"/>
          </w:rPr>
          <w:t>Price Indices</w:t>
        </w:r>
      </w:hyperlink>
    </w:p>
    <w:p w14:paraId="1A61A33B" w14:textId="77777777" w:rsidR="00B7227E" w:rsidRPr="0058615B" w:rsidRDefault="00000000" w:rsidP="00B7227E">
      <w:pPr>
        <w:rPr>
          <w:rFonts w:ascii="Verdana" w:hAnsi="Verdana"/>
          <w:sz w:val="18"/>
          <w:szCs w:val="18"/>
        </w:rPr>
      </w:pPr>
      <w:hyperlink r:id="rId10" w:history="1">
        <w:r w:rsidR="00B7227E" w:rsidRPr="0058615B">
          <w:rPr>
            <w:rFonts w:ascii="Verdana" w:hAnsi="Verdana"/>
            <w:color w:val="0000FF"/>
            <w:sz w:val="18"/>
            <w:szCs w:val="18"/>
            <w:u w:val="single"/>
          </w:rPr>
          <w:t>CYSTAT-DB</w:t>
        </w:r>
      </w:hyperlink>
      <w:r w:rsidR="00B7227E" w:rsidRPr="0058615B">
        <w:rPr>
          <w:rFonts w:ascii="Verdana" w:hAnsi="Verdana"/>
          <w:sz w:val="18"/>
          <w:szCs w:val="18"/>
        </w:rPr>
        <w:t xml:space="preserve"> (Online Database) </w:t>
      </w:r>
    </w:p>
    <w:p w14:paraId="2EBFC941" w14:textId="77777777" w:rsidR="00B7227E" w:rsidRDefault="00000000" w:rsidP="00B7227E">
      <w:pPr>
        <w:ind w:right="-79"/>
        <w:jc w:val="both"/>
        <w:rPr>
          <w:rFonts w:ascii="Verdana" w:hAnsi="Verdana"/>
          <w:sz w:val="18"/>
          <w:szCs w:val="18"/>
        </w:rPr>
      </w:pPr>
      <w:hyperlink r:id="rId11" w:history="1">
        <w:r w:rsidR="00B7227E" w:rsidRPr="0058615B">
          <w:rPr>
            <w:rFonts w:ascii="Verdana" w:hAnsi="Verdana"/>
            <w:color w:val="0000FF"/>
            <w:sz w:val="18"/>
            <w:szCs w:val="18"/>
            <w:u w:val="single"/>
          </w:rPr>
          <w:t>Predefined Tables</w:t>
        </w:r>
      </w:hyperlink>
      <w:r w:rsidR="00B7227E" w:rsidRPr="0058615B">
        <w:rPr>
          <w:rFonts w:ascii="Verdana" w:hAnsi="Verdana"/>
          <w:sz w:val="18"/>
          <w:szCs w:val="18"/>
        </w:rPr>
        <w:t xml:space="preserve"> (Excel)</w:t>
      </w:r>
    </w:p>
    <w:p w14:paraId="0E988CA5" w14:textId="77777777" w:rsidR="00871C86" w:rsidRPr="00871C86" w:rsidRDefault="00871C86" w:rsidP="00871C86">
      <w:pPr>
        <w:pStyle w:val="Normal13pt"/>
        <w:spacing w:line="240" w:lineRule="auto"/>
        <w:ind w:left="0"/>
        <w:rPr>
          <w:rStyle w:val="Hyperlink"/>
          <w:rFonts w:ascii="Verdana" w:hAnsi="Verdana"/>
          <w:b w:val="0"/>
          <w:sz w:val="18"/>
          <w:szCs w:val="18"/>
          <w:lang w:val="en-US"/>
        </w:rPr>
      </w:pPr>
      <w:r>
        <w:rPr>
          <w:rFonts w:ascii="Verdana" w:hAnsi="Verdana"/>
          <w:b w:val="0"/>
          <w:sz w:val="18"/>
          <w:szCs w:val="18"/>
          <w:u w:val="none"/>
          <w:lang w:val="en-US"/>
        </w:rPr>
        <w:fldChar w:fldCharType="begin"/>
      </w:r>
      <w:r>
        <w:rPr>
          <w:rFonts w:ascii="Verdana" w:hAnsi="Verdana"/>
          <w:b w:val="0"/>
          <w:sz w:val="18"/>
          <w:szCs w:val="18"/>
          <w:u w:val="none"/>
          <w:lang w:val="en-US"/>
        </w:rPr>
        <w:instrText xml:space="preserve"> HYPERLINK "https://www.cystat.gov.cy/en/MethodologicalDetails?m=2092" \o "Methodological Information" </w:instrText>
      </w:r>
      <w:r>
        <w:rPr>
          <w:rFonts w:ascii="Verdana" w:hAnsi="Verdana"/>
          <w:b w:val="0"/>
          <w:sz w:val="18"/>
          <w:szCs w:val="18"/>
          <w:u w:val="none"/>
          <w:lang w:val="en-US"/>
        </w:rPr>
      </w:r>
      <w:r>
        <w:rPr>
          <w:rFonts w:ascii="Verdana" w:hAnsi="Verdana"/>
          <w:b w:val="0"/>
          <w:sz w:val="18"/>
          <w:szCs w:val="18"/>
          <w:u w:val="none"/>
          <w:lang w:val="en-US"/>
        </w:rPr>
        <w:fldChar w:fldCharType="separate"/>
      </w:r>
      <w:r w:rsidRPr="00871C86">
        <w:rPr>
          <w:rStyle w:val="Hyperlink"/>
          <w:rFonts w:ascii="Verdana" w:hAnsi="Verdana"/>
          <w:b w:val="0"/>
          <w:sz w:val="18"/>
          <w:szCs w:val="18"/>
          <w:lang w:val="en-US"/>
        </w:rPr>
        <w:t>Methodological Information</w:t>
      </w:r>
    </w:p>
    <w:p w14:paraId="0D585B1B" w14:textId="77777777" w:rsidR="00B7227E" w:rsidRDefault="00871C86" w:rsidP="00B7227E">
      <w:pPr>
        <w:ind w:right="-79"/>
        <w:jc w:val="both"/>
        <w:rPr>
          <w:rFonts w:ascii="Verdana" w:eastAsia="Malgun Gothic" w:hAnsi="Verdana" w:cs="Arial"/>
          <w:sz w:val="18"/>
          <w:szCs w:val="18"/>
        </w:rPr>
      </w:pPr>
      <w:r>
        <w:rPr>
          <w:rFonts w:ascii="Verdana" w:eastAsia="Times New Roman" w:hAnsi="Verdana"/>
          <w:sz w:val="18"/>
          <w:szCs w:val="18"/>
        </w:rPr>
        <w:fldChar w:fldCharType="end"/>
      </w:r>
    </w:p>
    <w:p w14:paraId="11ABC106" w14:textId="1021D3A0" w:rsidR="00B7227E" w:rsidRDefault="00B7227E" w:rsidP="00B7227E">
      <w:pPr>
        <w:jc w:val="both"/>
        <w:rPr>
          <w:rFonts w:ascii="Verdana" w:hAnsi="Verdana"/>
          <w:b/>
          <w:bCs/>
          <w:sz w:val="18"/>
          <w:szCs w:val="18"/>
        </w:rPr>
      </w:pPr>
      <w:r>
        <w:rPr>
          <w:rFonts w:ascii="Verdana" w:hAnsi="Verdana"/>
          <w:b/>
          <w:bCs/>
          <w:sz w:val="18"/>
          <w:szCs w:val="18"/>
        </w:rPr>
        <w:t xml:space="preserve">The data included in the </w:t>
      </w:r>
      <w:r>
        <w:rPr>
          <w:rFonts w:ascii="Verdana" w:hAnsi="Verdana"/>
          <w:b/>
          <w:bCs/>
          <w:sz w:val="18"/>
          <w:szCs w:val="18"/>
          <w:u w:val="single"/>
        </w:rPr>
        <w:t>Predefined Tables</w:t>
      </w:r>
      <w:r>
        <w:rPr>
          <w:rFonts w:ascii="Verdana" w:hAnsi="Verdana"/>
          <w:b/>
          <w:bCs/>
          <w:sz w:val="18"/>
          <w:szCs w:val="18"/>
        </w:rPr>
        <w:t xml:space="preserve"> in Excel format are available up to </w:t>
      </w:r>
      <w:r w:rsidR="00B736A4">
        <w:rPr>
          <w:rFonts w:ascii="Verdana" w:hAnsi="Verdana"/>
          <w:b/>
          <w:bCs/>
          <w:sz w:val="18"/>
          <w:szCs w:val="18"/>
        </w:rPr>
        <w:t>January</w:t>
      </w:r>
      <w:r>
        <w:rPr>
          <w:rFonts w:ascii="Verdana" w:hAnsi="Verdana"/>
          <w:b/>
          <w:bCs/>
          <w:sz w:val="18"/>
          <w:szCs w:val="18"/>
        </w:rPr>
        <w:t xml:space="preserve"> 2021. Data from January 2022 onwards are available only in the CYSTAT-DB Online Database.</w:t>
      </w:r>
    </w:p>
    <w:p w14:paraId="0518CF16" w14:textId="77777777" w:rsidR="00B7227E" w:rsidRDefault="00B7227E" w:rsidP="00B7227E">
      <w:pPr>
        <w:ind w:right="-79"/>
        <w:jc w:val="both"/>
        <w:rPr>
          <w:rFonts w:ascii="Verdana" w:eastAsia="Malgun Gothic" w:hAnsi="Verdana" w:cs="Arial"/>
          <w:sz w:val="18"/>
          <w:szCs w:val="18"/>
        </w:rPr>
      </w:pPr>
    </w:p>
    <w:p w14:paraId="23CD328B" w14:textId="77777777" w:rsidR="00B7227E" w:rsidRDefault="00B7227E" w:rsidP="00B7227E">
      <w:pPr>
        <w:ind w:right="-79"/>
        <w:jc w:val="both"/>
        <w:rPr>
          <w:rFonts w:ascii="Verdana" w:eastAsia="Malgun Gothic" w:hAnsi="Verdana" w:cs="Arial"/>
          <w:i/>
          <w:sz w:val="18"/>
          <w:szCs w:val="18"/>
        </w:rPr>
      </w:pPr>
      <w:r>
        <w:rPr>
          <w:rFonts w:ascii="Verdana" w:eastAsia="Malgun Gothic" w:hAnsi="Verdana" w:cs="Arial"/>
          <w:i/>
          <w:sz w:val="18"/>
          <w:szCs w:val="18"/>
          <w:u w:val="single"/>
        </w:rPr>
        <w:t>Contact</w:t>
      </w:r>
      <w:r>
        <w:rPr>
          <w:rFonts w:ascii="Verdana" w:eastAsia="Malgun Gothic" w:hAnsi="Verdana" w:cs="Arial"/>
          <w:i/>
          <w:sz w:val="18"/>
          <w:szCs w:val="18"/>
        </w:rPr>
        <w:t xml:space="preserve"> </w:t>
      </w:r>
    </w:p>
    <w:p w14:paraId="1218D724" w14:textId="77777777" w:rsidR="00972CA0" w:rsidRPr="00C26329" w:rsidRDefault="00B7227E" w:rsidP="00072754">
      <w:pPr>
        <w:jc w:val="both"/>
        <w:rPr>
          <w:rFonts w:ascii="Verdana" w:eastAsia="Malgun Gothic" w:hAnsi="Verdana" w:cs="Arial"/>
          <w:sz w:val="18"/>
          <w:szCs w:val="18"/>
        </w:rPr>
      </w:pPr>
      <w:proofErr w:type="spellStart"/>
      <w:r w:rsidRPr="005E42D5">
        <w:rPr>
          <w:rFonts w:ascii="Verdana" w:eastAsia="Malgun Gothic" w:hAnsi="Verdana" w:cs="Arial"/>
          <w:sz w:val="18"/>
          <w:szCs w:val="18"/>
        </w:rPr>
        <w:t>Constandia</w:t>
      </w:r>
      <w:proofErr w:type="spellEnd"/>
      <w:r w:rsidRPr="005E42D5">
        <w:rPr>
          <w:rFonts w:ascii="Verdana" w:eastAsia="Malgun Gothic" w:hAnsi="Verdana" w:cs="Arial"/>
          <w:sz w:val="18"/>
          <w:szCs w:val="18"/>
        </w:rPr>
        <w:t xml:space="preserve"> Papageorgiou: Tel: +35722602116, Email:</w:t>
      </w:r>
      <w:r w:rsidRPr="00553D50">
        <w:rPr>
          <w:rFonts w:ascii="Verdana" w:eastAsia="Malgun Gothic" w:hAnsi="Verdana" w:cs="Arial"/>
          <w:sz w:val="20"/>
          <w:szCs w:val="20"/>
        </w:rPr>
        <w:t xml:space="preserve"> </w:t>
      </w:r>
      <w:hyperlink r:id="rId12" w:history="1">
        <w:r w:rsidRPr="00553D50">
          <w:rPr>
            <w:rStyle w:val="Hyperlink"/>
            <w:rFonts w:ascii="Verdana" w:eastAsia="Malgun Gothic" w:hAnsi="Verdana" w:cs="Arial"/>
            <w:sz w:val="20"/>
            <w:szCs w:val="20"/>
          </w:rPr>
          <w:t>cpapageorgiou@cystat.mof.gov.cy</w:t>
        </w:r>
      </w:hyperlink>
    </w:p>
    <w:sectPr w:rsidR="00972CA0" w:rsidRPr="00C26329" w:rsidSect="008D1BCB">
      <w:headerReference w:type="default" r:id="rId13"/>
      <w:footerReference w:type="default" r:id="rId14"/>
      <w:headerReference w:type="first" r:id="rId15"/>
      <w:footerReference w:type="first" r:id="rId16"/>
      <w:pgSz w:w="11907" w:h="16840" w:code="9"/>
      <w:pgMar w:top="810"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C3D1E7" w14:textId="77777777" w:rsidR="0021294A" w:rsidRDefault="0021294A" w:rsidP="00FB398F">
      <w:r>
        <w:separator/>
      </w:r>
    </w:p>
  </w:endnote>
  <w:endnote w:type="continuationSeparator" w:id="0">
    <w:p w14:paraId="2854AA2F" w14:textId="77777777" w:rsidR="0021294A" w:rsidRDefault="0021294A"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28551"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C32D3A">
      <w:rPr>
        <w:noProof/>
      </w:rPr>
      <w:t>3</w:t>
    </w:r>
    <w:r w:rsidR="0027122D">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608DA" w14:textId="2432570E" w:rsidR="0060256A" w:rsidRPr="00122143" w:rsidRDefault="0060256A" w:rsidP="0060256A">
    <w:pPr>
      <w:pStyle w:val="Footer"/>
      <w:pBdr>
        <w:top w:val="single" w:sz="4" w:space="1" w:color="auto"/>
      </w:pBdr>
      <w:tabs>
        <w:tab w:val="left" w:pos="4500"/>
      </w:tabs>
      <w:jc w:val="center"/>
      <w:rPr>
        <w:rFonts w:ascii="Arial" w:hAnsi="Arial" w:cs="Arial"/>
        <w:i/>
        <w:iCs/>
        <w:sz w:val="16"/>
        <w:szCs w:val="16"/>
      </w:rPr>
    </w:pPr>
    <w:r w:rsidRPr="00122143">
      <w:rPr>
        <w:rFonts w:ascii="Arial" w:hAnsi="Arial" w:cs="Arial"/>
        <w:i/>
        <w:iCs/>
        <w:sz w:val="16"/>
        <w:szCs w:val="16"/>
      </w:rPr>
      <w:t>Address:  Micha</w:t>
    </w:r>
    <w:r w:rsidR="00EF6A66">
      <w:rPr>
        <w:rFonts w:ascii="Arial" w:hAnsi="Arial" w:cs="Arial"/>
        <w:i/>
        <w:iCs/>
        <w:sz w:val="16"/>
        <w:szCs w:val="16"/>
      </w:rPr>
      <w:t>el</w:t>
    </w:r>
    <w:r w:rsidRPr="00122143">
      <w:rPr>
        <w:rFonts w:ascii="Arial" w:hAnsi="Arial" w:cs="Arial"/>
        <w:i/>
        <w:iCs/>
        <w:sz w:val="16"/>
        <w:szCs w:val="16"/>
      </w:rPr>
      <w:t xml:space="preserve"> </w:t>
    </w:r>
    <w:proofErr w:type="spellStart"/>
    <w:r w:rsidRPr="00122143">
      <w:rPr>
        <w:rFonts w:ascii="Arial" w:hAnsi="Arial" w:cs="Arial"/>
        <w:i/>
        <w:iCs/>
        <w:sz w:val="16"/>
        <w:szCs w:val="16"/>
      </w:rPr>
      <w:t>Karaoli</w:t>
    </w:r>
    <w:proofErr w:type="spellEnd"/>
    <w:r w:rsidRPr="00122143">
      <w:rPr>
        <w:rFonts w:ascii="Arial" w:hAnsi="Arial" w:cs="Arial"/>
        <w:i/>
        <w:iCs/>
        <w:sz w:val="16"/>
        <w:szCs w:val="16"/>
      </w:rPr>
      <w:t xml:space="preserve"> Str., 1444 Nicosia, Cyprus</w:t>
    </w:r>
  </w:p>
  <w:p w14:paraId="19BE5536" w14:textId="77777777" w:rsidR="0060256A" w:rsidRPr="008339CF" w:rsidRDefault="00122143" w:rsidP="0060256A">
    <w:pPr>
      <w:pStyle w:val="Footer"/>
      <w:tabs>
        <w:tab w:val="left" w:pos="4500"/>
      </w:tabs>
      <w:jc w:val="center"/>
      <w:rPr>
        <w:rFonts w:ascii="Arial" w:hAnsi="Arial" w:cs="Arial"/>
        <w:i/>
        <w:iCs/>
        <w:sz w:val="16"/>
        <w:szCs w:val="16"/>
        <w:lang w:val="pt-PT"/>
      </w:rPr>
    </w:pPr>
    <w:r w:rsidRPr="008339CF">
      <w:rPr>
        <w:rFonts w:ascii="Arial" w:hAnsi="Arial" w:cs="Arial"/>
        <w:i/>
        <w:iCs/>
        <w:sz w:val="16"/>
        <w:szCs w:val="16"/>
        <w:lang w:val="pt-PT"/>
      </w:rPr>
      <w:t xml:space="preserve">Tel.:  22 602129, </w:t>
    </w:r>
    <w:r w:rsidR="0060256A" w:rsidRPr="008339CF">
      <w:rPr>
        <w:rFonts w:ascii="Arial" w:hAnsi="Arial" w:cs="Arial"/>
        <w:i/>
        <w:iCs/>
        <w:sz w:val="16"/>
        <w:szCs w:val="16"/>
        <w:lang w:val="pt-PT"/>
      </w:rPr>
      <w:t>Fax: 22 661313, E-mail:  enquiries@cystat.mof.gov.cy</w:t>
    </w:r>
  </w:p>
  <w:p w14:paraId="35D7AD11" w14:textId="77777777" w:rsidR="004E4F42" w:rsidRPr="00122143" w:rsidRDefault="0060256A" w:rsidP="0060256A">
    <w:pPr>
      <w:pStyle w:val="Footer"/>
      <w:tabs>
        <w:tab w:val="left" w:pos="4500"/>
      </w:tabs>
      <w:jc w:val="center"/>
      <w:rPr>
        <w:rFonts w:ascii="Arial" w:hAnsi="Arial" w:cs="Arial"/>
        <w:sz w:val="16"/>
        <w:szCs w:val="16"/>
      </w:rPr>
    </w:pPr>
    <w:r w:rsidRPr="00122143">
      <w:rPr>
        <w:rFonts w:ascii="Arial" w:hAnsi="Arial" w:cs="Arial"/>
        <w:i/>
        <w:iCs/>
        <w:sz w:val="16"/>
        <w:szCs w:val="16"/>
      </w:rPr>
      <w:t xml:space="preserve">Web site: </w:t>
    </w:r>
    <w:hyperlink r:id="rId1" w:history="1">
      <w:r w:rsidRPr="00122143">
        <w:rPr>
          <w:rStyle w:val="Hyperlink"/>
          <w:rFonts w:ascii="Arial" w:hAnsi="Arial" w:cs="Arial"/>
          <w:i/>
          <w:iCs/>
          <w:sz w:val="16"/>
          <w:szCs w:val="16"/>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0B7542" w14:textId="77777777" w:rsidR="0021294A" w:rsidRDefault="0021294A" w:rsidP="00FB398F">
      <w:r>
        <w:separator/>
      </w:r>
    </w:p>
  </w:footnote>
  <w:footnote w:type="continuationSeparator" w:id="0">
    <w:p w14:paraId="6E52DB50" w14:textId="77777777" w:rsidR="0021294A" w:rsidRDefault="0021294A"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F0775"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83B67" w14:textId="77777777" w:rsidR="004E4F42" w:rsidRDefault="001A0649"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noProof/>
      </w:rPr>
      <w:drawing>
        <wp:anchor distT="0" distB="0" distL="114300" distR="114300" simplePos="0" relativeHeight="251656192" behindDoc="0" locked="0" layoutInCell="1" allowOverlap="1" wp14:anchorId="047E6AB5" wp14:editId="00D06618">
          <wp:simplePos x="0" y="0"/>
          <wp:positionH relativeFrom="column">
            <wp:posOffset>523875</wp:posOffset>
          </wp:positionH>
          <wp:positionV relativeFrom="paragraph">
            <wp:posOffset>168910</wp:posOffset>
          </wp:positionV>
          <wp:extent cx="676275" cy="676275"/>
          <wp:effectExtent l="0" t="0" r="0" b="0"/>
          <wp:wrapNone/>
          <wp:docPr id="4"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14:anchorId="55E94D02" wp14:editId="723C1898">
              <wp:simplePos x="0" y="0"/>
              <wp:positionH relativeFrom="column">
                <wp:posOffset>4772660</wp:posOffset>
              </wp:positionH>
              <wp:positionV relativeFrom="paragraph">
                <wp:posOffset>-69215</wp:posOffset>
              </wp:positionV>
              <wp:extent cx="1287780" cy="1047750"/>
              <wp:effectExtent l="0" t="0" r="8255" b="0"/>
              <wp:wrapNone/>
              <wp:docPr id="188237917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3B54B3CE" w14:textId="77777777" w:rsidR="004E4F42" w:rsidRDefault="001A0649" w:rsidP="000932CF">
                          <w:r w:rsidRPr="00FA55C3">
                            <w:rPr>
                              <w:noProof/>
                            </w:rPr>
                            <w:drawing>
                              <wp:inline distT="0" distB="0" distL="0" distR="0" wp14:anchorId="6BE9B95C" wp14:editId="0078EEE5">
                                <wp:extent cx="1095375" cy="79057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E94D02" id="_x0000_t202" coordsize="21600,21600" o:spt="202" path="m,l,21600r21600,l21600,xe">
              <v:stroke joinstyle="miter"/>
              <v:path gradientshapeok="t" o:connecttype="rect"/>
            </v:shapetype>
            <v:shape id="Text Box 3"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3B54B3CE" w14:textId="77777777" w:rsidR="004E4F42" w:rsidRDefault="001A0649" w:rsidP="000932CF">
                    <w:r w:rsidRPr="00FA55C3">
                      <w:rPr>
                        <w:noProof/>
                      </w:rPr>
                      <w:drawing>
                        <wp:inline distT="0" distB="0" distL="0" distR="0" wp14:anchorId="6BE9B95C" wp14:editId="0078EEE5">
                          <wp:extent cx="1095375" cy="79057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068886D8" wp14:editId="3EA9B741">
              <wp:simplePos x="0" y="0"/>
              <wp:positionH relativeFrom="column">
                <wp:posOffset>3439160</wp:posOffset>
              </wp:positionH>
              <wp:positionV relativeFrom="paragraph">
                <wp:posOffset>-221615</wp:posOffset>
              </wp:positionV>
              <wp:extent cx="1468755" cy="1200150"/>
              <wp:effectExtent l="0" t="0" r="0" b="0"/>
              <wp:wrapNone/>
              <wp:docPr id="17462401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239E0EE6" w14:textId="77777777" w:rsidR="004E4F42" w:rsidRDefault="001A0649" w:rsidP="000932CF">
                          <w:r w:rsidRPr="00FA55C3">
                            <w:rPr>
                              <w:noProof/>
                            </w:rPr>
                            <w:drawing>
                              <wp:inline distT="0" distB="0" distL="0" distR="0" wp14:anchorId="3A716D08" wp14:editId="2C709B55">
                                <wp:extent cx="1276350" cy="1009650"/>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886D8" id="Text Box 2"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239E0EE6" w14:textId="77777777" w:rsidR="004E4F42" w:rsidRDefault="001A0649" w:rsidP="000932CF">
                    <w:r w:rsidRPr="00FA55C3">
                      <w:rPr>
                        <w:noProof/>
                      </w:rPr>
                      <w:drawing>
                        <wp:inline distT="0" distB="0" distL="0" distR="0" wp14:anchorId="3A716D08" wp14:editId="2C709B55">
                          <wp:extent cx="1276350" cy="1009650"/>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017BDBC7"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07AB106D"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48A1E2BD"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05845A66" w14:textId="77777777" w:rsidR="004E4F42" w:rsidRDefault="004E4F42" w:rsidP="000932CF">
    <w:pPr>
      <w:pStyle w:val="Header"/>
      <w:tabs>
        <w:tab w:val="clear" w:pos="4153"/>
        <w:tab w:val="center" w:pos="1620"/>
        <w:tab w:val="left" w:pos="2160"/>
        <w:tab w:val="center" w:pos="7655"/>
      </w:tabs>
      <w:spacing w:line="360" w:lineRule="auto"/>
      <w:rPr>
        <w:rFonts w:ascii="Arial" w:hAnsi="Arial" w:cs="Arial"/>
        <w:bCs/>
        <w:sz w:val="18"/>
        <w:szCs w:val="18"/>
      </w:rPr>
    </w:pPr>
  </w:p>
  <w:p w14:paraId="418C9BE0" w14:textId="77777777" w:rsidR="00364377" w:rsidRPr="00AC704B" w:rsidRDefault="001A0649"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noProof/>
      </w:rPr>
      <mc:AlternateContent>
        <mc:Choice Requires="wps">
          <w:drawing>
            <wp:anchor distT="0" distB="0" distL="114300" distR="114300" simplePos="0" relativeHeight="251659264" behindDoc="0" locked="0" layoutInCell="1" allowOverlap="1" wp14:anchorId="0FE80797" wp14:editId="5377F090">
              <wp:simplePos x="0" y="0"/>
              <wp:positionH relativeFrom="column">
                <wp:posOffset>4102100</wp:posOffset>
              </wp:positionH>
              <wp:positionV relativeFrom="paragraph">
                <wp:posOffset>-140335</wp:posOffset>
              </wp:positionV>
              <wp:extent cx="1828800" cy="533400"/>
              <wp:effectExtent l="0" t="0" r="0" b="0"/>
              <wp:wrapNone/>
              <wp:docPr id="2533410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wps:spPr>
                    <wps:txbx>
                      <w:txbxContent>
                        <w:p w14:paraId="17FE3F2E"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0FCA8B14"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place">
                            <w:smartTag w:uri="urn:schemas-microsoft-com:office:smarttags" w:element="country-region">
                              <w:r w:rsidRPr="00BA5A5E">
                                <w:rPr>
                                  <w:rFonts w:ascii="Arial" w:hAnsi="Arial" w:cs="Arial"/>
                                  <w:b/>
                                  <w:sz w:val="20"/>
                                  <w:szCs w:val="20"/>
                                </w:rPr>
                                <w:t>CYPRUS</w:t>
                              </w:r>
                            </w:smartTag>
                          </w:smartTag>
                        </w:p>
                        <w:p w14:paraId="68462DB1"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80797" id="Text Box 1" o:spid="_x0000_s1028" type="#_x0000_t202" style="position:absolute;margin-left:323pt;margin-top:-11.05pt;width:2in;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O89QEAANE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" stroked="f">
              <v:textbox>
                <w:txbxContent>
                  <w:p w14:paraId="17FE3F2E"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0FCA8B14"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country-region">
                      <w:smartTag w:uri="urn:schemas-microsoft-com:office:smarttags" w:element="place">
                        <w:r w:rsidRPr="00BA5A5E">
                          <w:rPr>
                            <w:rFonts w:ascii="Arial" w:hAnsi="Arial" w:cs="Arial"/>
                            <w:b/>
                            <w:sz w:val="20"/>
                            <w:szCs w:val="20"/>
                          </w:rPr>
                          <w:t>CYPRUS</w:t>
                        </w:r>
                      </w:smartTag>
                    </w:smartTag>
                  </w:p>
                  <w:p w14:paraId="68462DB1"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v:textbox>
            </v:shape>
          </w:pict>
        </mc:Fallback>
      </mc:AlternateContent>
    </w:r>
    <w:r w:rsidR="004E4F42" w:rsidRPr="00AC704B">
      <w:rPr>
        <w:rFonts w:ascii="Arial" w:hAnsi="Arial" w:cs="Arial"/>
        <w:bCs/>
        <w:sz w:val="18"/>
        <w:szCs w:val="18"/>
        <w:lang w:val="en-US"/>
      </w:rPr>
      <w:t xml:space="preserve">     </w:t>
    </w:r>
    <w:r w:rsidR="004E4F42">
      <w:rPr>
        <w:rFonts w:ascii="Arial" w:hAnsi="Arial" w:cs="Arial"/>
        <w:bCs/>
        <w:sz w:val="18"/>
        <w:szCs w:val="18"/>
        <w:lang w:val="en-US"/>
      </w:rPr>
      <w:t xml:space="preserve">   </w:t>
    </w:r>
    <w:r w:rsidR="00364377" w:rsidRPr="007C1520">
      <w:rPr>
        <w:rFonts w:ascii="Arial" w:hAnsi="Arial" w:cs="Arial"/>
        <w:bCs/>
        <w:sz w:val="18"/>
        <w:szCs w:val="18"/>
        <w:lang w:val="en-US"/>
      </w:rPr>
      <w:t>REPUBLIC OF CYPRUS</w:t>
    </w:r>
    <w:r w:rsidR="00364377" w:rsidRPr="00AC704B">
      <w:rPr>
        <w:b/>
        <w:bCs/>
        <w:sz w:val="20"/>
        <w:szCs w:val="20"/>
        <w:lang w:val="en-US"/>
      </w:rPr>
      <w:t xml:space="preserve"> </w:t>
    </w:r>
    <w:r w:rsidR="00364377" w:rsidRPr="00AC704B">
      <w:rPr>
        <w:b/>
        <w:bCs/>
        <w:sz w:val="20"/>
        <w:szCs w:val="20"/>
        <w:lang w:val="en-US"/>
      </w:rPr>
      <w:tab/>
    </w:r>
  </w:p>
  <w:p w14:paraId="4A44A948" w14:textId="77777777" w:rsidR="004E4F42" w:rsidRPr="00AC704B" w:rsidRDefault="0060256A"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00364377">
      <w:rPr>
        <w:rFonts w:ascii="Arial" w:hAnsi="Arial" w:cs="Arial"/>
        <w:b/>
        <w:bCs/>
        <w:sz w:val="20"/>
        <w:szCs w:val="20"/>
        <w:lang w:val="en-US"/>
      </w:rPr>
      <w:t xml:space="preserve">  </w:t>
    </w:r>
    <w:r w:rsidR="004E4F42" w:rsidRPr="00AC704B">
      <w:rPr>
        <w:rFonts w:ascii="Arial" w:hAnsi="Arial" w:cs="Arial"/>
        <w:b/>
        <w:bCs/>
        <w:sz w:val="22"/>
        <w:szCs w:val="22"/>
        <w:lang w:val="en-US"/>
      </w:rPr>
      <w:tab/>
    </w:r>
    <w:r w:rsidR="004E4F42" w:rsidRPr="00AC704B">
      <w:rPr>
        <w:b/>
        <w:bCs/>
        <w:sz w:val="22"/>
        <w:szCs w:val="22"/>
        <w:lang w:val="en-US"/>
      </w:rPr>
      <w:tab/>
    </w:r>
  </w:p>
  <w:p w14:paraId="471EFEE1" w14:textId="77777777" w:rsidR="004E4F42" w:rsidRPr="0060256A" w:rsidRDefault="004E4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786120611">
    <w:abstractNumId w:val="4"/>
  </w:num>
  <w:num w:numId="2" w16cid:durableId="158548612">
    <w:abstractNumId w:val="1"/>
  </w:num>
  <w:num w:numId="3" w16cid:durableId="2111463240">
    <w:abstractNumId w:val="2"/>
  </w:num>
  <w:num w:numId="4" w16cid:durableId="281109652">
    <w:abstractNumId w:val="3"/>
  </w:num>
  <w:num w:numId="5" w16cid:durableId="1241449039">
    <w:abstractNumId w:val="0"/>
  </w:num>
  <w:num w:numId="6" w16cid:durableId="1080519628">
    <w:abstractNumId w:val="5"/>
  </w:num>
  <w:num w:numId="7" w16cid:durableId="10251814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4F86"/>
    <w:rsid w:val="0000542E"/>
    <w:rsid w:val="00013E40"/>
    <w:rsid w:val="000161B1"/>
    <w:rsid w:val="00025A39"/>
    <w:rsid w:val="00027853"/>
    <w:rsid w:val="00030E18"/>
    <w:rsid w:val="00031D32"/>
    <w:rsid w:val="000342D2"/>
    <w:rsid w:val="0003603D"/>
    <w:rsid w:val="00036FA9"/>
    <w:rsid w:val="00041788"/>
    <w:rsid w:val="00045088"/>
    <w:rsid w:val="00045A06"/>
    <w:rsid w:val="00050391"/>
    <w:rsid w:val="00054A6F"/>
    <w:rsid w:val="00055291"/>
    <w:rsid w:val="000563D3"/>
    <w:rsid w:val="00057E44"/>
    <w:rsid w:val="00061299"/>
    <w:rsid w:val="00065407"/>
    <w:rsid w:val="00070576"/>
    <w:rsid w:val="00072754"/>
    <w:rsid w:val="00072C6C"/>
    <w:rsid w:val="000752BB"/>
    <w:rsid w:val="00080E1C"/>
    <w:rsid w:val="00081ADF"/>
    <w:rsid w:val="00083048"/>
    <w:rsid w:val="00084599"/>
    <w:rsid w:val="00084A02"/>
    <w:rsid w:val="00084BF7"/>
    <w:rsid w:val="0008692F"/>
    <w:rsid w:val="000870E9"/>
    <w:rsid w:val="00092E06"/>
    <w:rsid w:val="000932CF"/>
    <w:rsid w:val="00096ED8"/>
    <w:rsid w:val="000A1A88"/>
    <w:rsid w:val="000A2B5C"/>
    <w:rsid w:val="000A3601"/>
    <w:rsid w:val="000A6FA8"/>
    <w:rsid w:val="000B6F3B"/>
    <w:rsid w:val="000C4E72"/>
    <w:rsid w:val="000C5939"/>
    <w:rsid w:val="000D1E7A"/>
    <w:rsid w:val="000E24B1"/>
    <w:rsid w:val="000E2735"/>
    <w:rsid w:val="000E32D6"/>
    <w:rsid w:val="000E57F2"/>
    <w:rsid w:val="000E72A7"/>
    <w:rsid w:val="000F1162"/>
    <w:rsid w:val="000F3467"/>
    <w:rsid w:val="000F38DE"/>
    <w:rsid w:val="000F5D6C"/>
    <w:rsid w:val="00106852"/>
    <w:rsid w:val="00110F9D"/>
    <w:rsid w:val="00114A67"/>
    <w:rsid w:val="00122143"/>
    <w:rsid w:val="001253B6"/>
    <w:rsid w:val="00127320"/>
    <w:rsid w:val="00127456"/>
    <w:rsid w:val="001312D8"/>
    <w:rsid w:val="0013137B"/>
    <w:rsid w:val="0015118B"/>
    <w:rsid w:val="001519CE"/>
    <w:rsid w:val="00161CF3"/>
    <w:rsid w:val="00162C00"/>
    <w:rsid w:val="001639EF"/>
    <w:rsid w:val="0016589F"/>
    <w:rsid w:val="00165DB7"/>
    <w:rsid w:val="00166FC4"/>
    <w:rsid w:val="001714E3"/>
    <w:rsid w:val="00176558"/>
    <w:rsid w:val="0017756A"/>
    <w:rsid w:val="0017769A"/>
    <w:rsid w:val="00183DFC"/>
    <w:rsid w:val="00184384"/>
    <w:rsid w:val="00186717"/>
    <w:rsid w:val="00187FFC"/>
    <w:rsid w:val="00195FE3"/>
    <w:rsid w:val="001A0649"/>
    <w:rsid w:val="001A2018"/>
    <w:rsid w:val="001A2AE4"/>
    <w:rsid w:val="001A3DD4"/>
    <w:rsid w:val="001B2C39"/>
    <w:rsid w:val="001B3675"/>
    <w:rsid w:val="001B54AB"/>
    <w:rsid w:val="001B5E10"/>
    <w:rsid w:val="001B65F5"/>
    <w:rsid w:val="001B6AB3"/>
    <w:rsid w:val="001B73D5"/>
    <w:rsid w:val="001C0681"/>
    <w:rsid w:val="001C14B9"/>
    <w:rsid w:val="001C2FA0"/>
    <w:rsid w:val="001C62B3"/>
    <w:rsid w:val="001C7C8C"/>
    <w:rsid w:val="001D0D6A"/>
    <w:rsid w:val="001D20A4"/>
    <w:rsid w:val="001D2C52"/>
    <w:rsid w:val="001E00D1"/>
    <w:rsid w:val="001E0E58"/>
    <w:rsid w:val="001E14F3"/>
    <w:rsid w:val="001E15ED"/>
    <w:rsid w:val="001E61AA"/>
    <w:rsid w:val="001E6667"/>
    <w:rsid w:val="001E7D09"/>
    <w:rsid w:val="0020309E"/>
    <w:rsid w:val="00205BA0"/>
    <w:rsid w:val="002071F4"/>
    <w:rsid w:val="00210B58"/>
    <w:rsid w:val="0021294A"/>
    <w:rsid w:val="00215779"/>
    <w:rsid w:val="00222423"/>
    <w:rsid w:val="00225B28"/>
    <w:rsid w:val="002313AC"/>
    <w:rsid w:val="00235FB2"/>
    <w:rsid w:val="00237BC1"/>
    <w:rsid w:val="002430B4"/>
    <w:rsid w:val="002447D0"/>
    <w:rsid w:val="002454C5"/>
    <w:rsid w:val="00245E19"/>
    <w:rsid w:val="0024685F"/>
    <w:rsid w:val="00246AEB"/>
    <w:rsid w:val="00250005"/>
    <w:rsid w:val="0025254F"/>
    <w:rsid w:val="0025566D"/>
    <w:rsid w:val="0025595C"/>
    <w:rsid w:val="00257149"/>
    <w:rsid w:val="002576E7"/>
    <w:rsid w:val="00260357"/>
    <w:rsid w:val="002643CB"/>
    <w:rsid w:val="00264F04"/>
    <w:rsid w:val="00267554"/>
    <w:rsid w:val="0027122D"/>
    <w:rsid w:val="00277E55"/>
    <w:rsid w:val="0028338F"/>
    <w:rsid w:val="00283BFC"/>
    <w:rsid w:val="00285C24"/>
    <w:rsid w:val="002915C4"/>
    <w:rsid w:val="00292E91"/>
    <w:rsid w:val="002A1D1C"/>
    <w:rsid w:val="002A4D64"/>
    <w:rsid w:val="002B1BA2"/>
    <w:rsid w:val="002B6554"/>
    <w:rsid w:val="002C6A16"/>
    <w:rsid w:val="002D05F0"/>
    <w:rsid w:val="002D7D4A"/>
    <w:rsid w:val="002E1906"/>
    <w:rsid w:val="002E2BFF"/>
    <w:rsid w:val="002E34A5"/>
    <w:rsid w:val="002E3846"/>
    <w:rsid w:val="002E3F78"/>
    <w:rsid w:val="002F400C"/>
    <w:rsid w:val="002F4D76"/>
    <w:rsid w:val="002F6D26"/>
    <w:rsid w:val="00300B86"/>
    <w:rsid w:val="0030231E"/>
    <w:rsid w:val="003042C4"/>
    <w:rsid w:val="0030449F"/>
    <w:rsid w:val="00304CB4"/>
    <w:rsid w:val="00306FF8"/>
    <w:rsid w:val="003070A8"/>
    <w:rsid w:val="00312DCE"/>
    <w:rsid w:val="00313F37"/>
    <w:rsid w:val="003141D0"/>
    <w:rsid w:val="003168C1"/>
    <w:rsid w:val="00322FBE"/>
    <w:rsid w:val="00325632"/>
    <w:rsid w:val="00327549"/>
    <w:rsid w:val="003342A5"/>
    <w:rsid w:val="00336C36"/>
    <w:rsid w:val="0033704E"/>
    <w:rsid w:val="00343815"/>
    <w:rsid w:val="003522BB"/>
    <w:rsid w:val="00352F6C"/>
    <w:rsid w:val="003556EA"/>
    <w:rsid w:val="00364210"/>
    <w:rsid w:val="00364377"/>
    <w:rsid w:val="003719E6"/>
    <w:rsid w:val="00377ABB"/>
    <w:rsid w:val="003854F5"/>
    <w:rsid w:val="00385995"/>
    <w:rsid w:val="00386CDF"/>
    <w:rsid w:val="00386FC7"/>
    <w:rsid w:val="00390A32"/>
    <w:rsid w:val="00391BE8"/>
    <w:rsid w:val="00396C21"/>
    <w:rsid w:val="00396C89"/>
    <w:rsid w:val="003A372A"/>
    <w:rsid w:val="003A3B77"/>
    <w:rsid w:val="003A40F2"/>
    <w:rsid w:val="003A4EEC"/>
    <w:rsid w:val="003A50D1"/>
    <w:rsid w:val="003B10FB"/>
    <w:rsid w:val="003B196D"/>
    <w:rsid w:val="003B2710"/>
    <w:rsid w:val="003B4608"/>
    <w:rsid w:val="003C1786"/>
    <w:rsid w:val="003C1B8E"/>
    <w:rsid w:val="003C2392"/>
    <w:rsid w:val="003C5174"/>
    <w:rsid w:val="003C5240"/>
    <w:rsid w:val="003D14E0"/>
    <w:rsid w:val="003D1EA5"/>
    <w:rsid w:val="003D2EE5"/>
    <w:rsid w:val="003D3348"/>
    <w:rsid w:val="003D42BE"/>
    <w:rsid w:val="003D6822"/>
    <w:rsid w:val="003D724C"/>
    <w:rsid w:val="003E0CE2"/>
    <w:rsid w:val="003E680B"/>
    <w:rsid w:val="003F15F4"/>
    <w:rsid w:val="003F49E4"/>
    <w:rsid w:val="003F4D2F"/>
    <w:rsid w:val="003F5E32"/>
    <w:rsid w:val="003F75F6"/>
    <w:rsid w:val="00404670"/>
    <w:rsid w:val="00414CA0"/>
    <w:rsid w:val="00422F54"/>
    <w:rsid w:val="00431516"/>
    <w:rsid w:val="004361B3"/>
    <w:rsid w:val="00436887"/>
    <w:rsid w:val="00440353"/>
    <w:rsid w:val="00442411"/>
    <w:rsid w:val="0044249D"/>
    <w:rsid w:val="00442ACB"/>
    <w:rsid w:val="0044379F"/>
    <w:rsid w:val="00446FB1"/>
    <w:rsid w:val="00450A9E"/>
    <w:rsid w:val="00453A97"/>
    <w:rsid w:val="0045448D"/>
    <w:rsid w:val="0046078F"/>
    <w:rsid w:val="00463214"/>
    <w:rsid w:val="0046434D"/>
    <w:rsid w:val="004656FA"/>
    <w:rsid w:val="00467862"/>
    <w:rsid w:val="00471D77"/>
    <w:rsid w:val="00475587"/>
    <w:rsid w:val="00480BC2"/>
    <w:rsid w:val="004867C1"/>
    <w:rsid w:val="004929C2"/>
    <w:rsid w:val="00493FDD"/>
    <w:rsid w:val="0049586B"/>
    <w:rsid w:val="00495B7A"/>
    <w:rsid w:val="00496951"/>
    <w:rsid w:val="004A2AA3"/>
    <w:rsid w:val="004A3E44"/>
    <w:rsid w:val="004A7983"/>
    <w:rsid w:val="004B2896"/>
    <w:rsid w:val="004B2BA6"/>
    <w:rsid w:val="004B38E9"/>
    <w:rsid w:val="004B3FBA"/>
    <w:rsid w:val="004B556F"/>
    <w:rsid w:val="004B6599"/>
    <w:rsid w:val="004C35CE"/>
    <w:rsid w:val="004C400C"/>
    <w:rsid w:val="004C6CA7"/>
    <w:rsid w:val="004D4357"/>
    <w:rsid w:val="004D4950"/>
    <w:rsid w:val="004E2393"/>
    <w:rsid w:val="004E27EC"/>
    <w:rsid w:val="004E3745"/>
    <w:rsid w:val="004E42BE"/>
    <w:rsid w:val="004E4F42"/>
    <w:rsid w:val="004E63D5"/>
    <w:rsid w:val="004F03FD"/>
    <w:rsid w:val="004F4DC9"/>
    <w:rsid w:val="004F52F0"/>
    <w:rsid w:val="004F6250"/>
    <w:rsid w:val="004F677C"/>
    <w:rsid w:val="004F6D8F"/>
    <w:rsid w:val="00505503"/>
    <w:rsid w:val="0051107B"/>
    <w:rsid w:val="00512F9C"/>
    <w:rsid w:val="00527CDB"/>
    <w:rsid w:val="005317FB"/>
    <w:rsid w:val="005341C9"/>
    <w:rsid w:val="005369CA"/>
    <w:rsid w:val="00536DE9"/>
    <w:rsid w:val="00540668"/>
    <w:rsid w:val="00541E08"/>
    <w:rsid w:val="00551768"/>
    <w:rsid w:val="00556123"/>
    <w:rsid w:val="0055789A"/>
    <w:rsid w:val="005652D1"/>
    <w:rsid w:val="005660A0"/>
    <w:rsid w:val="00566A4F"/>
    <w:rsid w:val="00567D64"/>
    <w:rsid w:val="00572BC2"/>
    <w:rsid w:val="00574E75"/>
    <w:rsid w:val="005938ED"/>
    <w:rsid w:val="0059478C"/>
    <w:rsid w:val="00594C0A"/>
    <w:rsid w:val="005978D4"/>
    <w:rsid w:val="005B2A67"/>
    <w:rsid w:val="005B3DCD"/>
    <w:rsid w:val="005B4AD4"/>
    <w:rsid w:val="005B5CC7"/>
    <w:rsid w:val="005B6078"/>
    <w:rsid w:val="005B6B8F"/>
    <w:rsid w:val="005C2798"/>
    <w:rsid w:val="005C36C3"/>
    <w:rsid w:val="005C56EE"/>
    <w:rsid w:val="005C5D4B"/>
    <w:rsid w:val="005D1714"/>
    <w:rsid w:val="005D2D39"/>
    <w:rsid w:val="005D5E36"/>
    <w:rsid w:val="005D7638"/>
    <w:rsid w:val="005D78E6"/>
    <w:rsid w:val="005F12F5"/>
    <w:rsid w:val="005F49BB"/>
    <w:rsid w:val="005F4B4F"/>
    <w:rsid w:val="005F7C7D"/>
    <w:rsid w:val="0060256A"/>
    <w:rsid w:val="006044B7"/>
    <w:rsid w:val="006071CE"/>
    <w:rsid w:val="006075B5"/>
    <w:rsid w:val="0061018C"/>
    <w:rsid w:val="00610449"/>
    <w:rsid w:val="0061094E"/>
    <w:rsid w:val="00613440"/>
    <w:rsid w:val="00613BE3"/>
    <w:rsid w:val="00615580"/>
    <w:rsid w:val="0062118B"/>
    <w:rsid w:val="0062327B"/>
    <w:rsid w:val="00632777"/>
    <w:rsid w:val="00633750"/>
    <w:rsid w:val="00634491"/>
    <w:rsid w:val="0063679C"/>
    <w:rsid w:val="00637055"/>
    <w:rsid w:val="00641D59"/>
    <w:rsid w:val="00644507"/>
    <w:rsid w:val="00646880"/>
    <w:rsid w:val="00647D2A"/>
    <w:rsid w:val="006537BB"/>
    <w:rsid w:val="0065711B"/>
    <w:rsid w:val="0066103D"/>
    <w:rsid w:val="00671785"/>
    <w:rsid w:val="00672BA9"/>
    <w:rsid w:val="00673005"/>
    <w:rsid w:val="0067669F"/>
    <w:rsid w:val="006804BE"/>
    <w:rsid w:val="0069008E"/>
    <w:rsid w:val="0069087E"/>
    <w:rsid w:val="00691191"/>
    <w:rsid w:val="006925C4"/>
    <w:rsid w:val="0069309C"/>
    <w:rsid w:val="00694446"/>
    <w:rsid w:val="006A02B7"/>
    <w:rsid w:val="006B03F0"/>
    <w:rsid w:val="006B46D5"/>
    <w:rsid w:val="006B46F4"/>
    <w:rsid w:val="006C7AF3"/>
    <w:rsid w:val="006D26B7"/>
    <w:rsid w:val="006D6548"/>
    <w:rsid w:val="006E0E20"/>
    <w:rsid w:val="006E4256"/>
    <w:rsid w:val="006E4BBA"/>
    <w:rsid w:val="006E5F43"/>
    <w:rsid w:val="006E60A6"/>
    <w:rsid w:val="006F0B61"/>
    <w:rsid w:val="006F0F69"/>
    <w:rsid w:val="006F116B"/>
    <w:rsid w:val="006F117F"/>
    <w:rsid w:val="006F13DF"/>
    <w:rsid w:val="006F1E66"/>
    <w:rsid w:val="00701514"/>
    <w:rsid w:val="00702F26"/>
    <w:rsid w:val="0070313E"/>
    <w:rsid w:val="00703799"/>
    <w:rsid w:val="00705C5C"/>
    <w:rsid w:val="00711475"/>
    <w:rsid w:val="00714FCF"/>
    <w:rsid w:val="00724B18"/>
    <w:rsid w:val="0072548A"/>
    <w:rsid w:val="007277A6"/>
    <w:rsid w:val="007327C3"/>
    <w:rsid w:val="0074021A"/>
    <w:rsid w:val="007405EA"/>
    <w:rsid w:val="007437AB"/>
    <w:rsid w:val="007534F8"/>
    <w:rsid w:val="007545AD"/>
    <w:rsid w:val="007549C7"/>
    <w:rsid w:val="00763722"/>
    <w:rsid w:val="00764BC1"/>
    <w:rsid w:val="00770869"/>
    <w:rsid w:val="007738AA"/>
    <w:rsid w:val="00780A62"/>
    <w:rsid w:val="00783241"/>
    <w:rsid w:val="007838EC"/>
    <w:rsid w:val="00784BDC"/>
    <w:rsid w:val="00790B34"/>
    <w:rsid w:val="00792B9C"/>
    <w:rsid w:val="00792F28"/>
    <w:rsid w:val="0079543F"/>
    <w:rsid w:val="00795880"/>
    <w:rsid w:val="00795D1C"/>
    <w:rsid w:val="007A0608"/>
    <w:rsid w:val="007A4367"/>
    <w:rsid w:val="007B0867"/>
    <w:rsid w:val="007B1AC1"/>
    <w:rsid w:val="007B2039"/>
    <w:rsid w:val="007B5A08"/>
    <w:rsid w:val="007B693D"/>
    <w:rsid w:val="007E041B"/>
    <w:rsid w:val="007E199A"/>
    <w:rsid w:val="007E2415"/>
    <w:rsid w:val="007E39F3"/>
    <w:rsid w:val="007E4252"/>
    <w:rsid w:val="007E68F4"/>
    <w:rsid w:val="007F31BA"/>
    <w:rsid w:val="007F4078"/>
    <w:rsid w:val="0080014B"/>
    <w:rsid w:val="00801793"/>
    <w:rsid w:val="00803642"/>
    <w:rsid w:val="00806EA2"/>
    <w:rsid w:val="00812A2B"/>
    <w:rsid w:val="00814A4C"/>
    <w:rsid w:val="0082169C"/>
    <w:rsid w:val="00831AAB"/>
    <w:rsid w:val="008339CF"/>
    <w:rsid w:val="0083574E"/>
    <w:rsid w:val="0083624F"/>
    <w:rsid w:val="0083640C"/>
    <w:rsid w:val="0084157B"/>
    <w:rsid w:val="00842BFB"/>
    <w:rsid w:val="008466F0"/>
    <w:rsid w:val="00846B85"/>
    <w:rsid w:val="00847DC3"/>
    <w:rsid w:val="00847F49"/>
    <w:rsid w:val="00851EB0"/>
    <w:rsid w:val="008535C5"/>
    <w:rsid w:val="00853765"/>
    <w:rsid w:val="0085516F"/>
    <w:rsid w:val="00861278"/>
    <w:rsid w:val="00867186"/>
    <w:rsid w:val="00870AF6"/>
    <w:rsid w:val="00871C86"/>
    <w:rsid w:val="0087342D"/>
    <w:rsid w:val="008753D0"/>
    <w:rsid w:val="00881268"/>
    <w:rsid w:val="0088394A"/>
    <w:rsid w:val="008860BD"/>
    <w:rsid w:val="00887399"/>
    <w:rsid w:val="0088779E"/>
    <w:rsid w:val="008909A9"/>
    <w:rsid w:val="008912AF"/>
    <w:rsid w:val="00892114"/>
    <w:rsid w:val="00892CB9"/>
    <w:rsid w:val="008935CB"/>
    <w:rsid w:val="00895CCA"/>
    <w:rsid w:val="008B0E7E"/>
    <w:rsid w:val="008B44EC"/>
    <w:rsid w:val="008B5FF0"/>
    <w:rsid w:val="008B65BD"/>
    <w:rsid w:val="008B7900"/>
    <w:rsid w:val="008C0AE0"/>
    <w:rsid w:val="008C0E22"/>
    <w:rsid w:val="008C6CDB"/>
    <w:rsid w:val="008C71BF"/>
    <w:rsid w:val="008C7FE0"/>
    <w:rsid w:val="008D1BCB"/>
    <w:rsid w:val="008D5717"/>
    <w:rsid w:val="008E05A3"/>
    <w:rsid w:val="008E2DF8"/>
    <w:rsid w:val="008E44A9"/>
    <w:rsid w:val="008E51AB"/>
    <w:rsid w:val="008E6B4D"/>
    <w:rsid w:val="008E6BFF"/>
    <w:rsid w:val="008F1499"/>
    <w:rsid w:val="008F21AF"/>
    <w:rsid w:val="008F2400"/>
    <w:rsid w:val="008F61BA"/>
    <w:rsid w:val="008F6E3C"/>
    <w:rsid w:val="008F7C55"/>
    <w:rsid w:val="0090338C"/>
    <w:rsid w:val="00914A23"/>
    <w:rsid w:val="0091669A"/>
    <w:rsid w:val="00916F94"/>
    <w:rsid w:val="00930754"/>
    <w:rsid w:val="00931164"/>
    <w:rsid w:val="00934F68"/>
    <w:rsid w:val="009355AC"/>
    <w:rsid w:val="00935F38"/>
    <w:rsid w:val="00937586"/>
    <w:rsid w:val="00947889"/>
    <w:rsid w:val="00960ADD"/>
    <w:rsid w:val="00960E98"/>
    <w:rsid w:val="00962703"/>
    <w:rsid w:val="00963A82"/>
    <w:rsid w:val="00970111"/>
    <w:rsid w:val="00972912"/>
    <w:rsid w:val="00972CA0"/>
    <w:rsid w:val="00976D1F"/>
    <w:rsid w:val="00981C81"/>
    <w:rsid w:val="00992209"/>
    <w:rsid w:val="009A2D24"/>
    <w:rsid w:val="009A456C"/>
    <w:rsid w:val="009A4B24"/>
    <w:rsid w:val="009B00E0"/>
    <w:rsid w:val="009B292A"/>
    <w:rsid w:val="009B76D5"/>
    <w:rsid w:val="009C165D"/>
    <w:rsid w:val="009C37F7"/>
    <w:rsid w:val="009C3CEA"/>
    <w:rsid w:val="009C56E3"/>
    <w:rsid w:val="009C583D"/>
    <w:rsid w:val="009D2611"/>
    <w:rsid w:val="009D56F7"/>
    <w:rsid w:val="009D79D2"/>
    <w:rsid w:val="009E247C"/>
    <w:rsid w:val="009E31BA"/>
    <w:rsid w:val="009F0528"/>
    <w:rsid w:val="009F0806"/>
    <w:rsid w:val="009F0B47"/>
    <w:rsid w:val="009F233B"/>
    <w:rsid w:val="00A03425"/>
    <w:rsid w:val="00A05D16"/>
    <w:rsid w:val="00A0659F"/>
    <w:rsid w:val="00A079BA"/>
    <w:rsid w:val="00A12826"/>
    <w:rsid w:val="00A177F6"/>
    <w:rsid w:val="00A2747B"/>
    <w:rsid w:val="00A33875"/>
    <w:rsid w:val="00A360A1"/>
    <w:rsid w:val="00A402B3"/>
    <w:rsid w:val="00A42A5A"/>
    <w:rsid w:val="00A52348"/>
    <w:rsid w:val="00A544B7"/>
    <w:rsid w:val="00A618CF"/>
    <w:rsid w:val="00A62770"/>
    <w:rsid w:val="00A62EEB"/>
    <w:rsid w:val="00A660FF"/>
    <w:rsid w:val="00A6625A"/>
    <w:rsid w:val="00A73395"/>
    <w:rsid w:val="00A82B4C"/>
    <w:rsid w:val="00A93A4C"/>
    <w:rsid w:val="00A94D5D"/>
    <w:rsid w:val="00AA1D9B"/>
    <w:rsid w:val="00AA2543"/>
    <w:rsid w:val="00AA370E"/>
    <w:rsid w:val="00AA3804"/>
    <w:rsid w:val="00AA55C2"/>
    <w:rsid w:val="00AA7DE1"/>
    <w:rsid w:val="00AB0ACA"/>
    <w:rsid w:val="00AB1D41"/>
    <w:rsid w:val="00AB56FC"/>
    <w:rsid w:val="00AB77E1"/>
    <w:rsid w:val="00AC5E9A"/>
    <w:rsid w:val="00AC704B"/>
    <w:rsid w:val="00AD553E"/>
    <w:rsid w:val="00AD5848"/>
    <w:rsid w:val="00AE5ADA"/>
    <w:rsid w:val="00AF6145"/>
    <w:rsid w:val="00AF6356"/>
    <w:rsid w:val="00B01386"/>
    <w:rsid w:val="00B01BB5"/>
    <w:rsid w:val="00B04AF4"/>
    <w:rsid w:val="00B05214"/>
    <w:rsid w:val="00B0736F"/>
    <w:rsid w:val="00B0773E"/>
    <w:rsid w:val="00B2005C"/>
    <w:rsid w:val="00B22FEB"/>
    <w:rsid w:val="00B26727"/>
    <w:rsid w:val="00B27C39"/>
    <w:rsid w:val="00B30D97"/>
    <w:rsid w:val="00B31738"/>
    <w:rsid w:val="00B3181A"/>
    <w:rsid w:val="00B35A7C"/>
    <w:rsid w:val="00B450D1"/>
    <w:rsid w:val="00B53D47"/>
    <w:rsid w:val="00B54A25"/>
    <w:rsid w:val="00B618C3"/>
    <w:rsid w:val="00B63652"/>
    <w:rsid w:val="00B668B0"/>
    <w:rsid w:val="00B70D36"/>
    <w:rsid w:val="00B70F5C"/>
    <w:rsid w:val="00B71873"/>
    <w:rsid w:val="00B7227E"/>
    <w:rsid w:val="00B736A4"/>
    <w:rsid w:val="00B75AE5"/>
    <w:rsid w:val="00B800C0"/>
    <w:rsid w:val="00B8132B"/>
    <w:rsid w:val="00B84C5A"/>
    <w:rsid w:val="00B84C8B"/>
    <w:rsid w:val="00B858F5"/>
    <w:rsid w:val="00B85ADA"/>
    <w:rsid w:val="00B92141"/>
    <w:rsid w:val="00B93668"/>
    <w:rsid w:val="00BA3C62"/>
    <w:rsid w:val="00BA43A0"/>
    <w:rsid w:val="00BA68C6"/>
    <w:rsid w:val="00BB12F1"/>
    <w:rsid w:val="00BB276E"/>
    <w:rsid w:val="00BB3FEE"/>
    <w:rsid w:val="00BB5EB0"/>
    <w:rsid w:val="00BB7A27"/>
    <w:rsid w:val="00BC245A"/>
    <w:rsid w:val="00BC340C"/>
    <w:rsid w:val="00BC4CE9"/>
    <w:rsid w:val="00BD16FA"/>
    <w:rsid w:val="00BD41C3"/>
    <w:rsid w:val="00BD488B"/>
    <w:rsid w:val="00BD7CCC"/>
    <w:rsid w:val="00BE002A"/>
    <w:rsid w:val="00BE1BC9"/>
    <w:rsid w:val="00BE5CDA"/>
    <w:rsid w:val="00BE608F"/>
    <w:rsid w:val="00BF23BB"/>
    <w:rsid w:val="00BF33DD"/>
    <w:rsid w:val="00BF5755"/>
    <w:rsid w:val="00BF684B"/>
    <w:rsid w:val="00C016F3"/>
    <w:rsid w:val="00C10B81"/>
    <w:rsid w:val="00C15193"/>
    <w:rsid w:val="00C15609"/>
    <w:rsid w:val="00C15F6A"/>
    <w:rsid w:val="00C17134"/>
    <w:rsid w:val="00C23EA7"/>
    <w:rsid w:val="00C23FB3"/>
    <w:rsid w:val="00C256F3"/>
    <w:rsid w:val="00C26329"/>
    <w:rsid w:val="00C270A2"/>
    <w:rsid w:val="00C315B5"/>
    <w:rsid w:val="00C32D3A"/>
    <w:rsid w:val="00C34812"/>
    <w:rsid w:val="00C35090"/>
    <w:rsid w:val="00C35E28"/>
    <w:rsid w:val="00C426AF"/>
    <w:rsid w:val="00C441FD"/>
    <w:rsid w:val="00C469C1"/>
    <w:rsid w:val="00C50659"/>
    <w:rsid w:val="00C51B39"/>
    <w:rsid w:val="00C5338A"/>
    <w:rsid w:val="00C54EF9"/>
    <w:rsid w:val="00C56BBF"/>
    <w:rsid w:val="00C572AA"/>
    <w:rsid w:val="00C57A9A"/>
    <w:rsid w:val="00C6016A"/>
    <w:rsid w:val="00C60B3F"/>
    <w:rsid w:val="00C61818"/>
    <w:rsid w:val="00C623EB"/>
    <w:rsid w:val="00C6258A"/>
    <w:rsid w:val="00C64C6B"/>
    <w:rsid w:val="00C65138"/>
    <w:rsid w:val="00C66F2E"/>
    <w:rsid w:val="00C6785C"/>
    <w:rsid w:val="00C7014F"/>
    <w:rsid w:val="00C70FD1"/>
    <w:rsid w:val="00C733AA"/>
    <w:rsid w:val="00C75559"/>
    <w:rsid w:val="00C82460"/>
    <w:rsid w:val="00C82B86"/>
    <w:rsid w:val="00C83027"/>
    <w:rsid w:val="00C84B8A"/>
    <w:rsid w:val="00C85C9F"/>
    <w:rsid w:val="00C85E65"/>
    <w:rsid w:val="00C87CA1"/>
    <w:rsid w:val="00C90FA1"/>
    <w:rsid w:val="00C911B4"/>
    <w:rsid w:val="00C91B3B"/>
    <w:rsid w:val="00C9373E"/>
    <w:rsid w:val="00C94262"/>
    <w:rsid w:val="00C9461D"/>
    <w:rsid w:val="00C976E1"/>
    <w:rsid w:val="00CA148E"/>
    <w:rsid w:val="00CA2776"/>
    <w:rsid w:val="00CA3A9A"/>
    <w:rsid w:val="00CA61C6"/>
    <w:rsid w:val="00CB6BC1"/>
    <w:rsid w:val="00CB7021"/>
    <w:rsid w:val="00CB7969"/>
    <w:rsid w:val="00CD3294"/>
    <w:rsid w:val="00CD4524"/>
    <w:rsid w:val="00CD784D"/>
    <w:rsid w:val="00CF40F8"/>
    <w:rsid w:val="00D008DA"/>
    <w:rsid w:val="00D0416F"/>
    <w:rsid w:val="00D05851"/>
    <w:rsid w:val="00D10D19"/>
    <w:rsid w:val="00D10FED"/>
    <w:rsid w:val="00D11736"/>
    <w:rsid w:val="00D12EE8"/>
    <w:rsid w:val="00D15694"/>
    <w:rsid w:val="00D15FF1"/>
    <w:rsid w:val="00D167F4"/>
    <w:rsid w:val="00D2092A"/>
    <w:rsid w:val="00D2216D"/>
    <w:rsid w:val="00D31A6F"/>
    <w:rsid w:val="00D3306C"/>
    <w:rsid w:val="00D33293"/>
    <w:rsid w:val="00D353D1"/>
    <w:rsid w:val="00D367DB"/>
    <w:rsid w:val="00D36E05"/>
    <w:rsid w:val="00D44F27"/>
    <w:rsid w:val="00D45304"/>
    <w:rsid w:val="00D461C7"/>
    <w:rsid w:val="00D50424"/>
    <w:rsid w:val="00D57D3E"/>
    <w:rsid w:val="00D63F8A"/>
    <w:rsid w:val="00D843F4"/>
    <w:rsid w:val="00DC13D4"/>
    <w:rsid w:val="00DC23CF"/>
    <w:rsid w:val="00DC6562"/>
    <w:rsid w:val="00DE0103"/>
    <w:rsid w:val="00DE130D"/>
    <w:rsid w:val="00DE24CF"/>
    <w:rsid w:val="00DE2CCC"/>
    <w:rsid w:val="00DE407C"/>
    <w:rsid w:val="00DE6CD6"/>
    <w:rsid w:val="00DE7C7D"/>
    <w:rsid w:val="00DF2992"/>
    <w:rsid w:val="00DF2D0C"/>
    <w:rsid w:val="00E01B9D"/>
    <w:rsid w:val="00E04F5E"/>
    <w:rsid w:val="00E05125"/>
    <w:rsid w:val="00E0522E"/>
    <w:rsid w:val="00E120F4"/>
    <w:rsid w:val="00E155F9"/>
    <w:rsid w:val="00E17172"/>
    <w:rsid w:val="00E3181C"/>
    <w:rsid w:val="00E3280A"/>
    <w:rsid w:val="00E34986"/>
    <w:rsid w:val="00E372AF"/>
    <w:rsid w:val="00E37D68"/>
    <w:rsid w:val="00E40EAE"/>
    <w:rsid w:val="00E436AC"/>
    <w:rsid w:val="00E44FF8"/>
    <w:rsid w:val="00E45E9B"/>
    <w:rsid w:val="00E5066A"/>
    <w:rsid w:val="00E52CF9"/>
    <w:rsid w:val="00E63F34"/>
    <w:rsid w:val="00E6715A"/>
    <w:rsid w:val="00E71563"/>
    <w:rsid w:val="00E75C90"/>
    <w:rsid w:val="00E75DC9"/>
    <w:rsid w:val="00E81610"/>
    <w:rsid w:val="00E84910"/>
    <w:rsid w:val="00E85B28"/>
    <w:rsid w:val="00E91976"/>
    <w:rsid w:val="00E947A6"/>
    <w:rsid w:val="00E97FC7"/>
    <w:rsid w:val="00EA0690"/>
    <w:rsid w:val="00EA3956"/>
    <w:rsid w:val="00EA5571"/>
    <w:rsid w:val="00EA5A25"/>
    <w:rsid w:val="00EB229D"/>
    <w:rsid w:val="00EC02A5"/>
    <w:rsid w:val="00EC176B"/>
    <w:rsid w:val="00EC33CD"/>
    <w:rsid w:val="00EC5BE5"/>
    <w:rsid w:val="00ED2650"/>
    <w:rsid w:val="00ED357B"/>
    <w:rsid w:val="00ED721A"/>
    <w:rsid w:val="00EE393D"/>
    <w:rsid w:val="00EE7390"/>
    <w:rsid w:val="00EF01CF"/>
    <w:rsid w:val="00EF19A5"/>
    <w:rsid w:val="00EF6A66"/>
    <w:rsid w:val="00EF6B56"/>
    <w:rsid w:val="00EF7AF9"/>
    <w:rsid w:val="00F01495"/>
    <w:rsid w:val="00F01EE6"/>
    <w:rsid w:val="00F04AF9"/>
    <w:rsid w:val="00F10138"/>
    <w:rsid w:val="00F13F92"/>
    <w:rsid w:val="00F205DF"/>
    <w:rsid w:val="00F22ECA"/>
    <w:rsid w:val="00F240E8"/>
    <w:rsid w:val="00F244FA"/>
    <w:rsid w:val="00F3363A"/>
    <w:rsid w:val="00F366A2"/>
    <w:rsid w:val="00F375CC"/>
    <w:rsid w:val="00F44F43"/>
    <w:rsid w:val="00F450E1"/>
    <w:rsid w:val="00F50DF4"/>
    <w:rsid w:val="00F55E56"/>
    <w:rsid w:val="00F57AFE"/>
    <w:rsid w:val="00F6278E"/>
    <w:rsid w:val="00F63C41"/>
    <w:rsid w:val="00F63E96"/>
    <w:rsid w:val="00F701E3"/>
    <w:rsid w:val="00F71F8C"/>
    <w:rsid w:val="00F80362"/>
    <w:rsid w:val="00F8143B"/>
    <w:rsid w:val="00F82BA1"/>
    <w:rsid w:val="00F86AD4"/>
    <w:rsid w:val="00F92EE4"/>
    <w:rsid w:val="00F94BC5"/>
    <w:rsid w:val="00FA0113"/>
    <w:rsid w:val="00FA12B2"/>
    <w:rsid w:val="00FA7610"/>
    <w:rsid w:val="00FB02BD"/>
    <w:rsid w:val="00FB341A"/>
    <w:rsid w:val="00FB398F"/>
    <w:rsid w:val="00FB4EF8"/>
    <w:rsid w:val="00FB6692"/>
    <w:rsid w:val="00FB78DD"/>
    <w:rsid w:val="00FC125E"/>
    <w:rsid w:val="00FC3EF3"/>
    <w:rsid w:val="00FD12E7"/>
    <w:rsid w:val="00FD2049"/>
    <w:rsid w:val="00FD2140"/>
    <w:rsid w:val="00FD4869"/>
    <w:rsid w:val="00FD5BDE"/>
    <w:rsid w:val="00FD68EC"/>
    <w:rsid w:val="00FE0476"/>
    <w:rsid w:val="00FE24A5"/>
    <w:rsid w:val="00FE31E5"/>
    <w:rsid w:val="00FF18EC"/>
    <w:rsid w:val="00FF19AD"/>
    <w:rsid w:val="00FF1EB5"/>
    <w:rsid w:val="00FF292D"/>
    <w:rsid w:val="00FF298D"/>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6AA2003F"/>
  <w15:chartTrackingRefBased/>
  <w15:docId w15:val="{C433ABE8-F073-494E-AA77-856F0BB18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character" w:styleId="UnresolvedMention">
    <w:name w:val="Unresolved Mention"/>
    <w:uiPriority w:val="99"/>
    <w:semiHidden/>
    <w:unhideWhenUsed/>
    <w:rsid w:val="00871C86"/>
    <w:rPr>
      <w:color w:val="605E5C"/>
      <w:shd w:val="clear" w:color="auto" w:fill="E1DFDD"/>
    </w:rPr>
  </w:style>
  <w:style w:type="table" w:styleId="GridTable1Light-Accent1">
    <w:name w:val="Grid Table 1 Light Accent 1"/>
    <w:basedOn w:val="TableNormal"/>
    <w:uiPriority w:val="46"/>
    <w:rsid w:val="008339CF"/>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papageorgiou@cystat.mof.gov.c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n/KeyFiguresList?s=47"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cystatdb.cystat.gov.cy/pxweb/en/8.CYSTAT-DB/8.CYSTAT-DB__Price%20Indices__" TargetMode="External"/><Relationship Id="rId4" Type="http://schemas.openxmlformats.org/officeDocument/2006/relationships/settings" Target="settings.xml"/><Relationship Id="rId9" Type="http://schemas.openxmlformats.org/officeDocument/2006/relationships/hyperlink" Target="https://www.cystat.gov.cy/en/SubthemeStatistics?s=47"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0.emf"/><Relationship Id="rId2" Type="http://schemas.openxmlformats.org/officeDocument/2006/relationships/image" Target="media/image3.emf"/><Relationship Id="rId1" Type="http://schemas.openxmlformats.org/officeDocument/2006/relationships/image" Target="media/image2.png"/><Relationship Id="rId5" Type="http://schemas.openxmlformats.org/officeDocument/2006/relationships/image" Target="media/image40.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E98AC-E320-4DF1-B64B-B1201589A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1448</TotalTime>
  <Pages>3</Pages>
  <Words>920</Words>
  <Characters>5248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6156</CharactersWithSpaces>
  <SharedDoc>false</SharedDoc>
  <HLinks>
    <vt:vector size="36" baseType="variant">
      <vt:variant>
        <vt:i4>2883594</vt:i4>
      </vt:variant>
      <vt:variant>
        <vt:i4>12</vt:i4>
      </vt:variant>
      <vt:variant>
        <vt:i4>0</vt:i4>
      </vt:variant>
      <vt:variant>
        <vt:i4>5</vt:i4>
      </vt:variant>
      <vt:variant>
        <vt:lpwstr>mailto:cpapageorgiou@cystat.mof.gov.cy</vt:lpwstr>
      </vt:variant>
      <vt:variant>
        <vt:lpwstr/>
      </vt:variant>
      <vt:variant>
        <vt:i4>1048666</vt:i4>
      </vt:variant>
      <vt:variant>
        <vt:i4>9</vt:i4>
      </vt:variant>
      <vt:variant>
        <vt:i4>0</vt:i4>
      </vt:variant>
      <vt:variant>
        <vt:i4>5</vt:i4>
      </vt:variant>
      <vt:variant>
        <vt:lpwstr>https://www.cystat.gov.cy/en/MethodologicalDetails?m=2092</vt:lpwstr>
      </vt:variant>
      <vt:variant>
        <vt:lpwstr/>
      </vt:variant>
      <vt:variant>
        <vt:i4>4390994</vt:i4>
      </vt:variant>
      <vt:variant>
        <vt:i4>6</vt:i4>
      </vt:variant>
      <vt:variant>
        <vt:i4>0</vt:i4>
      </vt:variant>
      <vt:variant>
        <vt:i4>5</vt:i4>
      </vt:variant>
      <vt:variant>
        <vt:lpwstr>https://www.cystat.gov.cy/en/KeyFiguresList?s=47</vt:lpwstr>
      </vt:variant>
      <vt:variant>
        <vt:lpwstr/>
      </vt:variant>
      <vt:variant>
        <vt:i4>786512</vt:i4>
      </vt:variant>
      <vt:variant>
        <vt:i4>3</vt:i4>
      </vt:variant>
      <vt:variant>
        <vt:i4>0</vt:i4>
      </vt:variant>
      <vt:variant>
        <vt:i4>5</vt:i4>
      </vt:variant>
      <vt:variant>
        <vt:lpwstr>https://cystatdb.cystat.gov.cy/pxweb/en/8.CYSTAT-DB/8.CYSTAT-DB__Price Indices__</vt:lpwstr>
      </vt:variant>
      <vt:variant>
        <vt:lpwstr/>
      </vt:variant>
      <vt:variant>
        <vt:i4>5177410</vt:i4>
      </vt:variant>
      <vt:variant>
        <vt:i4>0</vt:i4>
      </vt:variant>
      <vt:variant>
        <vt:i4>0</vt:i4>
      </vt:variant>
      <vt:variant>
        <vt:i4>5</vt:i4>
      </vt:variant>
      <vt:variant>
        <vt:lpwstr>https://www.cystat.gov.cy/en/SubthemeStatistics?s=47</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66</cp:revision>
  <cp:lastPrinted>2024-04-17T07:51:00Z</cp:lastPrinted>
  <dcterms:created xsi:type="dcterms:W3CDTF">2023-04-19T10:03:00Z</dcterms:created>
  <dcterms:modified xsi:type="dcterms:W3CDTF">2024-06-18T08:18:00Z</dcterms:modified>
</cp:coreProperties>
</file>