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196FD21F" w:rsidR="00AF5CC6" w:rsidRDefault="00B90663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D306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6A6802">
        <w:rPr>
          <w:rFonts w:ascii="Verdana" w:eastAsia="Malgun Gothic" w:hAnsi="Verdana" w:cs="Arial"/>
          <w:sz w:val="18"/>
          <w:szCs w:val="18"/>
        </w:rPr>
        <w:t>8</w:t>
      </w:r>
      <w:r w:rsidR="000C5F2F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A6802">
        <w:rPr>
          <w:rFonts w:ascii="Verdana" w:eastAsia="Malgun Gothic" w:hAnsi="Verdana" w:cs="Arial"/>
          <w:sz w:val="18"/>
          <w:szCs w:val="18"/>
          <w:lang w:val="el-GR"/>
        </w:rPr>
        <w:t>Ιουνίου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B16700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04E18E85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(ΕνΔΤΚ):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6A6802">
        <w:rPr>
          <w:rFonts w:ascii="Verdana" w:eastAsia="Malgun Gothic" w:hAnsi="Verdana" w:cs="Arial"/>
        </w:rPr>
        <w:t xml:space="preserve">ΜΑΪΟΣ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2AFF864B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86675D">
        <w:rPr>
          <w:rFonts w:ascii="Verdana" w:eastAsia="Malgun Gothic" w:hAnsi="Verdana" w:cs="Arial"/>
          <w:b/>
          <w:lang w:val="el-GR"/>
        </w:rPr>
        <w:t>0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86675D">
        <w:rPr>
          <w:rFonts w:ascii="Verdana" w:eastAsia="Malgun Gothic" w:hAnsi="Verdana" w:cs="Arial"/>
          <w:b/>
          <w:lang w:val="el-GR"/>
        </w:rPr>
        <w:t>4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4FA46CA4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Ο Εναρμονισμένος Δείκτης Τιμών Καταναλωτή τον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Μάιο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 αυξήθηκε κατά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Μάιο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2024 και 0,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Απρίλιο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44A1D7D4" w:rsidR="00F10E2C" w:rsidRPr="000D3065" w:rsidRDefault="00DB01CF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74D06AE5" wp14:editId="58F831F8">
            <wp:extent cx="6084570" cy="4498975"/>
            <wp:effectExtent l="0" t="0" r="0" b="0"/>
            <wp:docPr id="4899971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ΕνΔΤΚ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67B84AEA" w:rsidR="00AF5CC6" w:rsidRPr="00C23701" w:rsidRDefault="00CB58F4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 xml:space="preserve">Μάιο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του 2024, οι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C5F2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είχαν την μεγαλύτερη θετική μεταβολή, ενώ η κατηγορία </w:t>
      </w:r>
      <w:r w:rsidR="0086675D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παρουσίασε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470F84A8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Απρίλιο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του 2025, οι μεγαλύτερες μεταβολές παρατηρήθηκαν στις κατηγορίες </w:t>
      </w:r>
      <w:r w:rsidR="00D701F3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D701F3"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(-4,4%) και </w:t>
      </w:r>
      <w:r w:rsidR="00D701F3" w:rsidRPr="00D701F3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και Υπόδηση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61E20AED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 w:rsidR="00D701F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(7,3%), </w:t>
      </w:r>
      <w:r w:rsidR="00B84B59" w:rsidRPr="00B84B59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(-5,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B84B5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3DBBD1" w14:textId="40913616" w:rsidR="005C6EC7" w:rsidRPr="001A7865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μεγαλύτερη μεταβολή στις οικονομικές κατηγορίες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τόσο σε σχέση με το 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Μάιο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2024, όσο και σε σχέση με τον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 xml:space="preserve"> Απρίλιο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2025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A2575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11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%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-</w:t>
      </w:r>
      <w:r w:rsidR="00D701F3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,7% αντίστοιχα).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(Πίνακας 2).</w:t>
      </w:r>
    </w:p>
    <w:p w14:paraId="45CA4FEA" w14:textId="77777777" w:rsidR="00CB58F4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EAB9C1" w14:textId="77777777" w:rsidR="00A2575E" w:rsidRPr="00B84B59" w:rsidRDefault="00A2575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"/>
        <w:tblW w:w="10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621"/>
        <w:gridCol w:w="1417"/>
        <w:gridCol w:w="268"/>
        <w:gridCol w:w="1291"/>
        <w:gridCol w:w="1276"/>
        <w:gridCol w:w="6"/>
        <w:gridCol w:w="1815"/>
        <w:gridCol w:w="6"/>
      </w:tblGrid>
      <w:tr w:rsidR="004C3FB1" w14:paraId="2E7A17C5" w14:textId="3D9292FA" w:rsidTr="006A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3" w:type="dxa"/>
            <w:gridSpan w:val="7"/>
            <w:tcBorders>
              <w:bottom w:val="single" w:sz="4" w:space="0" w:color="366092"/>
            </w:tcBorders>
          </w:tcPr>
          <w:p w14:paraId="61E522EF" w14:textId="77777777" w:rsidR="004C3FB1" w:rsidRPr="00A92E04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</w:rPr>
            </w:pPr>
            <w:r w:rsidRPr="001C5C8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Πίνακας </w:t>
            </w:r>
            <w:r w:rsidRPr="00E9561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</w:tcPr>
          <w:p w14:paraId="3B1D4F1F" w14:textId="77777777" w:rsidR="004C3FB1" w:rsidRPr="001C5C8C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4C3FB1" w14:paraId="5785043C" w14:textId="2933F4F3" w:rsidTr="006A6802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8774AA" w:rsidRDefault="004C3FB1" w:rsidP="00D25AB6">
            <w:pPr>
              <w:rPr>
                <w:rFonts w:ascii="Verdana" w:eastAsia="Times New Roman" w:hAnsi="Verdana" w:cs="Arial"/>
                <w:b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C07136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ΕνΔΤΚ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C07136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366092"/>
            </w:tcBorders>
          </w:tcPr>
          <w:p w14:paraId="4948CC05" w14:textId="3ED0EA0B" w:rsidR="004C3FB1" w:rsidRPr="00C07136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6A6802" w:rsidRPr="00FF73A3" w14:paraId="4549DBDE" w14:textId="1DE1B827" w:rsidTr="006A6802">
        <w:trPr>
          <w:gridAfter w:val="1"/>
          <w:wAfter w:w="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6A6802" w:rsidRDefault="006A6802" w:rsidP="006A680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314D1F2C" w14:textId="77777777" w:rsidR="006A6802" w:rsidRPr="00253F8F" w:rsidRDefault="006A6802" w:rsidP="006A6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Απρίλιος</w:t>
            </w:r>
          </w:p>
          <w:p w14:paraId="173638EB" w14:textId="76B19E0B" w:rsidR="006A6802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AA8EEE" w14:textId="77777777" w:rsidR="006A6802" w:rsidRPr="00253F8F" w:rsidRDefault="006A6802" w:rsidP="006A6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</w:p>
          <w:p w14:paraId="20133DD4" w14:textId="003A1DD3" w:rsidR="006A6802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D37A384" w14:textId="77777777" w:rsidR="006A6802" w:rsidRPr="00A6685F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0"/>
                <w:szCs w:val="10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D2B89D9" w14:textId="483E7D31" w:rsidR="006A6802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 25/ Μάιος 24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E6F8F9A" w14:textId="12283414" w:rsidR="006A6802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 25/ Απρ 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EEA97F4" w14:textId="77777777" w:rsidR="006A6802" w:rsidRPr="00253F8F" w:rsidRDefault="006A6802" w:rsidP="006A6802">
            <w:pPr>
              <w:ind w:hanging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Μάιος 25/</w:t>
            </w:r>
          </w:p>
          <w:p w14:paraId="776265E3" w14:textId="08D45EF5" w:rsidR="006A6802" w:rsidRDefault="006A6802" w:rsidP="006A6802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Μάιος 24</w:t>
            </w:r>
          </w:p>
        </w:tc>
      </w:tr>
      <w:tr w:rsidR="0086675D" w14:paraId="6E325E2B" w14:textId="48E27BE8" w:rsidTr="0086675D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86675D" w:rsidRPr="004D30FD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2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28A59421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96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7ADC14CE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54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56FC1298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14C4487E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</w:tcBorders>
            <w:vAlign w:val="center"/>
          </w:tcPr>
          <w:p w14:paraId="33B8487A" w14:textId="18AF46DC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</w:tr>
      <w:tr w:rsidR="0086675D" w14:paraId="1B95C1A8" w14:textId="0D1888A3" w:rsidTr="0086675D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Αλκοολούχα Ποτά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264D293F" w:rsidR="0086675D" w:rsidRPr="00E95616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68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45A0415F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73643119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0A2B6334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821" w:type="dxa"/>
            <w:gridSpan w:val="2"/>
            <w:vAlign w:val="center"/>
          </w:tcPr>
          <w:p w14:paraId="013E9548" w14:textId="5D378B04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86675D" w14:paraId="2601AA75" w14:textId="5727DC96" w:rsidTr="0086675D">
        <w:trPr>
          <w:gridAfter w:val="1"/>
          <w:wAfter w:w="6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Ένδυση και Υπόδηση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5D82F901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99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59F6A2FD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1CE8339F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1264546D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821" w:type="dxa"/>
            <w:gridSpan w:val="2"/>
            <w:vAlign w:val="center"/>
          </w:tcPr>
          <w:p w14:paraId="2F464068" w14:textId="75DDDF7D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</w:tr>
      <w:tr w:rsidR="0086675D" w14:paraId="221396AC" w14:textId="2A2A3577" w:rsidTr="0086675D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 xml:space="preserve">Στέγαση, Ύδρευση, 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462F673F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139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87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655E3D8B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140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23506E7E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57AFF261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821" w:type="dxa"/>
            <w:gridSpan w:val="2"/>
            <w:vAlign w:val="center"/>
          </w:tcPr>
          <w:p w14:paraId="3051DE76" w14:textId="547AA7CB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86675D" w14:paraId="48E93CF3" w14:textId="7B1D5C4C" w:rsidTr="0086675D">
        <w:trPr>
          <w:gridAfter w:val="1"/>
          <w:wAfter w:w="6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33C2BAC7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644F1285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66550B48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50D94904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821" w:type="dxa"/>
            <w:gridSpan w:val="2"/>
            <w:vAlign w:val="center"/>
          </w:tcPr>
          <w:p w14:paraId="306AD7AE" w14:textId="4CD96C68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86675D" w14:paraId="22ED156A" w14:textId="73B6631D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Υγεία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7CC36AD9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78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1C33E6A2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08E07A43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0BEB29CC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821" w:type="dxa"/>
            <w:gridSpan w:val="2"/>
            <w:vAlign w:val="center"/>
          </w:tcPr>
          <w:p w14:paraId="37053C7B" w14:textId="7809D6C1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</w:tr>
      <w:tr w:rsidR="0086675D" w14:paraId="573C0426" w14:textId="314AC1F7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Μεταφορές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0B3F8A74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97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5C74F561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429AABB8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09C9E789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821" w:type="dxa"/>
            <w:gridSpan w:val="2"/>
            <w:vAlign w:val="center"/>
          </w:tcPr>
          <w:p w14:paraId="1BFFDDA6" w14:textId="7B724246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86675D" w14:paraId="4E4A4FB2" w14:textId="4334422F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Επικοινωνίες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20CA3081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88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72F9470C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87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6B21D34B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0E7E0B0B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821" w:type="dxa"/>
            <w:gridSpan w:val="2"/>
            <w:vAlign w:val="center"/>
          </w:tcPr>
          <w:p w14:paraId="46DBE176" w14:textId="35BD7ED4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</w:tr>
      <w:tr w:rsidR="0086675D" w14:paraId="3168295C" w14:textId="21A00D24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0" w:name="_Hlk174960759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Αναψυχή και Πολιτισμός</w:t>
            </w:r>
            <w:bookmarkEnd w:id="0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0B55F0B2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82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2FED820A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066298C4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6DD6A5B7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821" w:type="dxa"/>
            <w:gridSpan w:val="2"/>
            <w:vAlign w:val="center"/>
          </w:tcPr>
          <w:p w14:paraId="1424EC28" w14:textId="495672F9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86675D" w14:paraId="4DA8FE93" w14:textId="71797B5A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1" w:name="_Hlk179962408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Εκπαίδευση</w:t>
            </w:r>
            <w:bookmarkEnd w:id="1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385DD15B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64910E07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0237C2BB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2856CC3A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821" w:type="dxa"/>
            <w:gridSpan w:val="2"/>
            <w:vAlign w:val="center"/>
          </w:tcPr>
          <w:p w14:paraId="5C7E2D9F" w14:textId="196F0840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86675D" w14:paraId="2F3D1C78" w14:textId="55E9CFB0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Εστιατόρια και Ξενοδοχεία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55017BAD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127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88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2BDF8966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130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4E4CC537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35C3944A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821" w:type="dxa"/>
            <w:gridSpan w:val="2"/>
            <w:vAlign w:val="center"/>
          </w:tcPr>
          <w:p w14:paraId="05D1691C" w14:textId="06DAF40E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86675D" w14:paraId="63DB8116" w14:textId="6AA9798D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86675D" w:rsidRPr="00AF7168" w:rsidRDefault="0086675D" w:rsidP="0086675D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Άλλα Αγαθά και Υπηρεσίες</w:t>
            </w:r>
          </w:p>
        </w:tc>
        <w:tc>
          <w:tcPr>
            <w:tcW w:w="162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55857F02" w:rsidR="0086675D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05 </w:t>
            </w:r>
          </w:p>
        </w:tc>
        <w:tc>
          <w:tcPr>
            <w:tcW w:w="141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377BC31B" w:rsidR="0086675D" w:rsidRPr="00803D1C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112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28 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86675D" w:rsidRPr="00E6644A" w:rsidRDefault="0086675D" w:rsidP="0086675D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5A6AAC04" w:rsidR="0086675D" w:rsidRPr="00803D1C" w:rsidRDefault="0086675D" w:rsidP="0086675D">
            <w:pPr>
              <w:ind w:right="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021D12A9" w:rsidR="0086675D" w:rsidRPr="00803D1C" w:rsidRDefault="0086675D" w:rsidP="0086675D">
            <w:pPr>
              <w:ind w:right="2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821" w:type="dxa"/>
            <w:gridSpan w:val="2"/>
            <w:tcBorders>
              <w:bottom w:val="single" w:sz="4" w:space="0" w:color="366092"/>
            </w:tcBorders>
            <w:vAlign w:val="center"/>
          </w:tcPr>
          <w:p w14:paraId="02A8F529" w14:textId="2BCB77FF" w:rsidR="0086675D" w:rsidRPr="00F247BF" w:rsidRDefault="0086675D" w:rsidP="0086675D">
            <w:pPr>
              <w:ind w:left="-135" w:right="584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86675D" w14:paraId="57C62558" w14:textId="5C7BD0B4" w:rsidTr="0086675D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86675D" w:rsidRDefault="0086675D" w:rsidP="0086675D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Γενικός ΕνΔΤΚ </w:t>
            </w: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57CDB519" w:rsidR="0086675D" w:rsidRPr="00706768" w:rsidRDefault="0086675D" w:rsidP="0086675D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117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0C5F2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68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7034E0B1" w:rsidR="0086675D" w:rsidRPr="0086675D" w:rsidRDefault="0086675D" w:rsidP="0086675D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117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86675D" w:rsidRPr="0086675D" w:rsidRDefault="0086675D" w:rsidP="0086675D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9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1912D6E3" w:rsidR="0086675D" w:rsidRPr="0086675D" w:rsidRDefault="0086675D" w:rsidP="0086675D">
            <w:pPr>
              <w:ind w:right="29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2D210475" w:rsidR="0086675D" w:rsidRPr="0086675D" w:rsidRDefault="0086675D" w:rsidP="0086675D">
            <w:pPr>
              <w:ind w:right="28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821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3E096AC3" w:rsidR="0086675D" w:rsidRPr="0086675D" w:rsidRDefault="0086675D" w:rsidP="0086675D">
            <w:pPr>
              <w:ind w:left="-135" w:right="584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AF5CC6" w:rsidRPr="004F677C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1C5C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C5C8C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AF5CC6" w:rsidRPr="004F677C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4F677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4F677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11D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4F677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6A6802" w:rsidRPr="004F677C" w14:paraId="1F92CDFF" w14:textId="77777777" w:rsidTr="00813A56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6A6802" w:rsidRPr="004F677C" w:rsidRDefault="006A6802" w:rsidP="006A6802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6A6802" w:rsidRPr="004F677C" w:rsidRDefault="006A6802" w:rsidP="006A6802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A7952FF" w14:textId="2CD65A4C" w:rsidR="006A6802" w:rsidRPr="008774AA" w:rsidRDefault="006A6802" w:rsidP="006A6802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 25/ Μάιος 24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1598BCE1" w14:textId="21CDD919" w:rsidR="006A6802" w:rsidRPr="008774AA" w:rsidRDefault="006A6802" w:rsidP="006A6802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 25/ Απρ 2</w:t>
            </w:r>
            <w:r w:rsidRPr="00253F8F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86675D" w:rsidRPr="004F677C" w14:paraId="4E8D6A7B" w14:textId="77777777" w:rsidTr="0086675D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86675D" w:rsidRPr="00234087" w:rsidRDefault="0086675D" w:rsidP="0086675D">
            <w:pPr>
              <w:ind w:right="57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Γενικός 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ΤΚ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86675D" w:rsidRPr="0086675D" w:rsidRDefault="0086675D" w:rsidP="0086675D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</w:tcPr>
          <w:p w14:paraId="14220551" w14:textId="7157870A" w:rsidR="0086675D" w:rsidRPr="0086675D" w:rsidRDefault="0086675D" w:rsidP="0086675D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832C3C6" w14:textId="688D097E" w:rsidR="0086675D" w:rsidRPr="0086675D" w:rsidRDefault="0086675D" w:rsidP="0086675D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86675D" w:rsidRPr="000E24B1" w14:paraId="479D0600" w14:textId="77777777" w:rsidTr="0086675D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86675D" w:rsidRPr="00234087" w:rsidRDefault="0086675D" w:rsidP="0086675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86675D" w:rsidRPr="00DF7F99" w:rsidRDefault="0086675D" w:rsidP="0086675D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1E51B936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33E6BA3A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86675D" w:rsidRPr="000E24B1" w14:paraId="675AD979" w14:textId="77777777" w:rsidTr="0086675D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86675D" w:rsidRPr="00234087" w:rsidRDefault="0086675D" w:rsidP="0086675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Τρόφιμα-Αλκοολούχα Ποτά-Καπνός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86675D" w:rsidRPr="00DF7F99" w:rsidRDefault="0086675D" w:rsidP="0086675D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7F722569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2A4B5688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86675D" w:rsidRPr="000E24B1" w14:paraId="1C369CAC" w14:textId="77777777" w:rsidTr="0086675D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86675D" w:rsidRPr="00234087" w:rsidRDefault="0086675D" w:rsidP="0086675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2" w:name="_Hlk159486445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Μη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</w:t>
            </w: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νεργειακά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Β</w:t>
            </w: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ιομηχανικά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ροϊόντα</w:t>
            </w:r>
            <w:bookmarkEnd w:id="2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86675D" w:rsidRPr="00DF7F99" w:rsidRDefault="0086675D" w:rsidP="0086675D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5E7606C3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005677D3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86675D" w:rsidRPr="000E24B1" w14:paraId="365CC113" w14:textId="77777777" w:rsidTr="0086675D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86675D" w:rsidRPr="00234087" w:rsidRDefault="0086675D" w:rsidP="0086675D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3" w:name="_Hlk169517282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Υπηρεσίες</w:t>
            </w:r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86675D" w:rsidRPr="00DF7F99" w:rsidRDefault="0086675D" w:rsidP="0086675D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71E4F359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1B7D8311" w:rsidR="0086675D" w:rsidRPr="0086675D" w:rsidRDefault="0086675D" w:rsidP="0086675D">
            <w:pPr>
              <w:ind w:right="680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86675D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</w:tr>
    </w:tbl>
    <w:bookmarkEnd w:id="3"/>
    <w:p w14:paraId="1F67D66A" w14:textId="1E36F634" w:rsidR="007F5FBB" w:rsidRPr="006A6802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</w:pP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Σημείωση: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Οι επιμέρους συντελεστές στάθμισης 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υπολογίζονται με άπειρα δεκαδικά και δημοσιεύονται με στρογγυλοποίηση δυο δεκαδικών</w:t>
      </w:r>
      <w:r w:rsidR="00554F84" w:rsidRPr="00554F84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Η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διαφορά στο άθροισμα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είναι λόγω σφάλματος στρογγυλοποίησης</w:t>
      </w:r>
      <w:r w:rsidR="00554F84" w:rsidRPr="006A6802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.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5B959921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ΕνΔΤΚ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ιστότοπο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>Η τιμοληψία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0BFB6A40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ΕνΔΤΚ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792B4DD3" w:rsidR="00AF5CC6" w:rsidRPr="00C23701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στον ΕνΔΤΚ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1BFC5BF5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ΕνΔΤΚ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32BF94E0" w14:textId="77777777" w:rsidR="00B16700" w:rsidRPr="000C5F2F" w:rsidRDefault="00B16700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4" w:name="_Hlk176173046"/>
      <w:r>
        <w:rPr>
          <w:rFonts w:ascii="Verdana" w:eastAsia="Malgun Gothic" w:hAnsi="Verdana" w:cs="Arial"/>
          <w:sz w:val="18"/>
          <w:szCs w:val="18"/>
          <w:lang w:val="el-GR"/>
        </w:rPr>
        <w:t>Σωφρόνης Βίκης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1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Κυριάκος Βουτουρής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Φίλιππος Κακούτσης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4"/>
    </w:p>
    <w:sectPr w:rsidR="001712CF" w:rsidRPr="00AF2BC9" w:rsidSect="0010437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143" w14:textId="77777777" w:rsidR="00D85851" w:rsidRDefault="00D85851" w:rsidP="00FB398F">
      <w:r>
        <w:separator/>
      </w:r>
    </w:p>
  </w:endnote>
  <w:endnote w:type="continuationSeparator" w:id="0">
    <w:p w14:paraId="5F97960A" w14:textId="77777777" w:rsidR="00D85851" w:rsidRDefault="00D8585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B56811">
      <w:rPr>
        <w:rFonts w:ascii="Verdana" w:hAnsi="Verdana" w:cs="Arial"/>
        <w:sz w:val="16"/>
        <w:szCs w:val="16"/>
        <w:lang w:val="el-GR"/>
      </w:rPr>
      <w:t>Τηλ.: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r w:rsidR="00B56811" w:rsidRPr="00B56811">
      <w:rPr>
        <w:rFonts w:ascii="Verdana" w:hAnsi="Verdana" w:cs="Arial"/>
        <w:sz w:val="16"/>
        <w:szCs w:val="16"/>
        <w:lang w:val="de-DE"/>
      </w:rPr>
      <w:t>Ηλ.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53E6" w14:textId="77777777" w:rsidR="00D85851" w:rsidRDefault="00D85851" w:rsidP="00FB398F">
      <w:r>
        <w:separator/>
      </w:r>
    </w:p>
  </w:footnote>
  <w:footnote w:type="continuationSeparator" w:id="0">
    <w:p w14:paraId="2B1F759A" w14:textId="77777777" w:rsidR="00D85851" w:rsidRDefault="00D8585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98825">
    <w:abstractNumId w:val="4"/>
  </w:num>
  <w:num w:numId="2" w16cid:durableId="362245593">
    <w:abstractNumId w:val="1"/>
  </w:num>
  <w:num w:numId="3" w16cid:durableId="91515924">
    <w:abstractNumId w:val="2"/>
  </w:num>
  <w:num w:numId="4" w16cid:durableId="620766123">
    <w:abstractNumId w:val="3"/>
  </w:num>
  <w:num w:numId="5" w16cid:durableId="460804394">
    <w:abstractNumId w:val="0"/>
  </w:num>
  <w:num w:numId="6" w16cid:durableId="186983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5F2F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1429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9EF"/>
    <w:rsid w:val="0028338F"/>
    <w:rsid w:val="002915C4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D133A"/>
    <w:rsid w:val="004D30FD"/>
    <w:rsid w:val="004D4357"/>
    <w:rsid w:val="004D4950"/>
    <w:rsid w:val="004D6F6C"/>
    <w:rsid w:val="004D7614"/>
    <w:rsid w:val="004D7F4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84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923C4"/>
    <w:rsid w:val="00594A83"/>
    <w:rsid w:val="005951A1"/>
    <w:rsid w:val="0059552E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5F7E23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094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6802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46502"/>
    <w:rsid w:val="007534F8"/>
    <w:rsid w:val="007545AD"/>
    <w:rsid w:val="00756472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5AA1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675D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1FD5"/>
    <w:rsid w:val="00954469"/>
    <w:rsid w:val="00957563"/>
    <w:rsid w:val="00960E98"/>
    <w:rsid w:val="00961BFB"/>
    <w:rsid w:val="00963A82"/>
    <w:rsid w:val="00966AC3"/>
    <w:rsid w:val="00970822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4304"/>
    <w:rsid w:val="009B7462"/>
    <w:rsid w:val="009B76D5"/>
    <w:rsid w:val="009C165D"/>
    <w:rsid w:val="009C3CEA"/>
    <w:rsid w:val="009C583D"/>
    <w:rsid w:val="009C7A89"/>
    <w:rsid w:val="009D2611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39D"/>
    <w:rsid w:val="00A079BA"/>
    <w:rsid w:val="00A10486"/>
    <w:rsid w:val="00A10B0D"/>
    <w:rsid w:val="00A14E8C"/>
    <w:rsid w:val="00A20C70"/>
    <w:rsid w:val="00A2575E"/>
    <w:rsid w:val="00A33875"/>
    <w:rsid w:val="00A360A1"/>
    <w:rsid w:val="00A402B3"/>
    <w:rsid w:val="00A40C14"/>
    <w:rsid w:val="00A43D95"/>
    <w:rsid w:val="00A45712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16700"/>
    <w:rsid w:val="00B233A8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B59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01F3"/>
    <w:rsid w:val="00D74988"/>
    <w:rsid w:val="00D76249"/>
    <w:rsid w:val="00D849D4"/>
    <w:rsid w:val="00D85851"/>
    <w:rsid w:val="00D90284"/>
    <w:rsid w:val="00D95D17"/>
    <w:rsid w:val="00D977FD"/>
    <w:rsid w:val="00DA1633"/>
    <w:rsid w:val="00DA1B90"/>
    <w:rsid w:val="00DA38A7"/>
    <w:rsid w:val="00DA7D12"/>
    <w:rsid w:val="00DB01CF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0309"/>
    <w:rsid w:val="00E114B9"/>
    <w:rsid w:val="00E120F4"/>
    <w:rsid w:val="00E17172"/>
    <w:rsid w:val="00E231EF"/>
    <w:rsid w:val="00E24491"/>
    <w:rsid w:val="00E2525D"/>
    <w:rsid w:val="00E3181C"/>
    <w:rsid w:val="00E3280A"/>
    <w:rsid w:val="00E34885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2A9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AC7F914"/>
  <w15:chartTrackingRefBased/>
  <w15:docId w15:val="{23F8D366-2F20-47CE-A254-0C17E6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kakouts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outouris@cystat.mof.gov.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k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Filippos Kakoutsis</cp:lastModifiedBy>
  <cp:revision>116</cp:revision>
  <cp:lastPrinted>2025-03-18T14:43:00Z</cp:lastPrinted>
  <dcterms:created xsi:type="dcterms:W3CDTF">2024-10-15T11:21:00Z</dcterms:created>
  <dcterms:modified xsi:type="dcterms:W3CDTF">2025-06-17T10:48:00Z</dcterms:modified>
</cp:coreProperties>
</file>