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3C3F" w14:textId="77777777" w:rsidR="00AF5CC6" w:rsidRPr="00F06D07" w:rsidRDefault="00AF5CC6" w:rsidP="00AF5CC6">
      <w:pPr>
        <w:jc w:val="right"/>
        <w:rPr>
          <w:rFonts w:ascii="Verdana" w:hAnsi="Verdana" w:cs="Arial"/>
          <w:sz w:val="18"/>
          <w:szCs w:val="18"/>
        </w:rPr>
      </w:pPr>
    </w:p>
    <w:p w14:paraId="68993345" w14:textId="77777777" w:rsidR="00AF5CC6" w:rsidRPr="00A12E81" w:rsidRDefault="00AF5CC6" w:rsidP="008A0596">
      <w:pPr>
        <w:jc w:val="right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850DDF8" w14:textId="5DD2AB15" w:rsidR="00AF5CC6" w:rsidRDefault="00167549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7E06D7">
        <w:rPr>
          <w:rFonts w:ascii="Verdana" w:eastAsia="Malgun Gothic" w:hAnsi="Verdana" w:cs="Arial"/>
          <w:sz w:val="18"/>
          <w:szCs w:val="18"/>
          <w:lang w:val="el-GR"/>
        </w:rPr>
        <w:t>17</w:t>
      </w:r>
      <w:r w:rsidR="0079784F" w:rsidRPr="007D708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Ιουνίου</w:t>
      </w:r>
      <w:r w:rsidR="0079784F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AF5CC6" w:rsidRPr="00936735"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26</w:t>
      </w:r>
    </w:p>
    <w:p w14:paraId="31604F42" w14:textId="77777777" w:rsidR="00AF5CC6" w:rsidRDefault="00AF5CC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</w:p>
    <w:p w14:paraId="1F153A24" w14:textId="77777777" w:rsidR="00AF5CC6" w:rsidRPr="007A496F" w:rsidRDefault="00AF5CC6" w:rsidP="00AF5CC6">
      <w:pPr>
        <w:jc w:val="center"/>
        <w:rPr>
          <w:rFonts w:ascii="Verdana" w:eastAsia="Malgun Gothic" w:hAnsi="Verdana" w:cs="Arial"/>
          <w:b/>
          <w:lang w:val="el-GR"/>
        </w:rPr>
      </w:pPr>
      <w:r w:rsidRPr="00936735">
        <w:rPr>
          <w:rFonts w:ascii="Verdana" w:eastAsia="Malgun Gothic" w:hAnsi="Verdana" w:cs="Arial"/>
          <w:b/>
          <w:sz w:val="24"/>
          <w:szCs w:val="24"/>
          <w:lang w:val="el-GR"/>
        </w:rPr>
        <w:t>ΔΕΛΤΙΟ</w:t>
      </w:r>
      <w:r w:rsidRPr="00F06A85">
        <w:rPr>
          <w:rFonts w:ascii="Verdana" w:eastAsia="Malgun Gothic" w:hAnsi="Verdana" w:cs="Arial"/>
          <w:b/>
          <w:lang w:val="el-GR"/>
        </w:rPr>
        <w:t xml:space="preserve"> ΤΥΠΟΥ</w:t>
      </w:r>
    </w:p>
    <w:p w14:paraId="5A8AFFDB" w14:textId="77777777" w:rsidR="004702E4" w:rsidRPr="007A496F" w:rsidRDefault="004702E4" w:rsidP="00AF5CC6">
      <w:pPr>
        <w:jc w:val="center"/>
        <w:rPr>
          <w:rFonts w:ascii="Verdana" w:eastAsia="Malgun Gothic" w:hAnsi="Verdana" w:cs="Arial"/>
          <w:b/>
          <w:lang w:val="el-GR"/>
        </w:rPr>
      </w:pPr>
    </w:p>
    <w:p w14:paraId="0C642A8F" w14:textId="77777777" w:rsidR="00AF5CC6" w:rsidRPr="00FE5DDC" w:rsidRDefault="00AF5CC6" w:rsidP="00AF5CC6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</w:p>
    <w:p w14:paraId="79C15B41" w14:textId="156341C7" w:rsidR="00AF5CC6" w:rsidRPr="00FE5DDC" w:rsidRDefault="00AF5CC6" w:rsidP="00A77C83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FE5DDC">
        <w:rPr>
          <w:rFonts w:ascii="Verdana" w:eastAsia="Malgun Gothic" w:hAnsi="Verdana" w:cs="Arial"/>
          <w:b w:val="0"/>
          <w:szCs w:val="22"/>
        </w:rPr>
        <w:t>ΕΝΑΡΜΟΝΙΣΜΕΝΟΣ ΔΕΙΚΤΗΣ ΤΙΜΩΝ ΚΑΤΑΝΑΛΩΤΗ</w:t>
      </w:r>
      <w:r w:rsidR="00970822" w:rsidRPr="00970822">
        <w:rPr>
          <w:rFonts w:ascii="Verdana" w:eastAsia="Malgun Gothic" w:hAnsi="Verdana" w:cs="Arial"/>
          <w:b w:val="0"/>
          <w:szCs w:val="22"/>
        </w:rPr>
        <w:t xml:space="preserve"> </w:t>
      </w:r>
      <w:r w:rsidRPr="00FE5DDC">
        <w:rPr>
          <w:rFonts w:ascii="Verdana" w:eastAsia="Malgun Gothic" w:hAnsi="Verdana" w:cs="Arial"/>
          <w:b w:val="0"/>
          <w:szCs w:val="22"/>
        </w:rPr>
        <w:t>(</w:t>
      </w:r>
      <w:proofErr w:type="spellStart"/>
      <w:r w:rsidRPr="00FE5DDC">
        <w:rPr>
          <w:rFonts w:ascii="Verdana" w:eastAsia="Malgun Gothic" w:hAnsi="Verdana" w:cs="Arial"/>
          <w:b w:val="0"/>
          <w:szCs w:val="22"/>
        </w:rPr>
        <w:t>ΕνΔΤΚ</w:t>
      </w:r>
      <w:proofErr w:type="spellEnd"/>
      <w:r w:rsidRPr="00FE5DDC">
        <w:rPr>
          <w:rFonts w:ascii="Verdana" w:eastAsia="Malgun Gothic" w:hAnsi="Verdana" w:cs="Arial"/>
          <w:b w:val="0"/>
          <w:szCs w:val="22"/>
        </w:rPr>
        <w:t xml:space="preserve">): </w:t>
      </w:r>
      <w:r w:rsidR="00167549">
        <w:rPr>
          <w:rFonts w:ascii="Verdana" w:eastAsia="Malgun Gothic" w:hAnsi="Verdana" w:cs="Arial"/>
          <w:caps/>
          <w:szCs w:val="22"/>
        </w:rPr>
        <w:t>ΜΑΪΟΣ</w:t>
      </w:r>
      <w:r w:rsidR="00171AFE">
        <w:rPr>
          <w:rFonts w:ascii="Verdana" w:eastAsia="Malgun Gothic" w:hAnsi="Verdana" w:cs="Arial"/>
          <w:caps/>
          <w:szCs w:val="22"/>
        </w:rPr>
        <w:t xml:space="preserve"> </w:t>
      </w:r>
      <w:r w:rsidRPr="00FE5DDC">
        <w:rPr>
          <w:rFonts w:ascii="Verdana" w:eastAsia="Malgun Gothic" w:hAnsi="Verdana" w:cs="Arial"/>
          <w:szCs w:val="22"/>
        </w:rPr>
        <w:t>202</w:t>
      </w:r>
      <w:r w:rsidR="00FD2AF7">
        <w:rPr>
          <w:rFonts w:ascii="Verdana" w:eastAsia="Malgun Gothic" w:hAnsi="Verdana" w:cs="Arial"/>
          <w:szCs w:val="22"/>
        </w:rPr>
        <w:t>6</w:t>
      </w:r>
    </w:p>
    <w:p w14:paraId="09D6CC5F" w14:textId="77777777" w:rsidR="00AF5CC6" w:rsidRPr="00FE5DDC" w:rsidRDefault="00AF5CC6" w:rsidP="00AF5CC6">
      <w:pPr>
        <w:rPr>
          <w:rFonts w:ascii="Verdana" w:eastAsia="Malgun Gothic" w:hAnsi="Verdana" w:cs="Arial"/>
          <w:lang w:val="el-GR"/>
        </w:rPr>
      </w:pPr>
    </w:p>
    <w:p w14:paraId="106B0074" w14:textId="4DF4D4BF" w:rsidR="00AF5CC6" w:rsidRPr="00FE5DDC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E5DDC">
        <w:rPr>
          <w:rFonts w:ascii="Verdana" w:eastAsia="Malgun Gothic" w:hAnsi="Verdana" w:cs="Arial"/>
          <w:b/>
          <w:lang w:val="el-GR"/>
        </w:rPr>
        <w:t>Ετήσια Μεταβολή</w:t>
      </w:r>
      <w:r w:rsidRPr="00963346">
        <w:rPr>
          <w:rFonts w:ascii="Verdana" w:eastAsia="Malgun Gothic" w:hAnsi="Verdana" w:cs="Arial"/>
          <w:b/>
          <w:color w:val="EE0000"/>
          <w:lang w:val="el-GR"/>
        </w:rPr>
        <w:t xml:space="preserve"> </w:t>
      </w:r>
      <w:r w:rsidR="00CF77B5" w:rsidRPr="00CF77B5">
        <w:rPr>
          <w:rFonts w:ascii="Verdana" w:eastAsia="Malgun Gothic" w:hAnsi="Verdana" w:cs="Arial"/>
          <w:b/>
          <w:lang w:val="el-GR"/>
        </w:rPr>
        <w:t>3</w:t>
      </w:r>
      <w:r w:rsidRPr="00CF77B5">
        <w:rPr>
          <w:rFonts w:ascii="Verdana" w:eastAsia="Malgun Gothic" w:hAnsi="Verdana" w:cs="Arial"/>
          <w:b/>
          <w:lang w:val="el-GR"/>
        </w:rPr>
        <w:t>,</w:t>
      </w:r>
      <w:r w:rsidR="00167549" w:rsidRPr="00167549">
        <w:rPr>
          <w:rFonts w:ascii="Verdana" w:eastAsia="Malgun Gothic" w:hAnsi="Verdana" w:cs="Arial"/>
          <w:b/>
          <w:lang w:val="el-GR"/>
        </w:rPr>
        <w:t>5</w:t>
      </w:r>
      <w:r w:rsidRPr="00CF77B5">
        <w:rPr>
          <w:rFonts w:ascii="Verdana" w:eastAsia="Malgun Gothic" w:hAnsi="Verdana" w:cs="Arial"/>
          <w:b/>
          <w:lang w:val="el-GR"/>
        </w:rPr>
        <w:t>%</w:t>
      </w:r>
    </w:p>
    <w:p w14:paraId="73FD0E7F" w14:textId="77777777" w:rsidR="00871E9E" w:rsidRPr="007A496F" w:rsidRDefault="00871E9E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62C77076" w14:textId="77777777" w:rsidR="004702E4" w:rsidRPr="007A496F" w:rsidRDefault="004702E4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4E220C5B" w14:textId="158A5A1F" w:rsidR="00CF6799" w:rsidRPr="00167549" w:rsidRDefault="00AF5CC6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Εναρμονισμένος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Δείκτης Τιμών Καταναλωτή </w:t>
      </w:r>
      <w:r>
        <w:rPr>
          <w:rFonts w:ascii="Verdana" w:eastAsia="Malgun Gothic" w:hAnsi="Verdana" w:cs="Arial"/>
          <w:sz w:val="18"/>
          <w:szCs w:val="18"/>
          <w:lang w:val="el-GR"/>
        </w:rPr>
        <w:t>τον</w:t>
      </w:r>
      <w:r w:rsidR="004E3A6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67549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EB5A3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20</w:t>
      </w:r>
      <w:r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FF628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αυξήθηκε κατά </w:t>
      </w:r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7665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67549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% </w:t>
      </w:r>
      <w:r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E94F4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67549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171A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5</w:t>
      </w:r>
      <w:r>
        <w:rPr>
          <w:rFonts w:ascii="Verdana" w:eastAsia="Malgun Gothic" w:hAnsi="Verdana" w:cs="Arial"/>
          <w:sz w:val="18"/>
          <w:szCs w:val="18"/>
          <w:lang w:val="el-GR"/>
        </w:rPr>
        <w:t>, ενώ σε σχέση με τον προηγούμενο μήνα</w:t>
      </w:r>
      <w:r w:rsidR="007A496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929D3" w:rsidRPr="00CF77B5">
        <w:rPr>
          <w:rFonts w:ascii="Verdana" w:eastAsia="Malgun Gothic" w:hAnsi="Verdana" w:cs="Arial"/>
          <w:sz w:val="18"/>
          <w:szCs w:val="18"/>
          <w:lang w:val="el-GR"/>
        </w:rPr>
        <w:t>αυξή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θηκε κατά </w:t>
      </w:r>
      <w:r w:rsidR="00167549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67549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0A1781" w:rsidRPr="00CF77B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B11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876E0">
        <w:rPr>
          <w:rFonts w:ascii="Verdana" w:eastAsia="Malgun Gothic" w:hAnsi="Verdana" w:cs="Arial"/>
          <w:sz w:val="18"/>
          <w:szCs w:val="18"/>
          <w:lang w:val="el-GR"/>
        </w:rPr>
        <w:t>(</w:t>
      </w:r>
      <w:r>
        <w:rPr>
          <w:rFonts w:ascii="Verdana" w:eastAsia="Malgun Gothic" w:hAnsi="Verdana" w:cs="Arial"/>
          <w:sz w:val="18"/>
          <w:szCs w:val="18"/>
          <w:lang w:val="el-GR"/>
        </w:rPr>
        <w:t>Πίνακας 1)</w:t>
      </w:r>
    </w:p>
    <w:p w14:paraId="2E6D3AAE" w14:textId="77777777" w:rsidR="00167549" w:rsidRDefault="00167549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EE9C930" w14:textId="77777777" w:rsidR="00E70396" w:rsidRPr="00E70396" w:rsidRDefault="00E70396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29175F4F" w14:textId="4DE1B81A" w:rsidR="00EB5A3F" w:rsidRDefault="00E70396" w:rsidP="00E7039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7A686418" wp14:editId="4A188E79">
            <wp:extent cx="6059805" cy="4498975"/>
            <wp:effectExtent l="0" t="0" r="0" b="0"/>
            <wp:docPr id="12297247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49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E0D60" w14:textId="7FA6FC8B" w:rsidR="00AF5CC6" w:rsidRPr="00E7039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558ED5"/>
          <w:sz w:val="16"/>
          <w:szCs w:val="16"/>
          <w:lang w:val="el-GR"/>
        </w:rPr>
      </w:pPr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Σημείωση: Ο </w:t>
      </w:r>
      <w:proofErr w:type="spellStart"/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>ΕνΔΤΚ</w:t>
      </w:r>
      <w:proofErr w:type="spellEnd"/>
      <w:r w:rsidR="00B24F95"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της 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Ευρωζώνης για τον τελευταίο μήνα βασίζεται σε εκτίμηση της 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n-GB"/>
        </w:rPr>
        <w:t>EUROSTAT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(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n-GB"/>
        </w:rPr>
        <w:t>flash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n-GB"/>
        </w:rPr>
        <w:t>estimate</w:t>
      </w:r>
      <w:r w:rsidRPr="00E70396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). </w:t>
      </w:r>
    </w:p>
    <w:p w14:paraId="01F3CC95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0FC2628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507E95" w14:textId="77777777" w:rsidR="008C03B7" w:rsidRDefault="008C03B7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E1F931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1517D9" w14:textId="77777777" w:rsidR="008774AA" w:rsidRPr="007A496F" w:rsidRDefault="008774A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0919790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C704E2C" w14:textId="349E37A0" w:rsidR="00AF5CC6" w:rsidRPr="00C23701" w:rsidRDefault="00AF5CC6" w:rsidP="00114DB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lastRenderedPageBreak/>
        <w:t>Συγκριτικά με τον</w:t>
      </w:r>
      <w:r w:rsidR="00114D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E2F1E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2658F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590727" w:rsidRPr="0059072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2B4E6C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9E502E" w:rsidRPr="00CF77B5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502E" w:rsidRPr="00CF77B5">
        <w:rPr>
          <w:rFonts w:ascii="Verdana" w:eastAsia="Malgun Gothic" w:hAnsi="Verdana" w:cs="Arial"/>
          <w:sz w:val="18"/>
          <w:szCs w:val="18"/>
          <w:lang w:val="el-GR"/>
        </w:rPr>
        <w:t>ες</w:t>
      </w:r>
      <w:bookmarkStart w:id="0" w:name="_Hlk169516628"/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E2F1E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Μεταφορές</w:t>
      </w:r>
      <w:r w:rsidR="00DA1B9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14DB4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DE2F1E">
        <w:rPr>
          <w:rFonts w:ascii="Verdana" w:eastAsia="Malgun Gothic" w:hAnsi="Verdana" w:cs="Arial"/>
          <w:iCs/>
          <w:sz w:val="18"/>
          <w:szCs w:val="18"/>
          <w:lang w:val="el-GR"/>
        </w:rPr>
        <w:t>9</w:t>
      </w:r>
      <w:r w:rsidR="00114DB4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DE2F1E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114DB4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bookmarkEnd w:id="0"/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και </w:t>
      </w:r>
      <w:r w:rsidR="004429E8" w:rsidRPr="004429E8">
        <w:rPr>
          <w:rFonts w:ascii="Verdana" w:eastAsia="Malgun Gothic" w:hAnsi="Verdana" w:cs="Arial"/>
          <w:i/>
          <w:sz w:val="18"/>
          <w:szCs w:val="18"/>
          <w:lang w:val="el-GR"/>
        </w:rPr>
        <w:t xml:space="preserve">Αναψυχή, Αθλητισμός και Πολιτισμός </w:t>
      </w:r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4429E8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4429E8">
        <w:rPr>
          <w:rFonts w:ascii="Verdana" w:eastAsia="Malgun Gothic" w:hAnsi="Verdana" w:cs="Arial"/>
          <w:iCs/>
          <w:sz w:val="18"/>
          <w:szCs w:val="18"/>
          <w:lang w:val="el-GR"/>
        </w:rPr>
        <w:t>8</w:t>
      </w:r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AD5897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παρουσίασ</w:t>
      </w:r>
      <w:r w:rsidR="009E502E" w:rsidRPr="00CF77B5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τ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F2415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E74ACD" w:rsidRPr="00CF77B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αρνητικ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καταγράφηκ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1870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AA5052" w:rsidRPr="00CF77B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4429E8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429E8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4870FD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4870FD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CF77B5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Ενημέρωση και Επικοινωνία </w:t>
      </w:r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>(-2,</w:t>
      </w:r>
      <w:r w:rsidR="004429E8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B1170" w:rsidRPr="00CF77B5">
        <w:rPr>
          <w:rFonts w:ascii="Verdana" w:eastAsia="Times New Roman" w:hAnsi="Verdana" w:cs="Arial"/>
          <w:sz w:val="18"/>
          <w:szCs w:val="18"/>
          <w:lang w:val="el-GR"/>
        </w:rPr>
        <w:t>.</w:t>
      </w:r>
      <w:r w:rsidR="00E74ACD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(Πίνακας </w:t>
      </w:r>
      <w:r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B73C62C" w14:textId="77777777" w:rsidR="00AF5CC6" w:rsidRPr="00C2370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3867E2B" w14:textId="0F30DA32" w:rsidR="00AF5CC6" w:rsidRDefault="00AF5CC6" w:rsidP="0024027B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Σε σχέση με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4429E8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31762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E74ACD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439A8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καν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E2B32" w:rsidRPr="0082105F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FE2B32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4429E8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429E8" w:rsidRPr="004429E8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Υπηρεσίες Παροχής Καταλύματος </w:t>
      </w:r>
      <w:r w:rsidR="004429E8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4429E8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4429E8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4429E8">
        <w:rPr>
          <w:rFonts w:ascii="Verdana" w:eastAsia="Malgun Gothic" w:hAnsi="Verdana" w:cs="Arial"/>
          <w:iCs/>
          <w:sz w:val="18"/>
          <w:szCs w:val="18"/>
          <w:lang w:val="el-GR"/>
        </w:rPr>
        <w:t>9</w:t>
      </w:r>
      <w:r w:rsidR="004429E8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4429E8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και</w:t>
      </w:r>
      <w:r w:rsidR="00200657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429E8" w:rsidRPr="004429E8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Στέγαση, Ύδρευση, Ηλεκτρικό Ρεύμα, Φυσικό Αέριο και Άλλα Καύσιμα </w:t>
      </w:r>
      <w:r w:rsidR="0082105F" w:rsidRPr="0082105F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4429E8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82105F" w:rsidRPr="0082105F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429E8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82105F" w:rsidRPr="0082105F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114B9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.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(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Πίνακας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9A31EF2" w14:textId="77777777" w:rsidR="007B2DD9" w:rsidRPr="000156B4" w:rsidRDefault="007B2DD9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D4DFF9B" w14:textId="66E9492E" w:rsidR="00850F43" w:rsidRPr="00601870" w:rsidRDefault="005E7DDA" w:rsidP="00850F4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156B4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0156B4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0156B4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</w:t>
      </w:r>
      <w:r w:rsidR="001A2238" w:rsidRPr="001A223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 xml:space="preserve">τόσο 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>σε σχέση μ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>ε τον</w:t>
      </w:r>
      <w:r w:rsidR="000E3759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907E1">
        <w:rPr>
          <w:rFonts w:ascii="Verdana" w:eastAsia="Malgun Gothic" w:hAnsi="Verdana" w:cs="Arial"/>
          <w:sz w:val="18"/>
          <w:szCs w:val="18"/>
          <w:lang w:val="el-GR"/>
        </w:rPr>
        <w:t>Μάιο</w:t>
      </w:r>
      <w:r w:rsidR="005F036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 xml:space="preserve"> όσο και σε σχέση με τον </w:t>
      </w:r>
      <w:r w:rsidR="003907E1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 xml:space="preserve"> 2026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>παρατηρήθηκε</w:t>
      </w:r>
      <w:r w:rsidR="00895B4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82105F" w:rsidRPr="000156B4">
        <w:rPr>
          <w:rFonts w:ascii="Verdana" w:eastAsia="Malgun Gothic" w:hAnsi="Verdana" w:cs="Arial"/>
          <w:sz w:val="18"/>
          <w:szCs w:val="18"/>
          <w:lang w:val="el-GR"/>
        </w:rPr>
        <w:t>ην</w:t>
      </w:r>
      <w:r w:rsidR="00895B4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82105F" w:rsidRPr="000156B4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895B4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D5897" w:rsidRPr="000156B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Ενέργεια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3907E1">
        <w:rPr>
          <w:rFonts w:ascii="Verdana" w:eastAsia="Malgun Gothic" w:hAnsi="Verdana" w:cs="Arial"/>
          <w:sz w:val="18"/>
          <w:szCs w:val="18"/>
          <w:lang w:val="el-GR"/>
        </w:rPr>
        <w:t>12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907E1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3907E1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907E1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>% αντίστοιχα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B24F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50F43" w:rsidRPr="00601870">
        <w:rPr>
          <w:rFonts w:ascii="Verdana" w:eastAsia="Malgun Gothic" w:hAnsi="Verdana" w:cs="Arial"/>
          <w:sz w:val="18"/>
          <w:szCs w:val="18"/>
          <w:lang w:val="el-GR"/>
        </w:rPr>
        <w:t>(Πίνακας 2)</w:t>
      </w:r>
    </w:p>
    <w:p w14:paraId="1D5E4402" w14:textId="77777777" w:rsidR="00E74ACD" w:rsidRPr="005C4C32" w:rsidRDefault="00E74ACD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GridTable1Light-Accent1"/>
        <w:tblW w:w="105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417"/>
        <w:gridCol w:w="1420"/>
        <w:gridCol w:w="240"/>
        <w:gridCol w:w="1318"/>
        <w:gridCol w:w="1275"/>
        <w:gridCol w:w="1701"/>
        <w:gridCol w:w="19"/>
      </w:tblGrid>
      <w:tr w:rsidR="001B1170" w:rsidRPr="00E70396" w14:paraId="2E7A17C5" w14:textId="61EF746F" w:rsidTr="00E70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7" w:type="dxa"/>
            <w:gridSpan w:val="8"/>
            <w:tcBorders>
              <w:bottom w:val="single" w:sz="4" w:space="0" w:color="366092"/>
            </w:tcBorders>
          </w:tcPr>
          <w:p w14:paraId="3A52B7B1" w14:textId="7B69FF08" w:rsidR="00594514" w:rsidRPr="00E70396" w:rsidRDefault="00594514" w:rsidP="00D25AB6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</w:tr>
      <w:tr w:rsidR="001B1170" w:rsidRPr="00E70396" w14:paraId="5785043C" w14:textId="125DD453" w:rsidTr="00E7039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Merge w:val="restart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CEEBE74" w14:textId="77777777" w:rsidR="00594514" w:rsidRPr="00E70396" w:rsidRDefault="00594514" w:rsidP="00A55D89">
            <w:pPr>
              <w:ind w:right="-130"/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Κατηγορίες Αγαθών</w:t>
            </w:r>
          </w:p>
          <w:p w14:paraId="0E0D3279" w14:textId="77777777" w:rsidR="00594514" w:rsidRPr="00E70396" w:rsidRDefault="00594514" w:rsidP="00D25AB6">
            <w:pPr>
              <w:rPr>
                <w:rFonts w:ascii="Verdana" w:eastAsia="Times New Roman" w:hAnsi="Verdana" w:cs="Arial"/>
                <w:b w:val="0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και Υπηρεσιών</w:t>
            </w:r>
          </w:p>
        </w:tc>
        <w:tc>
          <w:tcPr>
            <w:tcW w:w="2837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B5606A1" w14:textId="1F657FED" w:rsidR="00594514" w:rsidRPr="00E70396" w:rsidRDefault="00594514" w:rsidP="00D25AB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(2025=100)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noWrap/>
            <w:tcMar>
              <w:left w:w="0" w:type="dxa"/>
              <w:right w:w="28" w:type="dxa"/>
            </w:tcMar>
          </w:tcPr>
          <w:p w14:paraId="1E490A95" w14:textId="77777777" w:rsidR="00594514" w:rsidRPr="00E70396" w:rsidRDefault="00594514" w:rsidP="00D25AB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0"/>
                <w:szCs w:val="10"/>
              </w:rPr>
            </w:pPr>
          </w:p>
        </w:tc>
        <w:tc>
          <w:tcPr>
            <w:tcW w:w="4308" w:type="dxa"/>
            <w:gridSpan w:val="4"/>
            <w:tcBorders>
              <w:top w:val="single" w:sz="4" w:space="0" w:color="366092"/>
              <w:bottom w:val="single" w:sz="4" w:space="0" w:color="366092"/>
            </w:tcBorders>
          </w:tcPr>
          <w:p w14:paraId="34A73185" w14:textId="0A086CEB" w:rsidR="00594514" w:rsidRPr="00E70396" w:rsidRDefault="00594514" w:rsidP="00D25AB6">
            <w:pPr>
              <w:tabs>
                <w:tab w:val="left" w:pos="1080"/>
                <w:tab w:val="left" w:pos="684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DE2F1E" w:rsidRPr="00E70396" w14:paraId="4549DBDE" w14:textId="0D238C18" w:rsidTr="00E70396">
        <w:trPr>
          <w:gridAfter w:val="1"/>
          <w:wAfter w:w="1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250044BF" w14:textId="77777777" w:rsidR="00DE2F1E" w:rsidRPr="00E70396" w:rsidRDefault="00DE2F1E" w:rsidP="00DE2F1E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F20B1AC" w14:textId="77777777" w:rsidR="00DE2F1E" w:rsidRPr="00E70396" w:rsidRDefault="00DE2F1E" w:rsidP="00DE2F1E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Απρίλιος</w:t>
            </w:r>
          </w:p>
          <w:p w14:paraId="173638EB" w14:textId="1278CB6C" w:rsidR="00DE2F1E" w:rsidRPr="00E70396" w:rsidRDefault="00DE2F1E" w:rsidP="00DE2F1E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9830DAB" w14:textId="77777777" w:rsidR="00DE2F1E" w:rsidRPr="00E70396" w:rsidRDefault="00DE2F1E" w:rsidP="00DE2F1E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</w:p>
          <w:p w14:paraId="20133DD4" w14:textId="04B0B100" w:rsidR="00DE2F1E" w:rsidRPr="00E70396" w:rsidRDefault="00DE2F1E" w:rsidP="00DE2F1E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</w:tcPr>
          <w:p w14:paraId="1D37A384" w14:textId="77777777" w:rsidR="00DE2F1E" w:rsidRPr="00E70396" w:rsidRDefault="00DE2F1E" w:rsidP="00DE2F1E">
            <w:pPr>
              <w:tabs>
                <w:tab w:val="left" w:pos="1080"/>
                <w:tab w:val="left" w:pos="6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0"/>
                <w:szCs w:val="10"/>
                <w:lang w:val="el-GR"/>
              </w:rPr>
            </w:pPr>
          </w:p>
        </w:tc>
        <w:tc>
          <w:tcPr>
            <w:tcW w:w="1318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D2B89D9" w14:textId="3A50BBDF" w:rsidR="00DE2F1E" w:rsidRPr="00E70396" w:rsidRDefault="00DE2F1E" w:rsidP="00DE2F1E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 26/ Μάιος 25</w:t>
            </w:r>
          </w:p>
        </w:tc>
        <w:tc>
          <w:tcPr>
            <w:tcW w:w="127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E6F8F9A" w14:textId="1E3D09B6" w:rsidR="00DE2F1E" w:rsidRPr="00E70396" w:rsidRDefault="00DE2F1E" w:rsidP="00DE2F1E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 26/ Απρ 26</w:t>
            </w:r>
          </w:p>
        </w:tc>
        <w:tc>
          <w:tcPr>
            <w:tcW w:w="1701" w:type="dxa"/>
            <w:tcBorders>
              <w:top w:val="single" w:sz="4" w:space="0" w:color="366092"/>
              <w:bottom w:val="single" w:sz="4" w:space="0" w:color="366092"/>
            </w:tcBorders>
          </w:tcPr>
          <w:p w14:paraId="14124BBE" w14:textId="204CDB55" w:rsidR="00DE2F1E" w:rsidRPr="00E70396" w:rsidRDefault="00DE2F1E" w:rsidP="00DE2F1E">
            <w:pPr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 26 /</w:t>
            </w:r>
          </w:p>
          <w:p w14:paraId="27C220DA" w14:textId="6960A98E" w:rsidR="00DE2F1E" w:rsidRPr="00E70396" w:rsidRDefault="00DE2F1E" w:rsidP="00DE2F1E">
            <w:pPr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 25</w:t>
            </w:r>
          </w:p>
        </w:tc>
      </w:tr>
      <w:tr w:rsidR="00DE2F1E" w:rsidRPr="00E70396" w14:paraId="6E325E2B" w14:textId="5D732482" w:rsidTr="00E70396">
        <w:trPr>
          <w:gridAfter w:val="1"/>
          <w:wAfter w:w="19" w:type="dxa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tcBorders>
              <w:top w:val="single" w:sz="4" w:space="0" w:color="366092"/>
            </w:tcBorders>
            <w:vAlign w:val="center"/>
          </w:tcPr>
          <w:p w14:paraId="3D84B894" w14:textId="61AE473D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417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27A9D2F2" w14:textId="6788359E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104,89</w:t>
            </w:r>
          </w:p>
        </w:tc>
        <w:tc>
          <w:tcPr>
            <w:tcW w:w="1420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390E44D6" w14:textId="5DD7816A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104,16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7373A50C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368FBF5C" w14:textId="41C6A747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3,18</w:t>
            </w:r>
          </w:p>
        </w:tc>
        <w:tc>
          <w:tcPr>
            <w:tcW w:w="1275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3AD0BF5" w14:textId="56296467" w:rsidR="00DE2F1E" w:rsidRPr="00E70396" w:rsidRDefault="00DE2F1E" w:rsidP="00DE2F1E">
            <w:pPr>
              <w:ind w:right="-12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-0,70</w:t>
            </w:r>
          </w:p>
        </w:tc>
        <w:tc>
          <w:tcPr>
            <w:tcW w:w="1701" w:type="dxa"/>
            <w:tcBorders>
              <w:top w:val="single" w:sz="4" w:space="0" w:color="366092"/>
            </w:tcBorders>
            <w:vAlign w:val="center"/>
          </w:tcPr>
          <w:p w14:paraId="254C7CD9" w14:textId="79BD30AE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4,14</w:t>
            </w:r>
          </w:p>
        </w:tc>
      </w:tr>
      <w:tr w:rsidR="00DE2F1E" w:rsidRPr="00E70396" w14:paraId="1B95C1A8" w14:textId="025E60B6" w:rsidTr="00DE2F1E">
        <w:trPr>
          <w:gridAfter w:val="1"/>
          <w:wAfter w:w="19" w:type="dxa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1D538252" w14:textId="0B385417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οτά</w:t>
            </w:r>
            <w:proofErr w:type="spellEnd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 </w:t>
            </w: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Κ</w:t>
            </w: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απ</w:t>
            </w:r>
            <w:proofErr w:type="spellStart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27BB5071" w14:textId="4AD5F709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100,79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5809D1EC" w14:textId="5394B3DD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101,29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BC72088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7137B40E" w14:textId="41E9A6E5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1,55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01037533" w14:textId="12833CE3" w:rsidR="00DE2F1E" w:rsidRPr="00E70396" w:rsidRDefault="00DE2F1E" w:rsidP="00DE2F1E">
            <w:pPr>
              <w:ind w:leftChars="-38" w:left="1" w:right="-120" w:hangingChars="47" w:hanging="8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0,50</w:t>
            </w:r>
          </w:p>
        </w:tc>
        <w:tc>
          <w:tcPr>
            <w:tcW w:w="1701" w:type="dxa"/>
            <w:vAlign w:val="center"/>
          </w:tcPr>
          <w:p w14:paraId="79B0CB5A" w14:textId="1C785167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1,21</w:t>
            </w:r>
          </w:p>
        </w:tc>
      </w:tr>
      <w:tr w:rsidR="00DE2F1E" w:rsidRPr="00E70396" w14:paraId="2601AA75" w14:textId="0E764678" w:rsidTr="00DE2F1E">
        <w:trPr>
          <w:gridAfter w:val="1"/>
          <w:wAfter w:w="19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5B331D93" w14:textId="65E02C65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Ένδυση</w:t>
            </w:r>
            <w:proofErr w:type="spellEnd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 </w:t>
            </w: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Υ</w:t>
            </w: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π</w:t>
            </w:r>
            <w:proofErr w:type="spellStart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3027E8C" w14:textId="0BCC895E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99,05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21BD9B26" w14:textId="42B487F4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98,29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1F5D5ED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4F1CA5C3" w14:textId="31602B0E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-8,53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90FFA51" w14:textId="010D1FCD" w:rsidR="00DE2F1E" w:rsidRPr="00E70396" w:rsidRDefault="00DE2F1E" w:rsidP="00DE2F1E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-0,77</w:t>
            </w:r>
          </w:p>
        </w:tc>
        <w:tc>
          <w:tcPr>
            <w:tcW w:w="1701" w:type="dxa"/>
            <w:vAlign w:val="center"/>
          </w:tcPr>
          <w:p w14:paraId="6A7A1D11" w14:textId="0D4371E6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-6,41</w:t>
            </w:r>
          </w:p>
        </w:tc>
      </w:tr>
      <w:tr w:rsidR="00DE2F1E" w:rsidRPr="00E70396" w14:paraId="221396AC" w14:textId="69BA0D35" w:rsidTr="00DE2F1E">
        <w:trPr>
          <w:gridAfter w:val="1"/>
          <w:wAfter w:w="19" w:type="dxa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28F51117" w14:textId="708AE489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C9D56E0" w14:textId="68C029D0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99,99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1B1AC012" w14:textId="7DF0A837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101,96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6C472D35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019E2CB7" w14:textId="7D016194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2,92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2C260FAB" w14:textId="39C998DF" w:rsidR="00DE2F1E" w:rsidRPr="00E70396" w:rsidRDefault="00DE2F1E" w:rsidP="00DE2F1E">
            <w:pPr>
              <w:ind w:right="-12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1,97</w:t>
            </w:r>
          </w:p>
        </w:tc>
        <w:tc>
          <w:tcPr>
            <w:tcW w:w="1701" w:type="dxa"/>
            <w:vAlign w:val="center"/>
          </w:tcPr>
          <w:p w14:paraId="2199AA02" w14:textId="76831E21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-1,22</w:t>
            </w:r>
          </w:p>
        </w:tc>
      </w:tr>
      <w:tr w:rsidR="00DE2F1E" w:rsidRPr="00E70396" w14:paraId="48E93CF3" w14:textId="1F1BDCF4" w:rsidTr="00DE2F1E">
        <w:trPr>
          <w:gridAfter w:val="1"/>
          <w:wAfter w:w="19" w:type="dxa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64880A51" w14:textId="73A8B2C1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200AA5A" w14:textId="3AB79827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99,91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7E94323B" w14:textId="5707FCB0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99,60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16580516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49C7D603" w14:textId="09455410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-1,11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26A13B3" w14:textId="5118C1E8" w:rsidR="00DE2F1E" w:rsidRPr="00E70396" w:rsidRDefault="00DE2F1E" w:rsidP="00DE2F1E">
            <w:pPr>
              <w:ind w:right="-12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-0,31</w:t>
            </w:r>
          </w:p>
        </w:tc>
        <w:tc>
          <w:tcPr>
            <w:tcW w:w="1701" w:type="dxa"/>
            <w:vAlign w:val="center"/>
          </w:tcPr>
          <w:p w14:paraId="0AF84866" w14:textId="7EB00694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-0,08</w:t>
            </w:r>
          </w:p>
        </w:tc>
      </w:tr>
      <w:tr w:rsidR="00DE2F1E" w:rsidRPr="00E70396" w14:paraId="22ED156A" w14:textId="71FE16AA" w:rsidTr="00DE2F1E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36D409F9" w14:textId="581D3712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Υγεί</w:t>
            </w:r>
            <w:proofErr w:type="spellEnd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7F8F6B2C" w14:textId="467F4AEE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100,76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3C0F6F65" w14:textId="138F8A32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100,84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37314BA3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792F6CCD" w14:textId="3BDDA62C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0,96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2B6DE458" w14:textId="523EB755" w:rsidR="00DE2F1E" w:rsidRPr="00E70396" w:rsidRDefault="00DE2F1E" w:rsidP="00DE2F1E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0,08</w:t>
            </w:r>
          </w:p>
        </w:tc>
        <w:tc>
          <w:tcPr>
            <w:tcW w:w="1701" w:type="dxa"/>
            <w:vAlign w:val="center"/>
          </w:tcPr>
          <w:p w14:paraId="3BB87F01" w14:textId="2AE51C70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0,64</w:t>
            </w:r>
          </w:p>
        </w:tc>
      </w:tr>
      <w:tr w:rsidR="00DE2F1E" w:rsidRPr="00E70396" w14:paraId="573C0426" w14:textId="2FED1DF5" w:rsidTr="00DE2F1E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7C5B48AA" w14:textId="08B27ECD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Μετα</w:t>
            </w:r>
            <w:proofErr w:type="spellStart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φορές</w:t>
            </w:r>
            <w:proofErr w:type="spellEnd"/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4FF94B2" w14:textId="39C95F4D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109,30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6BF86314" w14:textId="0F806540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107,52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32FDDE1E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503EF572" w14:textId="10B8161A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9,73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A5AFA5F" w14:textId="5A6083F7" w:rsidR="00DE2F1E" w:rsidRPr="00E70396" w:rsidRDefault="00DE2F1E" w:rsidP="00DE2F1E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-1,63</w:t>
            </w:r>
          </w:p>
        </w:tc>
        <w:tc>
          <w:tcPr>
            <w:tcW w:w="1701" w:type="dxa"/>
            <w:vAlign w:val="center"/>
          </w:tcPr>
          <w:p w14:paraId="36A31C9E" w14:textId="57637879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3,18</w:t>
            </w:r>
          </w:p>
        </w:tc>
      </w:tr>
      <w:tr w:rsidR="00DE2F1E" w:rsidRPr="00E70396" w14:paraId="4E4A4FB2" w14:textId="2A8DA05B" w:rsidTr="00DE2F1E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3478003F" w14:textId="097CC385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Επ</w:t>
            </w:r>
            <w:proofErr w:type="spellStart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ικοινωνί</w:t>
            </w:r>
            <w:proofErr w:type="spellEnd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7AAE2D93" w14:textId="797D7352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97,84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0717658E" w14:textId="27875AEF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97,31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279FA386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3251023B" w14:textId="4D6C699C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-2,92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68CF4DE6" w14:textId="00A04C40" w:rsidR="00DE2F1E" w:rsidRPr="00E70396" w:rsidRDefault="00DE2F1E" w:rsidP="00DE2F1E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-0,54</w:t>
            </w:r>
          </w:p>
        </w:tc>
        <w:tc>
          <w:tcPr>
            <w:tcW w:w="1701" w:type="dxa"/>
            <w:vAlign w:val="center"/>
          </w:tcPr>
          <w:p w14:paraId="164D9D6D" w14:textId="4CA52EB0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-2,56</w:t>
            </w:r>
          </w:p>
        </w:tc>
      </w:tr>
      <w:tr w:rsidR="00DE2F1E" w:rsidRPr="00E70396" w14:paraId="3168295C" w14:textId="3A9D1452" w:rsidTr="00DE2F1E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13E03490" w14:textId="5C9535DC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bookmarkStart w:id="1" w:name="_Hlk232495335"/>
            <w:proofErr w:type="spellStart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Αν</w:t>
            </w:r>
            <w:proofErr w:type="spellEnd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αψυχή</w:t>
            </w: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, Αθλητισμός</w:t>
            </w: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</w:t>
            </w: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ολιτισμός</w:t>
            </w:r>
            <w:bookmarkEnd w:id="1"/>
            <w:proofErr w:type="spellEnd"/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1B4D2413" w14:textId="04481EE2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103,61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796DA35F" w14:textId="409F6360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104,62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7E2175BC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64AEA1CF" w14:textId="4239E74B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7,77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A826D6D" w14:textId="203B80A5" w:rsidR="00DE2F1E" w:rsidRPr="00E70396" w:rsidRDefault="00DE2F1E" w:rsidP="00DE2F1E">
            <w:pPr>
              <w:ind w:right="-120" w:firstLineChars="20" w:firstLine="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0,97</w:t>
            </w:r>
          </w:p>
        </w:tc>
        <w:tc>
          <w:tcPr>
            <w:tcW w:w="1701" w:type="dxa"/>
            <w:vAlign w:val="center"/>
          </w:tcPr>
          <w:p w14:paraId="372170B2" w14:textId="47173A1F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6,28</w:t>
            </w:r>
          </w:p>
        </w:tc>
      </w:tr>
      <w:tr w:rsidR="00DE2F1E" w:rsidRPr="00E70396" w14:paraId="4DA8FE93" w14:textId="18ED2D84" w:rsidTr="00DE2F1E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040786D7" w14:textId="3094A10B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Εκπα</w:t>
            </w:r>
            <w:proofErr w:type="spellStart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ιδ</w:t>
            </w: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ευ</w:t>
            </w: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τικές</w:t>
            </w:r>
            <w:proofErr w:type="spellEnd"/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Υπηρεσίες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2FCCA678" w14:textId="62E8C876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102,33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591B248E" w14:textId="480390B8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102,33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156490F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663D8662" w14:textId="14425F87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3,41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615957CF" w14:textId="21E1960B" w:rsidR="00DE2F1E" w:rsidRPr="00E70396" w:rsidRDefault="00DE2F1E" w:rsidP="00DE2F1E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  <w:tc>
          <w:tcPr>
            <w:tcW w:w="1701" w:type="dxa"/>
            <w:vAlign w:val="center"/>
          </w:tcPr>
          <w:p w14:paraId="5DF7D40D" w14:textId="23536D02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3,41</w:t>
            </w:r>
          </w:p>
        </w:tc>
      </w:tr>
      <w:tr w:rsidR="00DE2F1E" w:rsidRPr="00E70396" w14:paraId="2F3D1C78" w14:textId="078EF248" w:rsidTr="00DE2F1E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673B39AC" w14:textId="1073A21D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66206761" w14:textId="3A2FBDAD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102,02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042AE3A9" w14:textId="041D6DB0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107,01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7C6C81B0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69B83F16" w14:textId="0B5B3FB4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7,69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5C591C76" w14:textId="249A9115" w:rsidR="00DE2F1E" w:rsidRPr="00E70396" w:rsidRDefault="00DE2F1E" w:rsidP="00DE2F1E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4,89</w:t>
            </w:r>
          </w:p>
        </w:tc>
        <w:tc>
          <w:tcPr>
            <w:tcW w:w="1701" w:type="dxa"/>
            <w:vAlign w:val="center"/>
          </w:tcPr>
          <w:p w14:paraId="11F17BCA" w14:textId="55EFAEC5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4,93</w:t>
            </w:r>
          </w:p>
        </w:tc>
      </w:tr>
      <w:tr w:rsidR="00DE2F1E" w:rsidRPr="00E70396" w14:paraId="64D9DA00" w14:textId="7826C0BB" w:rsidTr="00DE2F1E">
        <w:trPr>
          <w:gridAfter w:val="1"/>
          <w:wAfter w:w="19" w:type="dxa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23E34084" w14:textId="3F1EE9C2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602EC338" w14:textId="29EAAD04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100,05</w:t>
            </w:r>
          </w:p>
        </w:tc>
        <w:tc>
          <w:tcPr>
            <w:tcW w:w="1420" w:type="dxa"/>
            <w:noWrap/>
            <w:tcMar>
              <w:left w:w="0" w:type="dxa"/>
              <w:right w:w="198" w:type="dxa"/>
            </w:tcMar>
            <w:vAlign w:val="center"/>
          </w:tcPr>
          <w:p w14:paraId="7D042F2E" w14:textId="030F7F25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100,05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2492F0DF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342F69EA" w14:textId="4067F53C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0,03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9FEF3C0" w14:textId="4A5393D6" w:rsidR="00DE2F1E" w:rsidRPr="00E70396" w:rsidRDefault="00DE2F1E" w:rsidP="00DE2F1E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  <w:tc>
          <w:tcPr>
            <w:tcW w:w="1701" w:type="dxa"/>
            <w:vAlign w:val="center"/>
          </w:tcPr>
          <w:p w14:paraId="01BCC9A9" w14:textId="5F9345C9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0,08</w:t>
            </w:r>
          </w:p>
        </w:tc>
      </w:tr>
      <w:tr w:rsidR="00DE2F1E" w:rsidRPr="00E70396" w14:paraId="63DB8116" w14:textId="42911875" w:rsidTr="00E70396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tcBorders>
              <w:bottom w:val="single" w:sz="4" w:space="0" w:color="366092"/>
            </w:tcBorders>
            <w:vAlign w:val="center"/>
          </w:tcPr>
          <w:p w14:paraId="5679E4E2" w14:textId="69E50AC3" w:rsidR="00DE2F1E" w:rsidRPr="00E70396" w:rsidRDefault="00DE2F1E" w:rsidP="00DE2F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417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1D4EA246" w14:textId="2BDC8CDC" w:rsidR="00DE2F1E" w:rsidRPr="00E70396" w:rsidRDefault="00DE2F1E" w:rsidP="00DE2F1E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100,64</w:t>
            </w:r>
          </w:p>
        </w:tc>
        <w:tc>
          <w:tcPr>
            <w:tcW w:w="1420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CB407AE" w14:textId="1B9BFE0B" w:rsidR="00DE2F1E" w:rsidRPr="00E70396" w:rsidRDefault="00DE2F1E" w:rsidP="00DE2F1E">
            <w:pPr>
              <w:ind w:right="9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100,69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51979D83" w14:textId="77777777" w:rsidR="00DE2F1E" w:rsidRPr="00E70396" w:rsidRDefault="00DE2F1E" w:rsidP="00DE2F1E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0829BCF" w14:textId="6BEA66D9" w:rsidR="00DE2F1E" w:rsidRPr="00E70396" w:rsidRDefault="00DE2F1E" w:rsidP="00DE2F1E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0,54</w:t>
            </w:r>
          </w:p>
        </w:tc>
        <w:tc>
          <w:tcPr>
            <w:tcW w:w="1275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DA01948" w14:textId="1E0119C7" w:rsidR="00DE2F1E" w:rsidRPr="00E70396" w:rsidRDefault="00DE2F1E" w:rsidP="00DE2F1E">
            <w:pPr>
              <w:ind w:right="-12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0,05</w:t>
            </w:r>
          </w:p>
        </w:tc>
        <w:tc>
          <w:tcPr>
            <w:tcW w:w="1701" w:type="dxa"/>
            <w:tcBorders>
              <w:bottom w:val="single" w:sz="4" w:space="0" w:color="366092"/>
            </w:tcBorders>
            <w:vAlign w:val="center"/>
          </w:tcPr>
          <w:p w14:paraId="536425F5" w14:textId="5235C080" w:rsidR="00DE2F1E" w:rsidRPr="00E70396" w:rsidRDefault="00DE2F1E" w:rsidP="00DE2F1E">
            <w:pPr>
              <w:tabs>
                <w:tab w:val="left" w:pos="1080"/>
              </w:tabs>
              <w:ind w:right="3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1,04</w:t>
            </w:r>
          </w:p>
        </w:tc>
      </w:tr>
      <w:tr w:rsidR="00DE2F1E" w:rsidRPr="00E70396" w14:paraId="57C62558" w14:textId="44111699" w:rsidTr="00E70396">
        <w:trPr>
          <w:gridAfter w:val="1"/>
          <w:wAfter w:w="19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tcBorders>
              <w:top w:val="single" w:sz="4" w:space="0" w:color="366092"/>
              <w:bottom w:val="single" w:sz="4" w:space="0" w:color="366092"/>
            </w:tcBorders>
            <w:tcMar>
              <w:right w:w="0" w:type="dxa"/>
            </w:tcMar>
            <w:vAlign w:val="center"/>
          </w:tcPr>
          <w:p w14:paraId="76F4097F" w14:textId="1BBDC653" w:rsidR="00DE2F1E" w:rsidRPr="00E70396" w:rsidRDefault="00DE2F1E" w:rsidP="00DE2F1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Γενικός </w:t>
            </w:r>
            <w:proofErr w:type="spellStart"/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0B1D4B8B" w14:textId="7D0D9E05" w:rsidR="00DE2F1E" w:rsidRPr="00E70396" w:rsidRDefault="00DE2F1E" w:rsidP="00DE2F1E">
            <w:pPr>
              <w:ind w:right="82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7039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102,68</w:t>
            </w:r>
          </w:p>
        </w:tc>
        <w:tc>
          <w:tcPr>
            <w:tcW w:w="1420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7DE7D774" w14:textId="32BDD952" w:rsidR="00DE2F1E" w:rsidRPr="00E70396" w:rsidRDefault="00DE2F1E" w:rsidP="00DE2F1E">
            <w:pPr>
              <w:ind w:right="90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103,45</w:t>
            </w:r>
          </w:p>
        </w:tc>
        <w:tc>
          <w:tcPr>
            <w:tcW w:w="240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424173AD" w14:textId="77777777" w:rsidR="00DE2F1E" w:rsidRPr="00E70396" w:rsidRDefault="00DE2F1E" w:rsidP="00DE2F1E">
            <w:pPr>
              <w:ind w:right="228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3FF9B79" w14:textId="141F1CC9" w:rsidR="00DE2F1E" w:rsidRPr="00E70396" w:rsidRDefault="00DE2F1E" w:rsidP="00DE2F1E">
            <w:pPr>
              <w:ind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3,54</w:t>
            </w:r>
          </w:p>
        </w:tc>
        <w:tc>
          <w:tcPr>
            <w:tcW w:w="1275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5FFC52D0" w14:textId="7F93C18B" w:rsidR="00DE2F1E" w:rsidRPr="00E70396" w:rsidRDefault="00DE2F1E" w:rsidP="00DE2F1E">
            <w:pPr>
              <w:ind w:right="-120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E9CC951" w14:textId="3A8EBB9B" w:rsidR="00DE2F1E" w:rsidRPr="00E70396" w:rsidRDefault="00DE2F1E" w:rsidP="00DE2F1E">
            <w:pPr>
              <w:tabs>
                <w:tab w:val="left" w:pos="1080"/>
              </w:tabs>
              <w:ind w:right="317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2,05</w:t>
            </w:r>
          </w:p>
        </w:tc>
      </w:tr>
    </w:tbl>
    <w:p w14:paraId="5A3ED84F" w14:textId="77777777" w:rsidR="007F5FBB" w:rsidRDefault="007F5FBB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E7D144C" w14:textId="77777777" w:rsidR="00A55D89" w:rsidRPr="00C07136" w:rsidRDefault="00A55D89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3479"/>
        <w:gridCol w:w="2222"/>
        <w:gridCol w:w="2493"/>
        <w:gridCol w:w="2415"/>
      </w:tblGrid>
      <w:tr w:rsidR="00AF5CC6" w:rsidRPr="00E70396" w14:paraId="09088547" w14:textId="77777777" w:rsidTr="001B1170">
        <w:trPr>
          <w:trHeight w:val="227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7FD3C8B" w14:textId="77777777" w:rsidR="00AF5CC6" w:rsidRPr="00E70396" w:rsidRDefault="00AF5CC6" w:rsidP="00A55D89">
            <w:pPr>
              <w:tabs>
                <w:tab w:val="left" w:pos="495"/>
              </w:tabs>
              <w:ind w:left="37"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AF5CC6" w:rsidRPr="00E70396" w14:paraId="36F39CC8" w14:textId="77777777" w:rsidTr="001B1170">
        <w:trPr>
          <w:trHeight w:val="330"/>
          <w:jc w:val="center"/>
        </w:trPr>
        <w:tc>
          <w:tcPr>
            <w:tcW w:w="164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6EDB409" w14:textId="77777777" w:rsidR="00AF5CC6" w:rsidRPr="00E70396" w:rsidRDefault="00AF5CC6" w:rsidP="00B56410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4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F662B9E" w14:textId="77777777" w:rsidR="00813A56" w:rsidRPr="00E70396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</w:t>
            </w:r>
          </w:p>
          <w:p w14:paraId="08207C70" w14:textId="75D1097E" w:rsidR="00AF5CC6" w:rsidRPr="00E70396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Στάθμισης</w:t>
            </w:r>
          </w:p>
        </w:tc>
        <w:tc>
          <w:tcPr>
            <w:tcW w:w="2313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1528CE2" w14:textId="77777777" w:rsidR="00AF5CC6" w:rsidRPr="00E70396" w:rsidRDefault="00AF5CC6" w:rsidP="00FA5F4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7B536B" w:rsidRPr="00E70396" w14:paraId="1F92CDFF" w14:textId="77777777" w:rsidTr="00233F37">
        <w:trPr>
          <w:trHeight w:val="454"/>
          <w:jc w:val="center"/>
        </w:trPr>
        <w:tc>
          <w:tcPr>
            <w:tcW w:w="164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3AD286F6" w14:textId="77777777" w:rsidR="007B536B" w:rsidRPr="00E70396" w:rsidRDefault="007B536B" w:rsidP="007B536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39907132" w14:textId="77777777" w:rsidR="007B536B" w:rsidRPr="00E70396" w:rsidRDefault="007B536B" w:rsidP="007B536B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59BAF57" w14:textId="5B146A56" w:rsidR="007B536B" w:rsidRPr="00E70396" w:rsidRDefault="00D40C49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7B536B"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  <w:r w:rsidR="007B536B"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1A7952FF" w14:textId="29DA571C" w:rsidR="007B536B" w:rsidRPr="00E70396" w:rsidRDefault="00D40C49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7B536B"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138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5C81766C" w14:textId="04973F55" w:rsidR="007B536B" w:rsidRPr="00E70396" w:rsidRDefault="00D40C49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7B536B"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  <w:r w:rsidR="007B536B"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1598BCE1" w14:textId="08F8F5BF" w:rsidR="007B536B" w:rsidRPr="00E70396" w:rsidRDefault="00D40C49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7B536B"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131F3A"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F626C0" w:rsidRPr="00E70396" w14:paraId="4E8D6A7B" w14:textId="77777777" w:rsidTr="003907E1">
        <w:trPr>
          <w:trHeight w:val="414"/>
          <w:jc w:val="center"/>
        </w:trPr>
        <w:tc>
          <w:tcPr>
            <w:tcW w:w="1640" w:type="pct"/>
            <w:tcBorders>
              <w:top w:val="single" w:sz="4" w:space="0" w:color="366092"/>
              <w:left w:val="nil"/>
            </w:tcBorders>
            <w:shd w:val="clear" w:color="FFFFFF" w:fill="FFFFFF"/>
            <w:noWrap/>
            <w:vAlign w:val="center"/>
            <w:hideMark/>
          </w:tcPr>
          <w:p w14:paraId="5DF56356" w14:textId="5A6E2987" w:rsidR="00F626C0" w:rsidRPr="00E70396" w:rsidRDefault="00F626C0" w:rsidP="00F626C0">
            <w:pPr>
              <w:ind w:right="57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</w:t>
            </w: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</w:t>
            </w: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ΤΚ</w:t>
            </w:r>
            <w:r w:rsidRPr="00E7039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29F0C0D2" w14:textId="3E70D8F1" w:rsidR="00F626C0" w:rsidRPr="00E70396" w:rsidRDefault="00F626C0" w:rsidP="00F626C0">
            <w:pPr>
              <w:ind w:right="680" w:firstLineChars="200" w:firstLine="36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1000</w:t>
            </w:r>
          </w:p>
        </w:tc>
        <w:tc>
          <w:tcPr>
            <w:tcW w:w="1175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4220551" w14:textId="4190E827" w:rsidR="00F626C0" w:rsidRPr="00E70396" w:rsidRDefault="00F626C0" w:rsidP="003907E1">
            <w:pPr>
              <w:ind w:right="855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</w:t>
            </w:r>
            <w:r w:rsidR="00A75A50" w:rsidRPr="00E7039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,</w:t>
            </w:r>
            <w:r w:rsidR="003907E1" w:rsidRPr="00E7039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138" w:type="pct"/>
            <w:tcBorders>
              <w:top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  <w:hideMark/>
          </w:tcPr>
          <w:p w14:paraId="7832C3C6" w14:textId="791CFAEF" w:rsidR="00F626C0" w:rsidRPr="00E70396" w:rsidRDefault="003907E1" w:rsidP="003907E1">
            <w:pPr>
              <w:ind w:right="855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</w:t>
            </w:r>
            <w:r w:rsidR="00F626C0" w:rsidRPr="00E7039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,</w:t>
            </w:r>
            <w:r w:rsidRPr="00E7039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</w:t>
            </w:r>
          </w:p>
        </w:tc>
      </w:tr>
      <w:tr w:rsidR="003907E1" w:rsidRPr="00E70396" w14:paraId="479D0600" w14:textId="77777777" w:rsidTr="003907E1">
        <w:trPr>
          <w:trHeight w:val="34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23ACBB9" w14:textId="77777777" w:rsidR="003907E1" w:rsidRPr="00E70396" w:rsidRDefault="003907E1" w:rsidP="003907E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Ενέργεια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4A64648" w14:textId="08625253" w:rsidR="003907E1" w:rsidRPr="00E70396" w:rsidRDefault="003907E1" w:rsidP="003907E1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88,45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9E31C56" w14:textId="3E66E69A" w:rsidR="003907E1" w:rsidRPr="00E70396" w:rsidRDefault="003907E1" w:rsidP="003907E1">
            <w:pPr>
              <w:ind w:right="855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12,6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58C2E376" w14:textId="5C2149A6" w:rsidR="003907E1" w:rsidRPr="00E70396" w:rsidRDefault="003907E1" w:rsidP="003907E1">
            <w:pPr>
              <w:ind w:right="855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2,1</w:t>
            </w:r>
          </w:p>
        </w:tc>
      </w:tr>
      <w:tr w:rsidR="003907E1" w:rsidRPr="00E70396" w14:paraId="675AD979" w14:textId="77777777" w:rsidTr="003907E1">
        <w:trPr>
          <w:trHeight w:val="34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FC098F" w14:textId="77777777" w:rsidR="003907E1" w:rsidRPr="00E70396" w:rsidRDefault="003907E1" w:rsidP="003907E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Τρόφιμ</w:t>
            </w:r>
            <w:proofErr w:type="spellEnd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α-Αλκοολούχα </w:t>
            </w:r>
            <w:proofErr w:type="spellStart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Ποτά</w:t>
            </w:r>
            <w:proofErr w:type="spellEnd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-Καπ</w:t>
            </w:r>
            <w:proofErr w:type="spellStart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07B1CD" w14:textId="09AABA5A" w:rsidR="003907E1" w:rsidRPr="00E70396" w:rsidRDefault="003907E1" w:rsidP="003907E1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205,02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73CF33E" w14:textId="72E88EE9" w:rsidR="003907E1" w:rsidRPr="00E70396" w:rsidRDefault="003907E1" w:rsidP="003907E1">
            <w:pPr>
              <w:ind w:right="855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2,8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384C6F69" w14:textId="72070A70" w:rsidR="003907E1" w:rsidRPr="00E70396" w:rsidRDefault="003907E1" w:rsidP="003907E1">
            <w:pPr>
              <w:ind w:right="855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-0,4</w:t>
            </w:r>
          </w:p>
        </w:tc>
      </w:tr>
      <w:tr w:rsidR="003907E1" w:rsidRPr="00E70396" w14:paraId="1C369CAC" w14:textId="77777777" w:rsidTr="003907E1">
        <w:trPr>
          <w:trHeight w:val="51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355D7FE" w14:textId="4B45EE8C" w:rsidR="003907E1" w:rsidRPr="00E70396" w:rsidRDefault="003907E1" w:rsidP="003907E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2" w:name="_Hlk159486445"/>
            <w:proofErr w:type="spellStart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Μη</w:t>
            </w:r>
            <w:proofErr w:type="spellEnd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</w:t>
            </w:r>
            <w:proofErr w:type="spellStart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νεργει</w:t>
            </w:r>
            <w:proofErr w:type="spellEnd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ακά </w:t>
            </w: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Β</w:t>
            </w:r>
            <w:proofErr w:type="spellStart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ιομηχ</w:t>
            </w:r>
            <w:proofErr w:type="spellEnd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proofErr w:type="spellStart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ροϊόντ</w:t>
            </w:r>
            <w:proofErr w:type="spellEnd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  <w:bookmarkEnd w:id="2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4BE75E" w14:textId="3F37621B" w:rsidR="003907E1" w:rsidRPr="00E70396" w:rsidRDefault="003907E1" w:rsidP="003907E1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223,72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0DF7CE8E" w14:textId="0F602CC0" w:rsidR="003907E1" w:rsidRPr="00E70396" w:rsidRDefault="003907E1" w:rsidP="003907E1">
            <w:pPr>
              <w:ind w:right="855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-3,5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6BBC30C" w14:textId="08741FBD" w:rsidR="003907E1" w:rsidRPr="00E70396" w:rsidRDefault="003907E1" w:rsidP="003907E1">
            <w:pPr>
              <w:ind w:right="855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-0,4</w:t>
            </w:r>
          </w:p>
        </w:tc>
      </w:tr>
      <w:tr w:rsidR="003907E1" w:rsidRPr="00E70396" w14:paraId="365CC113" w14:textId="77777777" w:rsidTr="003907E1">
        <w:trPr>
          <w:trHeight w:val="394"/>
          <w:jc w:val="center"/>
        </w:trPr>
        <w:tc>
          <w:tcPr>
            <w:tcW w:w="164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762528F4" w14:textId="77777777" w:rsidR="003907E1" w:rsidRPr="00E70396" w:rsidRDefault="003907E1" w:rsidP="003907E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3" w:name="_Hlk169517282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E7039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4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AA11ADF" w14:textId="1467E8A3" w:rsidR="003907E1" w:rsidRPr="00E70396" w:rsidRDefault="003907E1" w:rsidP="003907E1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482,81</w:t>
            </w:r>
          </w:p>
        </w:tc>
        <w:tc>
          <w:tcPr>
            <w:tcW w:w="1175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619084CC" w14:textId="0CF86BE5" w:rsidR="003907E1" w:rsidRPr="00E70396" w:rsidRDefault="003907E1" w:rsidP="003907E1">
            <w:pPr>
              <w:ind w:right="855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5,6</w:t>
            </w:r>
          </w:p>
        </w:tc>
        <w:tc>
          <w:tcPr>
            <w:tcW w:w="1138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00437143" w14:textId="5F067E00" w:rsidR="003907E1" w:rsidRPr="00E70396" w:rsidRDefault="003907E1" w:rsidP="003907E1">
            <w:pPr>
              <w:ind w:right="855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039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1,5</w:t>
            </w:r>
          </w:p>
        </w:tc>
      </w:tr>
    </w:tbl>
    <w:bookmarkEnd w:id="3"/>
    <w:p w14:paraId="4DBA567E" w14:textId="77777777" w:rsidR="00B24F95" w:rsidRPr="00E70396" w:rsidRDefault="00AF5CC6" w:rsidP="00B24F95">
      <w:pPr>
        <w:tabs>
          <w:tab w:val="left" w:pos="1080"/>
          <w:tab w:val="left" w:pos="6840"/>
        </w:tabs>
        <w:ind w:left="-426" w:right="-335"/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</w:pPr>
      <w:r w:rsidRPr="00E70396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Σημείωση: Οι επιμέρους συντελεστές στάθμισης υπολογίζονται με άπειρα δεκαδικά και δημοσιεύονται με στρογγυλοποίηση</w:t>
      </w:r>
      <w:r w:rsidR="001B1170" w:rsidRPr="00E70396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 </w:t>
      </w:r>
      <w:r w:rsidRPr="00E70396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δυο δεκαδικών. </w:t>
      </w:r>
      <w:r w:rsidR="00B24F95" w:rsidRPr="00E70396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Η διαφορά στο άθροισμα οφείλεται σε σφάλμα στρογγυλοποίησης.</w:t>
      </w:r>
    </w:p>
    <w:p w14:paraId="3C67892F" w14:textId="786D453C" w:rsidR="001B1170" w:rsidRPr="00E70396" w:rsidRDefault="001B1170" w:rsidP="00E70396">
      <w:pPr>
        <w:tabs>
          <w:tab w:val="left" w:pos="1080"/>
          <w:tab w:val="left" w:pos="6840"/>
        </w:tabs>
        <w:ind w:left="-426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 w:rsidRPr="009E53EB">
        <w:rPr>
          <w:rFonts w:ascii="Verdana" w:eastAsia="Malgun Gothic" w:hAnsi="Verdana" w:cs="Arial"/>
          <w:b/>
          <w:u w:val="single"/>
          <w:lang w:val="el-GR"/>
        </w:rPr>
        <w:t xml:space="preserve"> </w:t>
      </w:r>
    </w:p>
    <w:p w14:paraId="0E428004" w14:textId="77777777" w:rsidR="00EE4744" w:rsidRPr="00E70396" w:rsidRDefault="00EE4744" w:rsidP="00E7039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01AA67E" w14:textId="4C986AB5" w:rsidR="00AF5CC6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720785" w14:textId="77777777" w:rsidR="00AF5CC6" w:rsidRPr="009E53EB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133C2C60" w14:textId="77777777" w:rsidR="001B1170" w:rsidRPr="009E53EB" w:rsidRDefault="001B1170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76972153" w14:textId="77777777" w:rsidR="00AF5CC6" w:rsidRPr="00D353D1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1EE66D35" w14:textId="77777777" w:rsidR="00AF5CC6" w:rsidRPr="00997CFB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08F84E11" w14:textId="77777777" w:rsidR="00AF5CC6" w:rsidRPr="003D334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FB02BD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Εναρμονισμένος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</w:t>
      </w:r>
      <w:proofErr w:type="spellStart"/>
      <w:r>
        <w:rPr>
          <w:rFonts w:ascii="Verdana" w:eastAsia="Malgun Gothic" w:hAnsi="Verdana" w:cs="Arial"/>
          <w:b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τους τουρίστες εντός της οικονομικής επικράτειας της χώρας.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σύμφωνα με μια εναρμονισμένη προσέγγιση και μεθοδολογία όπως καθορίστηκαν από την Ε.Ε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 μια σειρά σχετικών Κ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ανονισμών. </w:t>
      </w:r>
    </w:p>
    <w:p w14:paraId="38D7A46A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43CB3FDD" w14:textId="77777777" w:rsidR="00AF5CC6" w:rsidRPr="00E44FF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Ετήσια μεταβολή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μήνα του προηγούμενου έτους.</w:t>
      </w:r>
    </w:p>
    <w:p w14:paraId="675DD474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5AC57CF" w14:textId="77777777" w:rsidR="00AF5CC6" w:rsidRPr="002D7490" w:rsidRDefault="00AF5CC6" w:rsidP="001B1170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4D4B7C">
        <w:rPr>
          <w:rFonts w:ascii="Verdana" w:eastAsia="Malgun Gothic" w:hAnsi="Verdana" w:cs="Arial"/>
          <w:sz w:val="18"/>
          <w:szCs w:val="18"/>
        </w:rPr>
        <w:t xml:space="preserve">Προϊόντα/Υπηρεσίες </w:t>
      </w:r>
    </w:p>
    <w:p w14:paraId="0FB168BC" w14:textId="598B1EC6" w:rsidR="00AF5CC6" w:rsidRPr="001922DC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2261A">
        <w:rPr>
          <w:rFonts w:ascii="Verdana" w:eastAsia="Malgun Gothic" w:hAnsi="Verdana" w:cs="Arial"/>
          <w:sz w:val="10"/>
          <w:szCs w:val="10"/>
          <w:lang w:val="el-GR"/>
        </w:rPr>
        <w:br/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Με ισχύ απ</w:t>
      </w:r>
      <w:r>
        <w:rPr>
          <w:rFonts w:ascii="Verdana" w:eastAsia="Malgun Gothic" w:hAnsi="Verdana" w:cs="Arial"/>
          <w:sz w:val="18"/>
          <w:szCs w:val="18"/>
          <w:lang w:val="el-GR"/>
        </w:rPr>
        <w:t>ό τον Ιανουάριο του 20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26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τα προϊόντα που περιέχονται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αναθεωρήθηκαν. Η αναθεώρηση βασίστηκε στα αποτελέσματα της Έρευνας Οικογενειακών Προϋπολογισμών 2</w:t>
      </w:r>
      <w:r w:rsidR="00CF608C" w:rsidRPr="00F06D07">
        <w:rPr>
          <w:rFonts w:ascii="Verdana" w:eastAsia="Malgun Gothic" w:hAnsi="Verdana" w:cs="Arial"/>
          <w:sz w:val="18"/>
          <w:szCs w:val="18"/>
          <w:lang w:val="el-GR"/>
        </w:rPr>
        <w:t>023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. Περισσότερες πληροφορίες είναι διαθέσιμες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ιστότοπο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Στατιστικής Υπηρεσίας στο μέρος Μεθοδολογία</w:t>
      </w:r>
      <w:r w:rsidRPr="001B25A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>
        <w:rPr>
          <w:rFonts w:ascii="Verdana" w:eastAsia="Malgun Gothic" w:hAnsi="Verdana" w:cs="Arial"/>
          <w:sz w:val="18"/>
          <w:szCs w:val="18"/>
          <w:lang w:val="el-GR"/>
        </w:rPr>
        <w:t>στο στατιστικό υπόθεμα Οικονομία/ Δείκτες Τιμών/ Εναρμονισμένος Δείκτης Τιμών Καταναλωτή.</w:t>
      </w:r>
    </w:p>
    <w:p w14:paraId="240BA12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6D3333FB" w14:textId="77777777" w:rsidR="00AF5CC6" w:rsidRPr="003D3348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3D334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05E0EF4" w14:textId="77777777" w:rsidR="00AF5CC6" w:rsidRPr="0092261A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0"/>
          <w:szCs w:val="10"/>
          <w:lang w:val="el-GR"/>
        </w:rPr>
      </w:pPr>
    </w:p>
    <w:p w14:paraId="1370A0B4" w14:textId="7B8171AA" w:rsidR="00AF5CC6" w:rsidRPr="003D334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Πάφου. Για κάθε πόλη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κάθε μήνα σταθμίζονται ανάλογα με τον πληθυσμό. Συγκεκριμένα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τις τέσσερις επαρχίες είναι οι ακόλουθ</w:t>
      </w:r>
      <w:r w:rsidR="00B24F95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: Λευκωσία 4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%. </w:t>
      </w:r>
    </w:p>
    <w:p w14:paraId="62D1C8B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250F196F" w14:textId="2C5C94E3" w:rsidR="00AF5CC6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50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ειδών (αγαθών και υπηρεσιών)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καταγράφονται μια φορά κάθε μήνα, εκτός από κάποια εποχικά προϊόντα (π.χ. λαχανικά και φρούτα), τα κρέατα και τα καύσιμα, των οποίων οι τιμές συλλέγονται κάθε βδομάδα (κάθε Πέμπτη).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>
        <w:rPr>
          <w:rFonts w:ascii="Verdana" w:eastAsia="Malgun Gothic" w:hAnsi="Verdana" w:cs="Arial"/>
          <w:sz w:val="18"/>
          <w:szCs w:val="18"/>
          <w:lang w:val="el-GR"/>
        </w:rPr>
        <w:t>συλλεγόμενες τιμές είναι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πραγματικά καταβαλλόμενες τιμές από τους καταναλωτές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για την αγορά συγκεκριμένων προϊόντων και υπηρεσιών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συμπεριλαμβανομένων και των διάφορων φόρων (ΦΠΑ,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φόρο</w:t>
      </w:r>
      <w:r>
        <w:rPr>
          <w:rFonts w:ascii="Verdana" w:eastAsia="Malgun Gothic" w:hAnsi="Verdana" w:cs="Arial"/>
          <w:sz w:val="18"/>
          <w:szCs w:val="18"/>
          <w:lang w:val="el-GR"/>
        </w:rPr>
        <w:t>ι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κατανάλωσης</w:t>
      </w:r>
      <w:r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. Λαμβάνονται υπόψη στον υπολογισμό του Δείκτη και οι τιμές των ξεπουλημάτων καθώς και οι τιμές άλλων προσφορών εφόσον ισχύουν γενικά και δεν υπόκεινται κάτω από όρους.</w:t>
      </w:r>
    </w:p>
    <w:p w14:paraId="4F4F8D31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39E870C9" w14:textId="77777777" w:rsidR="00AF5CC6" w:rsidRPr="00B75AE5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Συντελεστές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τάθμισης των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ιδών </w:t>
      </w:r>
    </w:p>
    <w:p w14:paraId="253B9CA6" w14:textId="77777777" w:rsidR="00AF5CC6" w:rsidRPr="0092261A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0"/>
          <w:szCs w:val="10"/>
          <w:lang w:val="el-GR"/>
        </w:rPr>
      </w:pPr>
    </w:p>
    <w:p w14:paraId="7AF546AC" w14:textId="18240624" w:rsidR="00AF5CC6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20"/>
          <w:szCs w:val="20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συντελεστές στάθμισης των ειδών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(προϊόντων και υπηρεσιών)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υπολογίζονται βάσει των καταναλωτικών δαπανών (των νοικοκυριών και τουριστών), που πραγματοποιούνται στην οικονομική επικράτεια της χώρας.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Μέχρι το 2011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η κύρια πηγή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τις καταναλωτικές δαπάνες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ήταν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Έρευνα Οικογενειακού Προϋπολογισμού, ενώ από το 2012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και μετέπειτα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βάσ</w:t>
      </w:r>
      <w:r w:rsidR="00B24F95">
        <w:rPr>
          <w:rFonts w:ascii="Verdana" w:eastAsia="Malgun Gothic" w:hAnsi="Verdana" w:cs="Arial"/>
          <w:sz w:val="18"/>
          <w:szCs w:val="18"/>
          <w:lang w:val="el-GR"/>
        </w:rPr>
        <w:t xml:space="preserve">ει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κανονισμ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ού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της </w:t>
      </w:r>
      <w:r w:rsidR="007D7083" w:rsidRPr="007D7083">
        <w:rPr>
          <w:rFonts w:ascii="Verdana" w:eastAsia="Malgun Gothic" w:hAnsi="Verdana" w:cs="Arial"/>
          <w:sz w:val="18"/>
          <w:szCs w:val="18"/>
          <w:lang w:val="el-GR"/>
        </w:rPr>
        <w:t>Ευρωπαϊκής Ένωσης,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αξιοποιούνται κυρίως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από τους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Εθνικ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Λογαριασμ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</w:p>
    <w:p w14:paraId="2EA5216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7C9EEB28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77B06A78" w14:textId="77777777" w:rsidR="00FA5FDC" w:rsidRPr="00FA5FDC" w:rsidRDefault="00FA5FDC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5F1710F" w14:textId="32C443AD" w:rsidR="00FA5FDC" w:rsidRDefault="00FA5FDC" w:rsidP="001B117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2025=100.Το έτος βάσης από τον Ιανουάριο του 2016 μέχρι το</w:t>
      </w:r>
      <w:r w:rsidR="00B24F95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Δεκέμβριο του 2025 ήταν το 2015=100.</w:t>
      </w:r>
    </w:p>
    <w:p w14:paraId="5A8B22D7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6C47C81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AE93801" w14:textId="77777777" w:rsidR="00FA5FDC" w:rsidRPr="00FA5FDC" w:rsidRDefault="00FA5FDC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01661B8" w14:textId="009B52CE" w:rsidR="00FA5FDC" w:rsidRDefault="00FA5FDC" w:rsidP="001B117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υπολογιζόταν και δημοσιευόταν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και δημοσιεύεται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</w:t>
      </w:r>
      <w:r w:rsidR="003D7D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Το χαμηλότερο επίπεδο λεπτομέρειας για την ταξινόμηση ECOICOP ver.2 που χρησιμοποιείται στον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είναι τα πέντε ψηφία ανάλυσης.</w:t>
      </w:r>
    </w:p>
    <w:p w14:paraId="54D9FFF4" w14:textId="77777777" w:rsidR="008A2E77" w:rsidRPr="00C23701" w:rsidRDefault="008A2E77" w:rsidP="00AF5CC6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</w:p>
    <w:p w14:paraId="748D8D18" w14:textId="77777777" w:rsidR="008A2E77" w:rsidRPr="00BE4A4D" w:rsidRDefault="008A2E77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4E60FD43" w14:textId="77777777" w:rsidR="00AF5CC6" w:rsidRPr="004E374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</w:t>
      </w:r>
      <w:r w:rsidRPr="002D7D4A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79E0C169" w14:textId="77777777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r w:rsidRPr="0050785A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58F3AB3B" w14:textId="7A380EF5" w:rsidR="00AF5CC6" w:rsidRPr="00233F3C" w:rsidRDefault="00AF5CC6" w:rsidP="008A2E77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66C90">
          <w:rPr>
            <w:rStyle w:val="Hyperlink"/>
            <w:rFonts w:ascii="Verdana" w:hAnsi="Verdana"/>
            <w:sz w:val="18"/>
            <w:szCs w:val="18"/>
          </w:rPr>
          <w:t>CYSTAT</w:t>
        </w:r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66C90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0785A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0237DE5" w14:textId="77777777" w:rsidR="00C35B86" w:rsidRPr="00B536D6" w:rsidRDefault="00C35B86" w:rsidP="00C35B86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begin"/>
      </w:r>
      <w:r>
        <w:rPr>
          <w:rFonts w:ascii="Verdana" w:hAnsi="Verdana"/>
          <w:sz w:val="18"/>
          <w:szCs w:val="18"/>
          <w:lang w:val="el-GR"/>
        </w:rPr>
        <w:instrText xml:space="preserve"> HYPERLINK "https://www.cystat.gov.cy/el/MethodologicalDetails?m=2091" \o "Μεθοδολογικές Πληροφορίες" </w:instrText>
      </w:r>
      <w:r>
        <w:rPr>
          <w:rFonts w:ascii="Verdana" w:hAnsi="Verdana"/>
          <w:sz w:val="18"/>
          <w:szCs w:val="18"/>
          <w:lang w:val="el-GR"/>
        </w:rPr>
      </w:r>
      <w:r>
        <w:rPr>
          <w:rFonts w:ascii="Verdana" w:hAnsi="Verdana"/>
          <w:sz w:val="18"/>
          <w:szCs w:val="18"/>
          <w:lang w:val="el-GR"/>
        </w:rPr>
        <w:fldChar w:fldCharType="separate"/>
      </w:r>
      <w:r w:rsidRPr="00B536D6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</w:p>
    <w:p w14:paraId="0900F87C" w14:textId="4FBB7EF2" w:rsidR="008774AA" w:rsidRPr="003204B7" w:rsidRDefault="00C35B86" w:rsidP="008C47BF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end"/>
      </w:r>
      <w:hyperlink r:id="rId11" w:tooltip="Μεθοδολογικές Πληροφορίες" w:history="1"/>
    </w:p>
    <w:p w14:paraId="0F314409" w14:textId="77777777" w:rsidR="00AF5CC6" w:rsidRDefault="00AF5CC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61425284" w14:textId="6F6B833E" w:rsidR="00AF2BC9" w:rsidRPr="004C6ABF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4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Βίκης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    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2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486488A4" w14:textId="2CD5D3A4" w:rsidR="00AF2BC9" w:rsidRPr="00E21D72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3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0529C785" w14:textId="0A96DA3D" w:rsidR="001712CF" w:rsidRPr="00AF2BC9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4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4"/>
    </w:p>
    <w:sectPr w:rsidR="001712CF" w:rsidRPr="00AF2BC9" w:rsidSect="00104370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BF99" w14:textId="77777777" w:rsidR="00437F41" w:rsidRDefault="00437F41" w:rsidP="00FB398F">
      <w:r>
        <w:separator/>
      </w:r>
    </w:p>
  </w:endnote>
  <w:endnote w:type="continuationSeparator" w:id="0">
    <w:p w14:paraId="69433AAF" w14:textId="77777777" w:rsidR="00437F41" w:rsidRDefault="00437F4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7853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F96" w14:textId="77777777" w:rsidR="004E4F42" w:rsidRPr="00555A0A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555A0A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555A0A">
      <w:rPr>
        <w:rFonts w:ascii="Verdana" w:hAnsi="Verdana" w:cs="Arial"/>
        <w:sz w:val="16"/>
        <w:szCs w:val="16"/>
        <w:lang w:val="el-GR"/>
      </w:rPr>
      <w:t>ήλ</w:t>
    </w:r>
    <w:r w:rsidRPr="00555A0A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16E06551" w14:textId="098DCACE" w:rsidR="004E4F42" w:rsidRPr="00555A0A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555A0A">
      <w:rPr>
        <w:rFonts w:ascii="Verdana" w:hAnsi="Verdana" w:cs="Arial"/>
        <w:sz w:val="16"/>
        <w:szCs w:val="16"/>
        <w:lang w:val="el-GR"/>
      </w:rPr>
      <w:t>Τηλ</w:t>
    </w:r>
    <w:r w:rsidRPr="00FD2AF7">
      <w:rPr>
        <w:rFonts w:ascii="Verdana" w:hAnsi="Verdana" w:cs="Arial"/>
        <w:sz w:val="16"/>
        <w:szCs w:val="16"/>
        <w:lang w:val="el-GR"/>
      </w:rPr>
      <w:t>.: 22 602129,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="00555A0A" w:rsidRPr="00555A0A">
      <w:rPr>
        <w:rFonts w:ascii="Verdana" w:hAnsi="Verdana" w:cs="Arial"/>
        <w:sz w:val="16"/>
        <w:szCs w:val="16"/>
        <w:lang w:val="de-DE"/>
      </w:rPr>
      <w:t>Ηλ. Ταχ.</w:t>
    </w:r>
    <w:r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555A0A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555A0A">
      <w:rPr>
        <w:rFonts w:ascii="Verdana" w:hAnsi="Verdana" w:cs="Arial"/>
        <w:sz w:val="16"/>
        <w:szCs w:val="16"/>
        <w:lang w:val="de-DE"/>
      </w:rPr>
      <w:t xml:space="preserve">  </w:t>
    </w:r>
  </w:p>
  <w:p w14:paraId="399B9444" w14:textId="2FBA9DB0" w:rsidR="004E4F42" w:rsidRPr="00555A0A" w:rsidRDefault="00555A0A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555A0A">
      <w:rPr>
        <w:rFonts w:ascii="Verdana" w:hAnsi="Verdana" w:cs="Arial"/>
        <w:sz w:val="16"/>
        <w:szCs w:val="16"/>
        <w:lang w:val="el-GR"/>
      </w:rPr>
      <w:t>Διαδικτυακή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Pr="00555A0A">
      <w:rPr>
        <w:rFonts w:ascii="Verdana" w:hAnsi="Verdana" w:cs="Arial"/>
        <w:sz w:val="16"/>
        <w:szCs w:val="16"/>
        <w:lang w:val="el-GR"/>
      </w:rPr>
      <w:t>Πύλη</w:t>
    </w:r>
    <w:r w:rsidR="004E4F42"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555A0A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555A0A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77CB" w14:textId="77777777" w:rsidR="00437F41" w:rsidRDefault="00437F41" w:rsidP="00FB398F">
      <w:r>
        <w:separator/>
      </w:r>
    </w:p>
  </w:footnote>
  <w:footnote w:type="continuationSeparator" w:id="0">
    <w:p w14:paraId="752415BB" w14:textId="77777777" w:rsidR="00437F41" w:rsidRDefault="00437F4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F4F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C038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FF80C91" wp14:editId="1A07032D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1896D" wp14:editId="2DD1D74A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83692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D63D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57302CEC" wp14:editId="6E3830E0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8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8F9D63D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57302CEC" wp14:editId="6E3830E0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3D10AA" wp14:editId="4FB54158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134245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DB49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7CB7E4BA" wp14:editId="35CEAE61">
                                <wp:extent cx="1276350" cy="1009650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D10AA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5C52DB49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7CB7E4BA" wp14:editId="35CEAE61">
                          <wp:extent cx="1276350" cy="1009650"/>
                          <wp:effectExtent l="0" t="0" r="0" b="0"/>
                          <wp:docPr id="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9F204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8A6080E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48FC6C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AC94A8F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8A2E9" wp14:editId="567B5651">
              <wp:simplePos x="0" y="0"/>
              <wp:positionH relativeFrom="column">
                <wp:posOffset>3985260</wp:posOffset>
              </wp:positionH>
              <wp:positionV relativeFrom="paragraph">
                <wp:posOffset>102870</wp:posOffset>
              </wp:positionV>
              <wp:extent cx="2000250" cy="419100"/>
              <wp:effectExtent l="0" t="0" r="0" b="0"/>
              <wp:wrapNone/>
              <wp:docPr id="2054544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DC090A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555A0A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3538D17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8A2E9" id="Text Box 1" o:spid="_x0000_s1028" type="#_x0000_t202" style="position:absolute;margin-left:313.8pt;margin-top:8.1pt;width:15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" stroked="f">
              <v:textbox>
                <w:txbxContent>
                  <w:p w14:paraId="0BDC090A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555A0A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3538D17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73E255F" w14:textId="33194769" w:rsidR="004E4F42" w:rsidRPr="00555A0A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555A0A">
      <w:rPr>
        <w:rFonts w:ascii="Verdana" w:hAnsi="Verdana" w:cs="Arial"/>
        <w:bCs/>
        <w:sz w:val="20"/>
        <w:szCs w:val="20"/>
      </w:rPr>
      <w:t>ΚΥΠΡΙΑΚΗ ΔΗΜΟΚΡΑΤΙΑ</w:t>
    </w:r>
    <w:r w:rsidRPr="00555A0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555A0A">
      <w:rPr>
        <w:rFonts w:ascii="Verdana" w:hAnsi="Verdana"/>
        <w:b/>
        <w:bCs/>
        <w:sz w:val="20"/>
        <w:szCs w:val="20"/>
        <w:lang w:val="en-US"/>
      </w:rPr>
      <w:tab/>
    </w:r>
  </w:p>
  <w:p w14:paraId="762C63AF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FF916EE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391563">
    <w:abstractNumId w:val="4"/>
  </w:num>
  <w:num w:numId="2" w16cid:durableId="1074477141">
    <w:abstractNumId w:val="1"/>
  </w:num>
  <w:num w:numId="3" w16cid:durableId="1361249385">
    <w:abstractNumId w:val="2"/>
  </w:num>
  <w:num w:numId="4" w16cid:durableId="1440567803">
    <w:abstractNumId w:val="3"/>
  </w:num>
  <w:num w:numId="5" w16cid:durableId="1455489493">
    <w:abstractNumId w:val="0"/>
  </w:num>
  <w:num w:numId="6" w16cid:durableId="1710445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2CC5"/>
    <w:rsid w:val="000039A3"/>
    <w:rsid w:val="0000542E"/>
    <w:rsid w:val="00007254"/>
    <w:rsid w:val="00013E40"/>
    <w:rsid w:val="000156B4"/>
    <w:rsid w:val="000161B1"/>
    <w:rsid w:val="0002032F"/>
    <w:rsid w:val="000241BB"/>
    <w:rsid w:val="00025A39"/>
    <w:rsid w:val="00027853"/>
    <w:rsid w:val="00027D7D"/>
    <w:rsid w:val="000304A1"/>
    <w:rsid w:val="00030B4D"/>
    <w:rsid w:val="00030E18"/>
    <w:rsid w:val="00031D32"/>
    <w:rsid w:val="00033DEE"/>
    <w:rsid w:val="0003603D"/>
    <w:rsid w:val="00043B1E"/>
    <w:rsid w:val="00045088"/>
    <w:rsid w:val="00045A06"/>
    <w:rsid w:val="00047520"/>
    <w:rsid w:val="00047BA7"/>
    <w:rsid w:val="00050391"/>
    <w:rsid w:val="00051C7D"/>
    <w:rsid w:val="00054D3C"/>
    <w:rsid w:val="00055291"/>
    <w:rsid w:val="00055734"/>
    <w:rsid w:val="0005631A"/>
    <w:rsid w:val="000563D3"/>
    <w:rsid w:val="00057B87"/>
    <w:rsid w:val="00057E44"/>
    <w:rsid w:val="00061299"/>
    <w:rsid w:val="00065F22"/>
    <w:rsid w:val="00070576"/>
    <w:rsid w:val="000723AD"/>
    <w:rsid w:val="00074798"/>
    <w:rsid w:val="000752BB"/>
    <w:rsid w:val="00081ADF"/>
    <w:rsid w:val="00084A02"/>
    <w:rsid w:val="00084BF7"/>
    <w:rsid w:val="0008561E"/>
    <w:rsid w:val="000870E9"/>
    <w:rsid w:val="00090717"/>
    <w:rsid w:val="000916C7"/>
    <w:rsid w:val="000932CF"/>
    <w:rsid w:val="00096ED8"/>
    <w:rsid w:val="000A1781"/>
    <w:rsid w:val="000A1A88"/>
    <w:rsid w:val="000A2B5C"/>
    <w:rsid w:val="000A3601"/>
    <w:rsid w:val="000A47D3"/>
    <w:rsid w:val="000A615B"/>
    <w:rsid w:val="000A6FA8"/>
    <w:rsid w:val="000B37AC"/>
    <w:rsid w:val="000C1070"/>
    <w:rsid w:val="000C4E72"/>
    <w:rsid w:val="000C6DCC"/>
    <w:rsid w:val="000C73E0"/>
    <w:rsid w:val="000D1E7A"/>
    <w:rsid w:val="000D314F"/>
    <w:rsid w:val="000D33FB"/>
    <w:rsid w:val="000D3914"/>
    <w:rsid w:val="000E1C04"/>
    <w:rsid w:val="000E24B1"/>
    <w:rsid w:val="000E2735"/>
    <w:rsid w:val="000E32D6"/>
    <w:rsid w:val="000E3759"/>
    <w:rsid w:val="000E4CB0"/>
    <w:rsid w:val="000E57F2"/>
    <w:rsid w:val="000E7206"/>
    <w:rsid w:val="000E72A7"/>
    <w:rsid w:val="000E7FF2"/>
    <w:rsid w:val="000F1162"/>
    <w:rsid w:val="000F1F6D"/>
    <w:rsid w:val="000F2415"/>
    <w:rsid w:val="000F3467"/>
    <w:rsid w:val="000F38DE"/>
    <w:rsid w:val="000F532A"/>
    <w:rsid w:val="000F5D6C"/>
    <w:rsid w:val="000F601C"/>
    <w:rsid w:val="000F756B"/>
    <w:rsid w:val="00103851"/>
    <w:rsid w:val="00104370"/>
    <w:rsid w:val="00106852"/>
    <w:rsid w:val="00106F35"/>
    <w:rsid w:val="00110F9D"/>
    <w:rsid w:val="0011161B"/>
    <w:rsid w:val="001116EA"/>
    <w:rsid w:val="00114A67"/>
    <w:rsid w:val="00114DB4"/>
    <w:rsid w:val="00117523"/>
    <w:rsid w:val="00121E69"/>
    <w:rsid w:val="001253B6"/>
    <w:rsid w:val="00125E06"/>
    <w:rsid w:val="001262AC"/>
    <w:rsid w:val="001262C3"/>
    <w:rsid w:val="00127320"/>
    <w:rsid w:val="00127456"/>
    <w:rsid w:val="001312D8"/>
    <w:rsid w:val="0013137B"/>
    <w:rsid w:val="00131F3A"/>
    <w:rsid w:val="00137F0E"/>
    <w:rsid w:val="0015118B"/>
    <w:rsid w:val="001519CE"/>
    <w:rsid w:val="0015445A"/>
    <w:rsid w:val="0015494E"/>
    <w:rsid w:val="00160AE7"/>
    <w:rsid w:val="00160B48"/>
    <w:rsid w:val="00160D74"/>
    <w:rsid w:val="00161CF3"/>
    <w:rsid w:val="00162C00"/>
    <w:rsid w:val="001639EF"/>
    <w:rsid w:val="00163D60"/>
    <w:rsid w:val="00164C83"/>
    <w:rsid w:val="0016589F"/>
    <w:rsid w:val="00167549"/>
    <w:rsid w:val="00167D75"/>
    <w:rsid w:val="001712CF"/>
    <w:rsid w:val="00171AFE"/>
    <w:rsid w:val="00172185"/>
    <w:rsid w:val="0017769A"/>
    <w:rsid w:val="00183C7C"/>
    <w:rsid w:val="00183DFC"/>
    <w:rsid w:val="00184384"/>
    <w:rsid w:val="00186717"/>
    <w:rsid w:val="00187FFC"/>
    <w:rsid w:val="001916AD"/>
    <w:rsid w:val="00192F2F"/>
    <w:rsid w:val="0019391C"/>
    <w:rsid w:val="00194C5D"/>
    <w:rsid w:val="001A2018"/>
    <w:rsid w:val="001A2238"/>
    <w:rsid w:val="001A34BF"/>
    <w:rsid w:val="001A3EE4"/>
    <w:rsid w:val="001B1170"/>
    <w:rsid w:val="001B25A4"/>
    <w:rsid w:val="001B2C39"/>
    <w:rsid w:val="001B3675"/>
    <w:rsid w:val="001B5E10"/>
    <w:rsid w:val="001B6AB3"/>
    <w:rsid w:val="001B73D5"/>
    <w:rsid w:val="001C0681"/>
    <w:rsid w:val="001C27C0"/>
    <w:rsid w:val="001C62B3"/>
    <w:rsid w:val="001C7C8C"/>
    <w:rsid w:val="001D0D6A"/>
    <w:rsid w:val="001D20A4"/>
    <w:rsid w:val="001E00D1"/>
    <w:rsid w:val="001E0E26"/>
    <w:rsid w:val="001E0E58"/>
    <w:rsid w:val="001E14F3"/>
    <w:rsid w:val="001E15ED"/>
    <w:rsid w:val="001E35EF"/>
    <w:rsid w:val="001E61AA"/>
    <w:rsid w:val="001E7F26"/>
    <w:rsid w:val="001F3FAD"/>
    <w:rsid w:val="001F72BF"/>
    <w:rsid w:val="00200657"/>
    <w:rsid w:val="002024AD"/>
    <w:rsid w:val="0020309E"/>
    <w:rsid w:val="002063AE"/>
    <w:rsid w:val="0020684A"/>
    <w:rsid w:val="00210B58"/>
    <w:rsid w:val="00216F9E"/>
    <w:rsid w:val="00222423"/>
    <w:rsid w:val="00225B28"/>
    <w:rsid w:val="00226891"/>
    <w:rsid w:val="00230D9B"/>
    <w:rsid w:val="002313AC"/>
    <w:rsid w:val="00233F37"/>
    <w:rsid w:val="00233F3C"/>
    <w:rsid w:val="00235FB2"/>
    <w:rsid w:val="00237B98"/>
    <w:rsid w:val="00237BC1"/>
    <w:rsid w:val="0024027B"/>
    <w:rsid w:val="002430B4"/>
    <w:rsid w:val="002443EB"/>
    <w:rsid w:val="002447D0"/>
    <w:rsid w:val="002454C5"/>
    <w:rsid w:val="00245E19"/>
    <w:rsid w:val="0024658B"/>
    <w:rsid w:val="00246AEB"/>
    <w:rsid w:val="00250005"/>
    <w:rsid w:val="0025254F"/>
    <w:rsid w:val="0025566D"/>
    <w:rsid w:val="0025595C"/>
    <w:rsid w:val="00257149"/>
    <w:rsid w:val="002573AA"/>
    <w:rsid w:val="002576E7"/>
    <w:rsid w:val="00260357"/>
    <w:rsid w:val="00264F04"/>
    <w:rsid w:val="002658FA"/>
    <w:rsid w:val="00267554"/>
    <w:rsid w:val="002819EF"/>
    <w:rsid w:val="0028275A"/>
    <w:rsid w:val="0028338F"/>
    <w:rsid w:val="002915C4"/>
    <w:rsid w:val="00297E6B"/>
    <w:rsid w:val="002A1D1C"/>
    <w:rsid w:val="002A4D64"/>
    <w:rsid w:val="002B3BC7"/>
    <w:rsid w:val="002B4969"/>
    <w:rsid w:val="002B6500"/>
    <w:rsid w:val="002B6554"/>
    <w:rsid w:val="002B7A07"/>
    <w:rsid w:val="002C21CB"/>
    <w:rsid w:val="002D05F0"/>
    <w:rsid w:val="002D2829"/>
    <w:rsid w:val="002D3334"/>
    <w:rsid w:val="002D39A6"/>
    <w:rsid w:val="002D3EE7"/>
    <w:rsid w:val="002D49AE"/>
    <w:rsid w:val="002D59F0"/>
    <w:rsid w:val="002D71B3"/>
    <w:rsid w:val="002D7D4A"/>
    <w:rsid w:val="002E3846"/>
    <w:rsid w:val="002E3F78"/>
    <w:rsid w:val="002F3208"/>
    <w:rsid w:val="002F400C"/>
    <w:rsid w:val="002F4D76"/>
    <w:rsid w:val="002F6D26"/>
    <w:rsid w:val="002F72E9"/>
    <w:rsid w:val="0030231E"/>
    <w:rsid w:val="003042C4"/>
    <w:rsid w:val="00304CB4"/>
    <w:rsid w:val="00307F8E"/>
    <w:rsid w:val="003104F0"/>
    <w:rsid w:val="00311522"/>
    <w:rsid w:val="003115FB"/>
    <w:rsid w:val="00311704"/>
    <w:rsid w:val="00313F37"/>
    <w:rsid w:val="003141D0"/>
    <w:rsid w:val="003168C1"/>
    <w:rsid w:val="00317625"/>
    <w:rsid w:val="003204B7"/>
    <w:rsid w:val="00322FBE"/>
    <w:rsid w:val="00325632"/>
    <w:rsid w:val="00327549"/>
    <w:rsid w:val="003342A5"/>
    <w:rsid w:val="00334616"/>
    <w:rsid w:val="00336C36"/>
    <w:rsid w:val="00343815"/>
    <w:rsid w:val="003439A8"/>
    <w:rsid w:val="00351BEC"/>
    <w:rsid w:val="003522BB"/>
    <w:rsid w:val="00352F6C"/>
    <w:rsid w:val="00354B70"/>
    <w:rsid w:val="003556EA"/>
    <w:rsid w:val="00360B86"/>
    <w:rsid w:val="00361290"/>
    <w:rsid w:val="003613BF"/>
    <w:rsid w:val="00367DE9"/>
    <w:rsid w:val="00370333"/>
    <w:rsid w:val="00386FC7"/>
    <w:rsid w:val="003907E1"/>
    <w:rsid w:val="00390A32"/>
    <w:rsid w:val="003A1359"/>
    <w:rsid w:val="003A1E91"/>
    <w:rsid w:val="003A40F2"/>
    <w:rsid w:val="003A50D1"/>
    <w:rsid w:val="003B196D"/>
    <w:rsid w:val="003B2710"/>
    <w:rsid w:val="003B4608"/>
    <w:rsid w:val="003B5D25"/>
    <w:rsid w:val="003B6FD8"/>
    <w:rsid w:val="003B7C52"/>
    <w:rsid w:val="003C0411"/>
    <w:rsid w:val="003C2392"/>
    <w:rsid w:val="003C31EF"/>
    <w:rsid w:val="003C5174"/>
    <w:rsid w:val="003C5240"/>
    <w:rsid w:val="003C64E8"/>
    <w:rsid w:val="003C76E6"/>
    <w:rsid w:val="003D05B3"/>
    <w:rsid w:val="003D14E0"/>
    <w:rsid w:val="003D17AA"/>
    <w:rsid w:val="003D1EA5"/>
    <w:rsid w:val="003D2DCC"/>
    <w:rsid w:val="003D3348"/>
    <w:rsid w:val="003D4E63"/>
    <w:rsid w:val="003D6822"/>
    <w:rsid w:val="003D724C"/>
    <w:rsid w:val="003D7DAE"/>
    <w:rsid w:val="003E0CE2"/>
    <w:rsid w:val="003E0CEB"/>
    <w:rsid w:val="003E5657"/>
    <w:rsid w:val="003E6210"/>
    <w:rsid w:val="003F49E4"/>
    <w:rsid w:val="003F4D2F"/>
    <w:rsid w:val="003F5E32"/>
    <w:rsid w:val="003F66A1"/>
    <w:rsid w:val="003F6F93"/>
    <w:rsid w:val="003F75F6"/>
    <w:rsid w:val="00404670"/>
    <w:rsid w:val="00414CA0"/>
    <w:rsid w:val="004164CC"/>
    <w:rsid w:val="00422F54"/>
    <w:rsid w:val="00431516"/>
    <w:rsid w:val="00433515"/>
    <w:rsid w:val="004361B3"/>
    <w:rsid w:val="00437F41"/>
    <w:rsid w:val="0044249D"/>
    <w:rsid w:val="004429E8"/>
    <w:rsid w:val="0044379F"/>
    <w:rsid w:val="00444FCC"/>
    <w:rsid w:val="00446FB1"/>
    <w:rsid w:val="004472D6"/>
    <w:rsid w:val="00452753"/>
    <w:rsid w:val="0046078F"/>
    <w:rsid w:val="00463214"/>
    <w:rsid w:val="00463269"/>
    <w:rsid w:val="00463461"/>
    <w:rsid w:val="00463551"/>
    <w:rsid w:val="0046434D"/>
    <w:rsid w:val="004656FA"/>
    <w:rsid w:val="00465D5F"/>
    <w:rsid w:val="004702E4"/>
    <w:rsid w:val="00470FF1"/>
    <w:rsid w:val="00471D77"/>
    <w:rsid w:val="00475587"/>
    <w:rsid w:val="00476CB0"/>
    <w:rsid w:val="00480BC2"/>
    <w:rsid w:val="00482EDC"/>
    <w:rsid w:val="004845C3"/>
    <w:rsid w:val="004870FD"/>
    <w:rsid w:val="004929C2"/>
    <w:rsid w:val="00493FDD"/>
    <w:rsid w:val="0049586B"/>
    <w:rsid w:val="004962BF"/>
    <w:rsid w:val="004966BA"/>
    <w:rsid w:val="004A3E44"/>
    <w:rsid w:val="004B064C"/>
    <w:rsid w:val="004B2018"/>
    <w:rsid w:val="004B2896"/>
    <w:rsid w:val="004B326A"/>
    <w:rsid w:val="004B38E9"/>
    <w:rsid w:val="004B3E5A"/>
    <w:rsid w:val="004B3FBA"/>
    <w:rsid w:val="004B6599"/>
    <w:rsid w:val="004C2B79"/>
    <w:rsid w:val="004C5A97"/>
    <w:rsid w:val="004C6CA7"/>
    <w:rsid w:val="004D133A"/>
    <w:rsid w:val="004D30FD"/>
    <w:rsid w:val="004D4357"/>
    <w:rsid w:val="004D4950"/>
    <w:rsid w:val="004D6F6C"/>
    <w:rsid w:val="004D7614"/>
    <w:rsid w:val="004E0E32"/>
    <w:rsid w:val="004E2393"/>
    <w:rsid w:val="004E258E"/>
    <w:rsid w:val="004E3630"/>
    <w:rsid w:val="004E3745"/>
    <w:rsid w:val="004E3A6B"/>
    <w:rsid w:val="004E3BAD"/>
    <w:rsid w:val="004E42BE"/>
    <w:rsid w:val="004E4F42"/>
    <w:rsid w:val="004E63D5"/>
    <w:rsid w:val="004F03FD"/>
    <w:rsid w:val="004F172C"/>
    <w:rsid w:val="004F52F0"/>
    <w:rsid w:val="004F5E3B"/>
    <w:rsid w:val="004F6250"/>
    <w:rsid w:val="004F677C"/>
    <w:rsid w:val="004F6D8F"/>
    <w:rsid w:val="00505503"/>
    <w:rsid w:val="0051107B"/>
    <w:rsid w:val="00512F9C"/>
    <w:rsid w:val="00513EA9"/>
    <w:rsid w:val="00526BFC"/>
    <w:rsid w:val="00527CDB"/>
    <w:rsid w:val="0053358E"/>
    <w:rsid w:val="005341C9"/>
    <w:rsid w:val="00534CD1"/>
    <w:rsid w:val="00535D01"/>
    <w:rsid w:val="005369CA"/>
    <w:rsid w:val="00536DE9"/>
    <w:rsid w:val="00541E08"/>
    <w:rsid w:val="005425F7"/>
    <w:rsid w:val="00545FD8"/>
    <w:rsid w:val="00550824"/>
    <w:rsid w:val="00551328"/>
    <w:rsid w:val="005544D8"/>
    <w:rsid w:val="00554FE0"/>
    <w:rsid w:val="00555A0A"/>
    <w:rsid w:val="00556564"/>
    <w:rsid w:val="0055789A"/>
    <w:rsid w:val="00560952"/>
    <w:rsid w:val="00565109"/>
    <w:rsid w:val="005652D1"/>
    <w:rsid w:val="005653F5"/>
    <w:rsid w:val="005660A0"/>
    <w:rsid w:val="00566A4F"/>
    <w:rsid w:val="00566ACF"/>
    <w:rsid w:val="00567D64"/>
    <w:rsid w:val="00573DC8"/>
    <w:rsid w:val="00590727"/>
    <w:rsid w:val="005923C4"/>
    <w:rsid w:val="00594514"/>
    <w:rsid w:val="005947E1"/>
    <w:rsid w:val="00594A83"/>
    <w:rsid w:val="0059552E"/>
    <w:rsid w:val="005978D4"/>
    <w:rsid w:val="005A0A20"/>
    <w:rsid w:val="005A23FA"/>
    <w:rsid w:val="005A27EE"/>
    <w:rsid w:val="005A2E13"/>
    <w:rsid w:val="005A55DC"/>
    <w:rsid w:val="005A587B"/>
    <w:rsid w:val="005A7282"/>
    <w:rsid w:val="005A79C1"/>
    <w:rsid w:val="005B2A67"/>
    <w:rsid w:val="005B3DCD"/>
    <w:rsid w:val="005B4AD4"/>
    <w:rsid w:val="005C2798"/>
    <w:rsid w:val="005C2ECE"/>
    <w:rsid w:val="005C36C3"/>
    <w:rsid w:val="005C380F"/>
    <w:rsid w:val="005C4C32"/>
    <w:rsid w:val="005C56EE"/>
    <w:rsid w:val="005C6EC7"/>
    <w:rsid w:val="005D11D5"/>
    <w:rsid w:val="005D1714"/>
    <w:rsid w:val="005D4AD8"/>
    <w:rsid w:val="005D7638"/>
    <w:rsid w:val="005E7DDA"/>
    <w:rsid w:val="005F0361"/>
    <w:rsid w:val="005F12F5"/>
    <w:rsid w:val="005F3056"/>
    <w:rsid w:val="005F486D"/>
    <w:rsid w:val="005F7C7D"/>
    <w:rsid w:val="00601542"/>
    <w:rsid w:val="00601870"/>
    <w:rsid w:val="006044B7"/>
    <w:rsid w:val="00604A62"/>
    <w:rsid w:val="00606644"/>
    <w:rsid w:val="006071CE"/>
    <w:rsid w:val="006075B5"/>
    <w:rsid w:val="0061018C"/>
    <w:rsid w:val="0061094E"/>
    <w:rsid w:val="006127C1"/>
    <w:rsid w:val="00613440"/>
    <w:rsid w:val="00613BE3"/>
    <w:rsid w:val="00614052"/>
    <w:rsid w:val="00617316"/>
    <w:rsid w:val="0062327B"/>
    <w:rsid w:val="006240C2"/>
    <w:rsid w:val="006320B4"/>
    <w:rsid w:val="00632777"/>
    <w:rsid w:val="00633750"/>
    <w:rsid w:val="00634491"/>
    <w:rsid w:val="00634639"/>
    <w:rsid w:val="0063546B"/>
    <w:rsid w:val="0063679C"/>
    <w:rsid w:val="00637055"/>
    <w:rsid w:val="006418B6"/>
    <w:rsid w:val="00641D59"/>
    <w:rsid w:val="00644507"/>
    <w:rsid w:val="00646880"/>
    <w:rsid w:val="00646CC7"/>
    <w:rsid w:val="00647D2A"/>
    <w:rsid w:val="0065263A"/>
    <w:rsid w:val="006537BB"/>
    <w:rsid w:val="0065643E"/>
    <w:rsid w:val="0066103D"/>
    <w:rsid w:val="006625B2"/>
    <w:rsid w:val="00663CA9"/>
    <w:rsid w:val="00667C0B"/>
    <w:rsid w:val="00667E07"/>
    <w:rsid w:val="006706E8"/>
    <w:rsid w:val="00671785"/>
    <w:rsid w:val="00671D9E"/>
    <w:rsid w:val="00672BA9"/>
    <w:rsid w:val="00673005"/>
    <w:rsid w:val="00674681"/>
    <w:rsid w:val="006800D1"/>
    <w:rsid w:val="006804BE"/>
    <w:rsid w:val="006813A4"/>
    <w:rsid w:val="00681EED"/>
    <w:rsid w:val="00683456"/>
    <w:rsid w:val="0068434A"/>
    <w:rsid w:val="00686514"/>
    <w:rsid w:val="0069008E"/>
    <w:rsid w:val="0069087E"/>
    <w:rsid w:val="006925C4"/>
    <w:rsid w:val="006929D3"/>
    <w:rsid w:val="006A02B7"/>
    <w:rsid w:val="006A46B9"/>
    <w:rsid w:val="006A7019"/>
    <w:rsid w:val="006A75E1"/>
    <w:rsid w:val="006B2083"/>
    <w:rsid w:val="006B46D5"/>
    <w:rsid w:val="006B46F4"/>
    <w:rsid w:val="006C11F9"/>
    <w:rsid w:val="006C3D86"/>
    <w:rsid w:val="006C5303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3E09"/>
    <w:rsid w:val="006F4DD2"/>
    <w:rsid w:val="006F5486"/>
    <w:rsid w:val="006F64F6"/>
    <w:rsid w:val="007012C2"/>
    <w:rsid w:val="00702F26"/>
    <w:rsid w:val="0070313E"/>
    <w:rsid w:val="00703799"/>
    <w:rsid w:val="00704AF7"/>
    <w:rsid w:val="00705C5C"/>
    <w:rsid w:val="007108E9"/>
    <w:rsid w:val="00711475"/>
    <w:rsid w:val="00712F06"/>
    <w:rsid w:val="00714E22"/>
    <w:rsid w:val="00716DC7"/>
    <w:rsid w:val="00721C1B"/>
    <w:rsid w:val="0072446D"/>
    <w:rsid w:val="0072548A"/>
    <w:rsid w:val="00726473"/>
    <w:rsid w:val="007273B3"/>
    <w:rsid w:val="007277A6"/>
    <w:rsid w:val="0074243C"/>
    <w:rsid w:val="007437AB"/>
    <w:rsid w:val="00745425"/>
    <w:rsid w:val="007534F8"/>
    <w:rsid w:val="007545AD"/>
    <w:rsid w:val="00760C30"/>
    <w:rsid w:val="00762DA1"/>
    <w:rsid w:val="00763722"/>
    <w:rsid w:val="007645E4"/>
    <w:rsid w:val="00764BC1"/>
    <w:rsid w:val="0076654B"/>
    <w:rsid w:val="00770869"/>
    <w:rsid w:val="007738AA"/>
    <w:rsid w:val="007776A8"/>
    <w:rsid w:val="00780A62"/>
    <w:rsid w:val="00783241"/>
    <w:rsid w:val="007840E5"/>
    <w:rsid w:val="00784BDC"/>
    <w:rsid w:val="007863D6"/>
    <w:rsid w:val="007903FF"/>
    <w:rsid w:val="007909F8"/>
    <w:rsid w:val="00791479"/>
    <w:rsid w:val="00792F28"/>
    <w:rsid w:val="007935CA"/>
    <w:rsid w:val="0079543F"/>
    <w:rsid w:val="00795880"/>
    <w:rsid w:val="00796ABC"/>
    <w:rsid w:val="0079784F"/>
    <w:rsid w:val="007A3035"/>
    <w:rsid w:val="007A4367"/>
    <w:rsid w:val="007A496F"/>
    <w:rsid w:val="007A722C"/>
    <w:rsid w:val="007A78CD"/>
    <w:rsid w:val="007B0867"/>
    <w:rsid w:val="007B1AC1"/>
    <w:rsid w:val="007B20DD"/>
    <w:rsid w:val="007B24C1"/>
    <w:rsid w:val="007B2DD9"/>
    <w:rsid w:val="007B536B"/>
    <w:rsid w:val="007B5424"/>
    <w:rsid w:val="007B5A08"/>
    <w:rsid w:val="007B693D"/>
    <w:rsid w:val="007B7C1B"/>
    <w:rsid w:val="007C4CDC"/>
    <w:rsid w:val="007C70C9"/>
    <w:rsid w:val="007D7083"/>
    <w:rsid w:val="007E041B"/>
    <w:rsid w:val="007E06D7"/>
    <w:rsid w:val="007E189D"/>
    <w:rsid w:val="007E199A"/>
    <w:rsid w:val="007E1AED"/>
    <w:rsid w:val="007E2415"/>
    <w:rsid w:val="007E39F3"/>
    <w:rsid w:val="007E3B04"/>
    <w:rsid w:val="007E405E"/>
    <w:rsid w:val="007E68F4"/>
    <w:rsid w:val="007E6DE2"/>
    <w:rsid w:val="007F0964"/>
    <w:rsid w:val="007F1828"/>
    <w:rsid w:val="007F31BA"/>
    <w:rsid w:val="007F4078"/>
    <w:rsid w:val="007F5FBB"/>
    <w:rsid w:val="007F68DD"/>
    <w:rsid w:val="0080014B"/>
    <w:rsid w:val="008013F2"/>
    <w:rsid w:val="00801793"/>
    <w:rsid w:val="00803642"/>
    <w:rsid w:val="00803D1C"/>
    <w:rsid w:val="00806EA2"/>
    <w:rsid w:val="00810419"/>
    <w:rsid w:val="00812A2B"/>
    <w:rsid w:val="00813A56"/>
    <w:rsid w:val="00814A4C"/>
    <w:rsid w:val="0082105F"/>
    <w:rsid w:val="00822B64"/>
    <w:rsid w:val="00825D66"/>
    <w:rsid w:val="00831AAB"/>
    <w:rsid w:val="00832B42"/>
    <w:rsid w:val="00833BCD"/>
    <w:rsid w:val="00834B82"/>
    <w:rsid w:val="0083574E"/>
    <w:rsid w:val="0083640C"/>
    <w:rsid w:val="008374B7"/>
    <w:rsid w:val="008374E3"/>
    <w:rsid w:val="008402B0"/>
    <w:rsid w:val="0084090A"/>
    <w:rsid w:val="0084157B"/>
    <w:rsid w:val="00842BFB"/>
    <w:rsid w:val="008432B2"/>
    <w:rsid w:val="00846B85"/>
    <w:rsid w:val="00847DC3"/>
    <w:rsid w:val="00847F49"/>
    <w:rsid w:val="00850F43"/>
    <w:rsid w:val="0085234C"/>
    <w:rsid w:val="008535C5"/>
    <w:rsid w:val="00853765"/>
    <w:rsid w:val="0085516F"/>
    <w:rsid w:val="00856A74"/>
    <w:rsid w:val="0086184D"/>
    <w:rsid w:val="008629A4"/>
    <w:rsid w:val="008634D3"/>
    <w:rsid w:val="00864F80"/>
    <w:rsid w:val="008652AD"/>
    <w:rsid w:val="00867186"/>
    <w:rsid w:val="00870AF6"/>
    <w:rsid w:val="00871E9E"/>
    <w:rsid w:val="00875215"/>
    <w:rsid w:val="0087652F"/>
    <w:rsid w:val="00877452"/>
    <w:rsid w:val="008774AA"/>
    <w:rsid w:val="00881268"/>
    <w:rsid w:val="00881779"/>
    <w:rsid w:val="0088394A"/>
    <w:rsid w:val="00884DBA"/>
    <w:rsid w:val="008860BD"/>
    <w:rsid w:val="00887399"/>
    <w:rsid w:val="0088779E"/>
    <w:rsid w:val="008912AF"/>
    <w:rsid w:val="00892114"/>
    <w:rsid w:val="00892CB9"/>
    <w:rsid w:val="008935CB"/>
    <w:rsid w:val="00895B41"/>
    <w:rsid w:val="008964EE"/>
    <w:rsid w:val="008A0596"/>
    <w:rsid w:val="008A2050"/>
    <w:rsid w:val="008A20B0"/>
    <w:rsid w:val="008A256D"/>
    <w:rsid w:val="008A2DAD"/>
    <w:rsid w:val="008A2E77"/>
    <w:rsid w:val="008B0E7E"/>
    <w:rsid w:val="008B1B73"/>
    <w:rsid w:val="008B65BD"/>
    <w:rsid w:val="008B75DE"/>
    <w:rsid w:val="008B7900"/>
    <w:rsid w:val="008C03B7"/>
    <w:rsid w:val="008C47BF"/>
    <w:rsid w:val="008C71BF"/>
    <w:rsid w:val="008C7FE0"/>
    <w:rsid w:val="008D1875"/>
    <w:rsid w:val="008D37BC"/>
    <w:rsid w:val="008D4005"/>
    <w:rsid w:val="008D5717"/>
    <w:rsid w:val="008D5DDD"/>
    <w:rsid w:val="008E44A9"/>
    <w:rsid w:val="008E5324"/>
    <w:rsid w:val="008E6B4D"/>
    <w:rsid w:val="008E6BFF"/>
    <w:rsid w:val="008E7084"/>
    <w:rsid w:val="008F10D2"/>
    <w:rsid w:val="008F21AF"/>
    <w:rsid w:val="008F2400"/>
    <w:rsid w:val="008F5C37"/>
    <w:rsid w:val="008F61BA"/>
    <w:rsid w:val="008F6E3C"/>
    <w:rsid w:val="008F7C55"/>
    <w:rsid w:val="0090115E"/>
    <w:rsid w:val="009014B1"/>
    <w:rsid w:val="00914A23"/>
    <w:rsid w:val="00917621"/>
    <w:rsid w:val="009177FE"/>
    <w:rsid w:val="00922253"/>
    <w:rsid w:val="0092261A"/>
    <w:rsid w:val="0092530F"/>
    <w:rsid w:val="00930754"/>
    <w:rsid w:val="0093325D"/>
    <w:rsid w:val="00934F68"/>
    <w:rsid w:val="009355A9"/>
    <w:rsid w:val="009355AC"/>
    <w:rsid w:val="00935F38"/>
    <w:rsid w:val="00937586"/>
    <w:rsid w:val="009375B8"/>
    <w:rsid w:val="0094203D"/>
    <w:rsid w:val="00947889"/>
    <w:rsid w:val="009478BD"/>
    <w:rsid w:val="00954469"/>
    <w:rsid w:val="00957563"/>
    <w:rsid w:val="009604E1"/>
    <w:rsid w:val="00960E98"/>
    <w:rsid w:val="00961BFB"/>
    <w:rsid w:val="00963346"/>
    <w:rsid w:val="00963602"/>
    <w:rsid w:val="00963A82"/>
    <w:rsid w:val="00966AC3"/>
    <w:rsid w:val="00970822"/>
    <w:rsid w:val="00972912"/>
    <w:rsid w:val="00974090"/>
    <w:rsid w:val="00976D1F"/>
    <w:rsid w:val="009773EF"/>
    <w:rsid w:val="00981C81"/>
    <w:rsid w:val="00984322"/>
    <w:rsid w:val="00997147"/>
    <w:rsid w:val="00997CFB"/>
    <w:rsid w:val="009A2D24"/>
    <w:rsid w:val="009A456C"/>
    <w:rsid w:val="009A459F"/>
    <w:rsid w:val="009B00E0"/>
    <w:rsid w:val="009B292A"/>
    <w:rsid w:val="009B76D5"/>
    <w:rsid w:val="009C165D"/>
    <w:rsid w:val="009C167F"/>
    <w:rsid w:val="009C3CEA"/>
    <w:rsid w:val="009C583D"/>
    <w:rsid w:val="009D2611"/>
    <w:rsid w:val="009D79D2"/>
    <w:rsid w:val="009E247C"/>
    <w:rsid w:val="009E31BA"/>
    <w:rsid w:val="009E502E"/>
    <w:rsid w:val="009E53EB"/>
    <w:rsid w:val="009F0528"/>
    <w:rsid w:val="009F06C6"/>
    <w:rsid w:val="009F0806"/>
    <w:rsid w:val="009F1B07"/>
    <w:rsid w:val="009F233B"/>
    <w:rsid w:val="00A05D16"/>
    <w:rsid w:val="00A0659F"/>
    <w:rsid w:val="00A079BA"/>
    <w:rsid w:val="00A10486"/>
    <w:rsid w:val="00A10B0D"/>
    <w:rsid w:val="00A14BA4"/>
    <w:rsid w:val="00A14E8C"/>
    <w:rsid w:val="00A20C70"/>
    <w:rsid w:val="00A33875"/>
    <w:rsid w:val="00A360A1"/>
    <w:rsid w:val="00A402B3"/>
    <w:rsid w:val="00A40C14"/>
    <w:rsid w:val="00A5268A"/>
    <w:rsid w:val="00A544B7"/>
    <w:rsid w:val="00A5497B"/>
    <w:rsid w:val="00A5508D"/>
    <w:rsid w:val="00A55D89"/>
    <w:rsid w:val="00A618CF"/>
    <w:rsid w:val="00A62770"/>
    <w:rsid w:val="00A62EEB"/>
    <w:rsid w:val="00A660FF"/>
    <w:rsid w:val="00A6685F"/>
    <w:rsid w:val="00A73395"/>
    <w:rsid w:val="00A75A50"/>
    <w:rsid w:val="00A771E3"/>
    <w:rsid w:val="00A77C83"/>
    <w:rsid w:val="00A812C0"/>
    <w:rsid w:val="00A81C4F"/>
    <w:rsid w:val="00A823EA"/>
    <w:rsid w:val="00A82B4C"/>
    <w:rsid w:val="00A863B5"/>
    <w:rsid w:val="00A86D38"/>
    <w:rsid w:val="00A86E2B"/>
    <w:rsid w:val="00A877A7"/>
    <w:rsid w:val="00A92E04"/>
    <w:rsid w:val="00A93A4C"/>
    <w:rsid w:val="00A94D5D"/>
    <w:rsid w:val="00A95C76"/>
    <w:rsid w:val="00AA1D9B"/>
    <w:rsid w:val="00AA2543"/>
    <w:rsid w:val="00AA3804"/>
    <w:rsid w:val="00AA5052"/>
    <w:rsid w:val="00AA53EE"/>
    <w:rsid w:val="00AA55C2"/>
    <w:rsid w:val="00AB0ACA"/>
    <w:rsid w:val="00AB1D41"/>
    <w:rsid w:val="00AB2973"/>
    <w:rsid w:val="00AB58B3"/>
    <w:rsid w:val="00AB60B5"/>
    <w:rsid w:val="00AC27A7"/>
    <w:rsid w:val="00AC5E9A"/>
    <w:rsid w:val="00AC6383"/>
    <w:rsid w:val="00AC704B"/>
    <w:rsid w:val="00AD553E"/>
    <w:rsid w:val="00AD5848"/>
    <w:rsid w:val="00AD5897"/>
    <w:rsid w:val="00AD77F9"/>
    <w:rsid w:val="00AD7EB0"/>
    <w:rsid w:val="00AD7FDB"/>
    <w:rsid w:val="00AE5ADA"/>
    <w:rsid w:val="00AF2BC9"/>
    <w:rsid w:val="00AF53F2"/>
    <w:rsid w:val="00AF5CC6"/>
    <w:rsid w:val="00AF6145"/>
    <w:rsid w:val="00AF7168"/>
    <w:rsid w:val="00AF71CF"/>
    <w:rsid w:val="00B01386"/>
    <w:rsid w:val="00B016F3"/>
    <w:rsid w:val="00B01915"/>
    <w:rsid w:val="00B01BB5"/>
    <w:rsid w:val="00B026CC"/>
    <w:rsid w:val="00B032BE"/>
    <w:rsid w:val="00B04AF4"/>
    <w:rsid w:val="00B05214"/>
    <w:rsid w:val="00B12E20"/>
    <w:rsid w:val="00B14E17"/>
    <w:rsid w:val="00B233A8"/>
    <w:rsid w:val="00B24F95"/>
    <w:rsid w:val="00B30D97"/>
    <w:rsid w:val="00B31074"/>
    <w:rsid w:val="00B3181A"/>
    <w:rsid w:val="00B33515"/>
    <w:rsid w:val="00B35A7C"/>
    <w:rsid w:val="00B446E0"/>
    <w:rsid w:val="00B44ECD"/>
    <w:rsid w:val="00B450D1"/>
    <w:rsid w:val="00B526A7"/>
    <w:rsid w:val="00B536D6"/>
    <w:rsid w:val="00B53D47"/>
    <w:rsid w:val="00B54A25"/>
    <w:rsid w:val="00B54B8E"/>
    <w:rsid w:val="00B552F8"/>
    <w:rsid w:val="00B56410"/>
    <w:rsid w:val="00B60326"/>
    <w:rsid w:val="00B6077B"/>
    <w:rsid w:val="00B618C3"/>
    <w:rsid w:val="00B622B2"/>
    <w:rsid w:val="00B63652"/>
    <w:rsid w:val="00B65199"/>
    <w:rsid w:val="00B668B0"/>
    <w:rsid w:val="00B70F5C"/>
    <w:rsid w:val="00B71873"/>
    <w:rsid w:val="00B736B8"/>
    <w:rsid w:val="00B75AE5"/>
    <w:rsid w:val="00B800C0"/>
    <w:rsid w:val="00B8132B"/>
    <w:rsid w:val="00B8295C"/>
    <w:rsid w:val="00B84C5A"/>
    <w:rsid w:val="00B858F5"/>
    <w:rsid w:val="00B876BD"/>
    <w:rsid w:val="00B93668"/>
    <w:rsid w:val="00B94428"/>
    <w:rsid w:val="00B94A8F"/>
    <w:rsid w:val="00B9580C"/>
    <w:rsid w:val="00B97077"/>
    <w:rsid w:val="00B974FA"/>
    <w:rsid w:val="00B97650"/>
    <w:rsid w:val="00BA68C6"/>
    <w:rsid w:val="00BB12F1"/>
    <w:rsid w:val="00BB15BC"/>
    <w:rsid w:val="00BB276E"/>
    <w:rsid w:val="00BB3FEE"/>
    <w:rsid w:val="00BB5EB0"/>
    <w:rsid w:val="00BC00EC"/>
    <w:rsid w:val="00BC08F1"/>
    <w:rsid w:val="00BC245A"/>
    <w:rsid w:val="00BD16FA"/>
    <w:rsid w:val="00BD41C3"/>
    <w:rsid w:val="00BD488B"/>
    <w:rsid w:val="00BD5F9B"/>
    <w:rsid w:val="00BD654A"/>
    <w:rsid w:val="00BD7CCC"/>
    <w:rsid w:val="00BE002A"/>
    <w:rsid w:val="00BE0283"/>
    <w:rsid w:val="00BE1BC9"/>
    <w:rsid w:val="00BE5CDA"/>
    <w:rsid w:val="00BE608F"/>
    <w:rsid w:val="00BE6E22"/>
    <w:rsid w:val="00BE75B6"/>
    <w:rsid w:val="00BF23BB"/>
    <w:rsid w:val="00BF33DD"/>
    <w:rsid w:val="00BF5755"/>
    <w:rsid w:val="00BF684B"/>
    <w:rsid w:val="00C016F3"/>
    <w:rsid w:val="00C07136"/>
    <w:rsid w:val="00C10683"/>
    <w:rsid w:val="00C15193"/>
    <w:rsid w:val="00C15609"/>
    <w:rsid w:val="00C15F6A"/>
    <w:rsid w:val="00C217A7"/>
    <w:rsid w:val="00C23EA7"/>
    <w:rsid w:val="00C256F3"/>
    <w:rsid w:val="00C270A2"/>
    <w:rsid w:val="00C276D0"/>
    <w:rsid w:val="00C315B5"/>
    <w:rsid w:val="00C316ED"/>
    <w:rsid w:val="00C32462"/>
    <w:rsid w:val="00C35B86"/>
    <w:rsid w:val="00C35E28"/>
    <w:rsid w:val="00C426AF"/>
    <w:rsid w:val="00C469C1"/>
    <w:rsid w:val="00C47973"/>
    <w:rsid w:val="00C50659"/>
    <w:rsid w:val="00C51B39"/>
    <w:rsid w:val="00C52963"/>
    <w:rsid w:val="00C5332F"/>
    <w:rsid w:val="00C5338A"/>
    <w:rsid w:val="00C54EF9"/>
    <w:rsid w:val="00C55087"/>
    <w:rsid w:val="00C56BBF"/>
    <w:rsid w:val="00C572AA"/>
    <w:rsid w:val="00C575E6"/>
    <w:rsid w:val="00C57A9A"/>
    <w:rsid w:val="00C6016A"/>
    <w:rsid w:val="00C60B3F"/>
    <w:rsid w:val="00C61711"/>
    <w:rsid w:val="00C623EB"/>
    <w:rsid w:val="00C62FCC"/>
    <w:rsid w:val="00C63D0D"/>
    <w:rsid w:val="00C64C6B"/>
    <w:rsid w:val="00C6588D"/>
    <w:rsid w:val="00C66F2E"/>
    <w:rsid w:val="00C6785C"/>
    <w:rsid w:val="00C7028B"/>
    <w:rsid w:val="00C70FD1"/>
    <w:rsid w:val="00C72B76"/>
    <w:rsid w:val="00C733AA"/>
    <w:rsid w:val="00C7637F"/>
    <w:rsid w:val="00C83027"/>
    <w:rsid w:val="00C84B8A"/>
    <w:rsid w:val="00C85E65"/>
    <w:rsid w:val="00C87CA1"/>
    <w:rsid w:val="00C911B4"/>
    <w:rsid w:val="00C91A44"/>
    <w:rsid w:val="00C91B3B"/>
    <w:rsid w:val="00C94262"/>
    <w:rsid w:val="00C9461D"/>
    <w:rsid w:val="00C95A92"/>
    <w:rsid w:val="00C976E1"/>
    <w:rsid w:val="00CA148E"/>
    <w:rsid w:val="00CA15C6"/>
    <w:rsid w:val="00CA3A9A"/>
    <w:rsid w:val="00CA52DB"/>
    <w:rsid w:val="00CA61C5"/>
    <w:rsid w:val="00CA78FA"/>
    <w:rsid w:val="00CB16C2"/>
    <w:rsid w:val="00CB1CFC"/>
    <w:rsid w:val="00CB6855"/>
    <w:rsid w:val="00CB6BC1"/>
    <w:rsid w:val="00CB7021"/>
    <w:rsid w:val="00CD2498"/>
    <w:rsid w:val="00CD305D"/>
    <w:rsid w:val="00CD3294"/>
    <w:rsid w:val="00CD3630"/>
    <w:rsid w:val="00CD4524"/>
    <w:rsid w:val="00CD784D"/>
    <w:rsid w:val="00CF3A1C"/>
    <w:rsid w:val="00CF40F8"/>
    <w:rsid w:val="00CF544B"/>
    <w:rsid w:val="00CF608C"/>
    <w:rsid w:val="00CF6799"/>
    <w:rsid w:val="00CF77B5"/>
    <w:rsid w:val="00D008DA"/>
    <w:rsid w:val="00D019EE"/>
    <w:rsid w:val="00D0416F"/>
    <w:rsid w:val="00D05517"/>
    <w:rsid w:val="00D055D6"/>
    <w:rsid w:val="00D05851"/>
    <w:rsid w:val="00D0644C"/>
    <w:rsid w:val="00D10FED"/>
    <w:rsid w:val="00D11736"/>
    <w:rsid w:val="00D12EE8"/>
    <w:rsid w:val="00D14CDF"/>
    <w:rsid w:val="00D15FF1"/>
    <w:rsid w:val="00D167F4"/>
    <w:rsid w:val="00D2092A"/>
    <w:rsid w:val="00D2216D"/>
    <w:rsid w:val="00D23079"/>
    <w:rsid w:val="00D25352"/>
    <w:rsid w:val="00D3063B"/>
    <w:rsid w:val="00D30D96"/>
    <w:rsid w:val="00D31A6F"/>
    <w:rsid w:val="00D35328"/>
    <w:rsid w:val="00D353D1"/>
    <w:rsid w:val="00D367DB"/>
    <w:rsid w:val="00D36E05"/>
    <w:rsid w:val="00D408F4"/>
    <w:rsid w:val="00D40C49"/>
    <w:rsid w:val="00D413D6"/>
    <w:rsid w:val="00D43977"/>
    <w:rsid w:val="00D44AC9"/>
    <w:rsid w:val="00D44F27"/>
    <w:rsid w:val="00D45304"/>
    <w:rsid w:val="00D46165"/>
    <w:rsid w:val="00D461C7"/>
    <w:rsid w:val="00D46830"/>
    <w:rsid w:val="00D50424"/>
    <w:rsid w:val="00D5081E"/>
    <w:rsid w:val="00D525C9"/>
    <w:rsid w:val="00D53105"/>
    <w:rsid w:val="00D57C9A"/>
    <w:rsid w:val="00D57D3E"/>
    <w:rsid w:val="00D633F7"/>
    <w:rsid w:val="00D655F8"/>
    <w:rsid w:val="00D67F50"/>
    <w:rsid w:val="00D76249"/>
    <w:rsid w:val="00D849D4"/>
    <w:rsid w:val="00D8737C"/>
    <w:rsid w:val="00D90284"/>
    <w:rsid w:val="00D95D17"/>
    <w:rsid w:val="00D977FD"/>
    <w:rsid w:val="00DA1633"/>
    <w:rsid w:val="00DA1B90"/>
    <w:rsid w:val="00DA38A7"/>
    <w:rsid w:val="00DA7D12"/>
    <w:rsid w:val="00DB1B7A"/>
    <w:rsid w:val="00DB23ED"/>
    <w:rsid w:val="00DB51F3"/>
    <w:rsid w:val="00DB7BEB"/>
    <w:rsid w:val="00DC23CF"/>
    <w:rsid w:val="00DC3E25"/>
    <w:rsid w:val="00DC6562"/>
    <w:rsid w:val="00DD40E1"/>
    <w:rsid w:val="00DD6455"/>
    <w:rsid w:val="00DE1263"/>
    <w:rsid w:val="00DE130D"/>
    <w:rsid w:val="00DE24CF"/>
    <w:rsid w:val="00DE2F1E"/>
    <w:rsid w:val="00DE407C"/>
    <w:rsid w:val="00DE7C7D"/>
    <w:rsid w:val="00DF2992"/>
    <w:rsid w:val="00DF2D0C"/>
    <w:rsid w:val="00DF7F99"/>
    <w:rsid w:val="00E00058"/>
    <w:rsid w:val="00E01B9D"/>
    <w:rsid w:val="00E0468F"/>
    <w:rsid w:val="00E04F5E"/>
    <w:rsid w:val="00E050AF"/>
    <w:rsid w:val="00E0522E"/>
    <w:rsid w:val="00E114B9"/>
    <w:rsid w:val="00E120F4"/>
    <w:rsid w:val="00E17172"/>
    <w:rsid w:val="00E23E6F"/>
    <w:rsid w:val="00E24491"/>
    <w:rsid w:val="00E2525D"/>
    <w:rsid w:val="00E30282"/>
    <w:rsid w:val="00E3181C"/>
    <w:rsid w:val="00E32603"/>
    <w:rsid w:val="00E3280A"/>
    <w:rsid w:val="00E35299"/>
    <w:rsid w:val="00E372AF"/>
    <w:rsid w:val="00E37D68"/>
    <w:rsid w:val="00E40EAE"/>
    <w:rsid w:val="00E41C80"/>
    <w:rsid w:val="00E436AC"/>
    <w:rsid w:val="00E44F7A"/>
    <w:rsid w:val="00E44FF8"/>
    <w:rsid w:val="00E470FA"/>
    <w:rsid w:val="00E5066A"/>
    <w:rsid w:val="00E52CF9"/>
    <w:rsid w:val="00E61A5F"/>
    <w:rsid w:val="00E63F34"/>
    <w:rsid w:val="00E63FEA"/>
    <w:rsid w:val="00E6644A"/>
    <w:rsid w:val="00E66F21"/>
    <w:rsid w:val="00E6715A"/>
    <w:rsid w:val="00E70396"/>
    <w:rsid w:val="00E749E5"/>
    <w:rsid w:val="00E74ACD"/>
    <w:rsid w:val="00E75DC9"/>
    <w:rsid w:val="00E7685F"/>
    <w:rsid w:val="00E81610"/>
    <w:rsid w:val="00E83B6C"/>
    <w:rsid w:val="00E84910"/>
    <w:rsid w:val="00E85B28"/>
    <w:rsid w:val="00E91976"/>
    <w:rsid w:val="00E93D88"/>
    <w:rsid w:val="00E947A6"/>
    <w:rsid w:val="00E94F43"/>
    <w:rsid w:val="00E95616"/>
    <w:rsid w:val="00E97A4A"/>
    <w:rsid w:val="00E97FC7"/>
    <w:rsid w:val="00EA0690"/>
    <w:rsid w:val="00EA38A7"/>
    <w:rsid w:val="00EA3956"/>
    <w:rsid w:val="00EA7136"/>
    <w:rsid w:val="00EB0D30"/>
    <w:rsid w:val="00EB2259"/>
    <w:rsid w:val="00EB28BF"/>
    <w:rsid w:val="00EB3000"/>
    <w:rsid w:val="00EB325A"/>
    <w:rsid w:val="00EB5A3F"/>
    <w:rsid w:val="00EC02A5"/>
    <w:rsid w:val="00EC176B"/>
    <w:rsid w:val="00EC2793"/>
    <w:rsid w:val="00EC33CD"/>
    <w:rsid w:val="00EC5BE5"/>
    <w:rsid w:val="00EC6904"/>
    <w:rsid w:val="00ED1261"/>
    <w:rsid w:val="00ED2650"/>
    <w:rsid w:val="00ED396A"/>
    <w:rsid w:val="00ED6DF8"/>
    <w:rsid w:val="00ED721A"/>
    <w:rsid w:val="00EE393D"/>
    <w:rsid w:val="00EE4744"/>
    <w:rsid w:val="00EF01CF"/>
    <w:rsid w:val="00EF5E63"/>
    <w:rsid w:val="00EF65D3"/>
    <w:rsid w:val="00EF6A47"/>
    <w:rsid w:val="00EF7AF9"/>
    <w:rsid w:val="00F00952"/>
    <w:rsid w:val="00F01495"/>
    <w:rsid w:val="00F06D07"/>
    <w:rsid w:val="00F10138"/>
    <w:rsid w:val="00F10E2C"/>
    <w:rsid w:val="00F13F92"/>
    <w:rsid w:val="00F21EA5"/>
    <w:rsid w:val="00F22ECA"/>
    <w:rsid w:val="00F240E8"/>
    <w:rsid w:val="00F244FA"/>
    <w:rsid w:val="00F247BF"/>
    <w:rsid w:val="00F31593"/>
    <w:rsid w:val="00F323B5"/>
    <w:rsid w:val="00F338E7"/>
    <w:rsid w:val="00F366A2"/>
    <w:rsid w:val="00F37418"/>
    <w:rsid w:val="00F44F43"/>
    <w:rsid w:val="00F450E1"/>
    <w:rsid w:val="00F50DF4"/>
    <w:rsid w:val="00F555BC"/>
    <w:rsid w:val="00F57AFE"/>
    <w:rsid w:val="00F60A45"/>
    <w:rsid w:val="00F61B4F"/>
    <w:rsid w:val="00F626C0"/>
    <w:rsid w:val="00F6278E"/>
    <w:rsid w:val="00F63C41"/>
    <w:rsid w:val="00F63CD1"/>
    <w:rsid w:val="00F63E96"/>
    <w:rsid w:val="00F64CC8"/>
    <w:rsid w:val="00F65DEC"/>
    <w:rsid w:val="00F701E3"/>
    <w:rsid w:val="00F71008"/>
    <w:rsid w:val="00F71F8C"/>
    <w:rsid w:val="00F73140"/>
    <w:rsid w:val="00F763E3"/>
    <w:rsid w:val="00F80821"/>
    <w:rsid w:val="00F82FA6"/>
    <w:rsid w:val="00F86AD4"/>
    <w:rsid w:val="00F935CA"/>
    <w:rsid w:val="00F97BA3"/>
    <w:rsid w:val="00FA0113"/>
    <w:rsid w:val="00FA02B6"/>
    <w:rsid w:val="00FA12B2"/>
    <w:rsid w:val="00FA25D8"/>
    <w:rsid w:val="00FA5F4A"/>
    <w:rsid w:val="00FA5FDC"/>
    <w:rsid w:val="00FA7610"/>
    <w:rsid w:val="00FB02BD"/>
    <w:rsid w:val="00FB398F"/>
    <w:rsid w:val="00FB4EF8"/>
    <w:rsid w:val="00FB54AE"/>
    <w:rsid w:val="00FB56EB"/>
    <w:rsid w:val="00FB709A"/>
    <w:rsid w:val="00FB78DD"/>
    <w:rsid w:val="00FC3EF3"/>
    <w:rsid w:val="00FC5D35"/>
    <w:rsid w:val="00FD09CB"/>
    <w:rsid w:val="00FD2049"/>
    <w:rsid w:val="00FD2140"/>
    <w:rsid w:val="00FD2AF7"/>
    <w:rsid w:val="00FD4869"/>
    <w:rsid w:val="00FD5B5F"/>
    <w:rsid w:val="00FD5BDE"/>
    <w:rsid w:val="00FD68EC"/>
    <w:rsid w:val="00FE104A"/>
    <w:rsid w:val="00FE24A5"/>
    <w:rsid w:val="00FE2B32"/>
    <w:rsid w:val="00FE3076"/>
    <w:rsid w:val="00FE31E5"/>
    <w:rsid w:val="00FE412B"/>
    <w:rsid w:val="00FE5DDC"/>
    <w:rsid w:val="00FE6C7B"/>
    <w:rsid w:val="00FF19AD"/>
    <w:rsid w:val="00FF1EB5"/>
    <w:rsid w:val="00FF292D"/>
    <w:rsid w:val="00FF298D"/>
    <w:rsid w:val="00FF34A1"/>
    <w:rsid w:val="00FF4B55"/>
    <w:rsid w:val="00FF6287"/>
    <w:rsid w:val="00FF6A74"/>
    <w:rsid w:val="00FF73A3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F914"/>
  <w15:chartTrackingRefBased/>
  <w15:docId w15:val="{23F8D366-2F20-47CE-A254-0C17E6DD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536D6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7DA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voutouris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ikis@cystat.mof.gov.c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9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fkakouts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6719</CharactersWithSpaces>
  <SharedDoc>false</SharedDoc>
  <HLinks>
    <vt:vector size="42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https://www.cystat.gov.cy/el/MethodologicalDetails?m=2091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27</cp:revision>
  <cp:lastPrinted>2026-06-17T08:20:00Z</cp:lastPrinted>
  <dcterms:created xsi:type="dcterms:W3CDTF">2026-04-14T09:58:00Z</dcterms:created>
  <dcterms:modified xsi:type="dcterms:W3CDTF">2026-06-17T08:35:00Z</dcterms:modified>
</cp:coreProperties>
</file>