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3C3F" w14:textId="77777777" w:rsidR="00AF5CC6" w:rsidRPr="000723AD" w:rsidRDefault="00AF5CC6" w:rsidP="00AF5CC6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6C1A05DE" w:rsidR="00AF5CC6" w:rsidRDefault="00E062A2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ED6AD3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954A14" w:rsidRPr="0087265F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6F790E" w:rsidRPr="002C338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54A14">
        <w:rPr>
          <w:rFonts w:ascii="Verdana" w:eastAsia="Malgun Gothic" w:hAnsi="Verdana" w:cs="Arial"/>
          <w:sz w:val="18"/>
          <w:szCs w:val="18"/>
          <w:lang w:val="el-GR"/>
        </w:rPr>
        <w:t>Δεκεμβρίου</w:t>
      </w:r>
      <w:r w:rsidR="0079784F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171AFE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F06A85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</w:t>
      </w:r>
      <w:r w:rsidRPr="00B16700">
        <w:rPr>
          <w:rFonts w:ascii="Verdana" w:eastAsia="Malgun Gothic" w:hAnsi="Verdana" w:cs="Arial"/>
          <w:b/>
          <w:sz w:val="24"/>
          <w:szCs w:val="24"/>
          <w:lang w:val="el-GR"/>
        </w:rPr>
        <w:t>ΤΥΠΟΥ</w:t>
      </w: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77D77E4A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>(ΕνΔΤΚ):</w:t>
      </w:r>
      <w:r w:rsidR="00B90663">
        <w:rPr>
          <w:rFonts w:ascii="Verdana" w:eastAsia="Malgun Gothic" w:hAnsi="Verdana" w:cs="Arial"/>
          <w:b w:val="0"/>
          <w:szCs w:val="22"/>
        </w:rPr>
        <w:t xml:space="preserve"> </w:t>
      </w:r>
      <w:r w:rsidR="00954A14">
        <w:rPr>
          <w:rFonts w:ascii="Verdana" w:eastAsia="Malgun Gothic" w:hAnsi="Verdana" w:cs="Arial"/>
          <w:bCs w:val="0"/>
          <w:szCs w:val="22"/>
        </w:rPr>
        <w:t>Νοέμβριος</w:t>
      </w:r>
      <w:r w:rsidR="002E590B">
        <w:rPr>
          <w:rFonts w:ascii="Verdana" w:eastAsia="Malgun Gothic" w:hAnsi="Verdana" w:cs="Arial"/>
          <w:bCs w:val="0"/>
          <w:szCs w:val="22"/>
        </w:rPr>
        <w:t xml:space="preserve"> </w:t>
      </w:r>
      <w:r w:rsidRPr="00FE5DDC">
        <w:rPr>
          <w:rFonts w:ascii="Verdana" w:eastAsia="Malgun Gothic" w:hAnsi="Verdana" w:cs="Arial"/>
          <w:szCs w:val="22"/>
        </w:rPr>
        <w:t>202</w:t>
      </w:r>
      <w:r w:rsidR="00043B1E">
        <w:rPr>
          <w:rFonts w:ascii="Verdana" w:eastAsia="Malgun Gothic" w:hAnsi="Verdana" w:cs="Arial"/>
          <w:szCs w:val="22"/>
        </w:rPr>
        <w:t>5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37AC0FBD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66107A" w:rsidRPr="0066107A">
        <w:rPr>
          <w:rFonts w:ascii="Verdana" w:eastAsia="Malgun Gothic" w:hAnsi="Verdana" w:cs="Arial"/>
          <w:b/>
          <w:lang w:val="el-GR"/>
        </w:rPr>
        <w:t>0</w:t>
      </w:r>
      <w:r w:rsidR="00A76595">
        <w:rPr>
          <w:rFonts w:ascii="Verdana" w:eastAsia="Malgun Gothic" w:hAnsi="Verdana" w:cs="Arial"/>
          <w:b/>
          <w:lang w:val="el-GR"/>
        </w:rPr>
        <w:t>,</w:t>
      </w:r>
      <w:r w:rsidR="00954A14">
        <w:rPr>
          <w:rFonts w:ascii="Verdana" w:eastAsia="Malgun Gothic" w:hAnsi="Verdana" w:cs="Arial"/>
          <w:b/>
          <w:lang w:val="el-GR"/>
        </w:rPr>
        <w:t>1</w:t>
      </w:r>
      <w:r w:rsidRPr="00FE5DDC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EB5A3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29175F4F" w14:textId="2091711D" w:rsidR="00EB5A3F" w:rsidRDefault="00CB58F4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Ο Εναρμονισμένος Δείκτης Τιμών Καταναλωτή τον </w:t>
      </w:r>
      <w:r w:rsidR="00954A14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8B6EE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2025 </w:t>
      </w:r>
      <w:r w:rsidR="007538D6">
        <w:rPr>
          <w:rFonts w:ascii="Verdana" w:eastAsia="Malgun Gothic" w:hAnsi="Verdana" w:cs="Arial"/>
          <w:sz w:val="18"/>
          <w:szCs w:val="18"/>
          <w:lang w:val="el-GR"/>
        </w:rPr>
        <w:t>σημείωσε αύξηση 0,</w:t>
      </w:r>
      <w:r w:rsidR="00954A14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7538D6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1303FE">
        <w:rPr>
          <w:rFonts w:ascii="Verdana" w:eastAsia="Malgun Gothic" w:hAnsi="Verdana" w:cs="Arial"/>
          <w:sz w:val="18"/>
          <w:szCs w:val="18"/>
          <w:lang w:val="el-GR"/>
        </w:rPr>
        <w:t xml:space="preserve"> σ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ε σχέση με τον </w:t>
      </w:r>
      <w:r w:rsidR="00954A14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8B6EE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του 2024 και</w:t>
      </w:r>
      <w:r w:rsidR="0064269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54A14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="001303FE">
        <w:rPr>
          <w:rFonts w:ascii="Verdana" w:eastAsia="Malgun Gothic" w:hAnsi="Verdana" w:cs="Arial"/>
          <w:sz w:val="18"/>
          <w:szCs w:val="18"/>
          <w:lang w:val="el-GR"/>
        </w:rPr>
        <w:t xml:space="preserve"> κατά </w:t>
      </w:r>
      <w:r w:rsidR="00954A14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A765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81C10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 σε σχέση με τον </w:t>
      </w:r>
      <w:r w:rsidR="00954A14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295FA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του 2025</w:t>
      </w:r>
      <w:r w:rsidR="001A7865" w:rsidRPr="001A786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  <w:r w:rsidR="001A7865" w:rsidRPr="001A7865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DE68FB4" w14:textId="77777777" w:rsidR="00054BA7" w:rsidRPr="00054BA7" w:rsidRDefault="00054BA7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ADD205F" w14:textId="1B3509BD" w:rsidR="003E561E" w:rsidRPr="001A7865" w:rsidRDefault="00054BA7" w:rsidP="00054BA7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1CC3DA1F" wp14:editId="73BC69C5">
            <wp:extent cx="6177915" cy="4498975"/>
            <wp:effectExtent l="0" t="0" r="0" b="0"/>
            <wp:docPr id="1669295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0D60" w14:textId="75E51346" w:rsidR="00AF5CC6" w:rsidRPr="00054BA7" w:rsidRDefault="003E561E" w:rsidP="0087265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36AA4" w:rsidRPr="00336AA4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054BA7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Σημείωση: Ο ΕνΔΤΚ Ευρωζώνης για τον τελευταίο μήνα βασίζεται σε εκτίμηση της </w:t>
      </w:r>
      <w:r w:rsidR="00AF5CC6" w:rsidRPr="00054BA7">
        <w:rPr>
          <w:rFonts w:ascii="Verdana" w:eastAsia="Malgun Gothic" w:hAnsi="Verdana" w:cs="Arial"/>
          <w:color w:val="366092"/>
          <w:sz w:val="16"/>
          <w:szCs w:val="16"/>
          <w:lang w:val="en-GB"/>
        </w:rPr>
        <w:t>EUROSTAT</w:t>
      </w:r>
      <w:r w:rsidR="00AF5CC6" w:rsidRPr="00054BA7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(</w:t>
      </w:r>
      <w:r w:rsidR="00AF5CC6" w:rsidRPr="00054BA7">
        <w:rPr>
          <w:rFonts w:ascii="Verdana" w:eastAsia="Malgun Gothic" w:hAnsi="Verdana" w:cs="Arial"/>
          <w:color w:val="366092"/>
          <w:sz w:val="16"/>
          <w:szCs w:val="16"/>
          <w:lang w:val="en-GB"/>
        </w:rPr>
        <w:t>flash</w:t>
      </w:r>
      <w:r w:rsidR="00AF5CC6" w:rsidRPr="00054BA7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054BA7">
        <w:rPr>
          <w:rFonts w:ascii="Verdana" w:eastAsia="Malgun Gothic" w:hAnsi="Verdana" w:cs="Arial"/>
          <w:color w:val="366092"/>
          <w:sz w:val="16"/>
          <w:szCs w:val="16"/>
          <w:lang w:val="en-GB"/>
        </w:rPr>
        <w:t>estimate</w:t>
      </w:r>
      <w:r w:rsidR="00AF5CC6" w:rsidRPr="00054BA7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). </w:t>
      </w:r>
    </w:p>
    <w:p w14:paraId="01F3CC9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17D1A462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9C07B6" w14:textId="77777777" w:rsidR="004C3FB1" w:rsidRDefault="004C3FB1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38A4FB4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0919790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28818E25" w:rsidR="00AF5CC6" w:rsidRPr="00AB1744" w:rsidRDefault="00CB58F4" w:rsidP="00B3617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lastRenderedPageBreak/>
        <w:t xml:space="preserve">Σε σύγκριση με τον 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86675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του 2024, οι κατηγορίες </w:t>
      </w:r>
      <w:r w:rsidR="00F6058E"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 και Πολιτισμός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CF5831"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είχαν τη μεγαλύτερη θετική μεταβολή, ενώ 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AB1744" w:rsidRPr="00AB174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3617D" w:rsidRPr="00B3617D">
        <w:rPr>
          <w:rFonts w:ascii="Verdana" w:eastAsia="Malgun Gothic" w:hAnsi="Verdana" w:cs="Arial"/>
          <w:i/>
          <w:iCs/>
          <w:sz w:val="18"/>
          <w:szCs w:val="18"/>
          <w:lang w:val="el-GR"/>
        </w:rPr>
        <w:t>Στέγαση, Ύδρευση, Ηλεκτρισμός και Υγραέρι</w:t>
      </w:r>
      <w:r w:rsidR="00B3617D">
        <w:rPr>
          <w:rFonts w:ascii="Verdana" w:eastAsia="Malgun Gothic" w:hAnsi="Verdana" w:cs="Arial"/>
          <w:i/>
          <w:iCs/>
          <w:sz w:val="18"/>
          <w:szCs w:val="18"/>
          <w:lang w:val="el-GR"/>
        </w:rPr>
        <w:t>ο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πτώση (Πίνακας 1).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E812470" w14:textId="7FADECAD" w:rsidR="00CB58F4" w:rsidRDefault="00CB58F4" w:rsidP="00CB58F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E7266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E7266">
        <w:rPr>
          <w:rFonts w:ascii="Verdana" w:eastAsia="Malgun Gothic" w:hAnsi="Verdana" w:cs="Arial"/>
          <w:sz w:val="18"/>
          <w:szCs w:val="18"/>
          <w:lang w:val="el-GR"/>
        </w:rPr>
        <w:t>του 2025, οι μεγαλύτερες μεταβολές παρατηρήθηκαν στις κατηγορίες</w:t>
      </w:r>
      <w:r w:rsidR="00E65431" w:rsidRPr="00E6543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A12FF" w:rsidRPr="00F46205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-2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8A214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EA12FF" w:rsidRPr="00EA12FF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AB174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E7266">
        <w:rPr>
          <w:rFonts w:ascii="Verdana" w:eastAsia="Malgun Gothic" w:hAnsi="Verdana" w:cs="Arial"/>
          <w:sz w:val="18"/>
          <w:szCs w:val="18"/>
          <w:lang w:val="el-GR"/>
        </w:rPr>
        <w:t>(Πίνακας 1).</w:t>
      </w:r>
    </w:p>
    <w:p w14:paraId="69A31EF2" w14:textId="6FEB481E" w:rsidR="007B2DD9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6FDFD8" w14:textId="5D51155E" w:rsidR="00E10309" w:rsidRPr="001A7865" w:rsidRDefault="00CB58F4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Για την περίοδο Ιανουαρίου </w:t>
      </w:r>
      <w:r w:rsidR="00A2575E">
        <w:rPr>
          <w:rFonts w:ascii="Verdana" w:eastAsia="Malgun Gothic" w:hAnsi="Verdana" w:cs="Arial"/>
          <w:sz w:val="18"/>
          <w:szCs w:val="18"/>
          <w:lang w:val="el-GR"/>
        </w:rPr>
        <w:t>–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A3FAA">
        <w:rPr>
          <w:rFonts w:ascii="Verdana" w:eastAsia="Malgun Gothic" w:hAnsi="Verdana" w:cs="Arial"/>
          <w:sz w:val="18"/>
          <w:szCs w:val="18"/>
          <w:lang w:val="el-GR"/>
        </w:rPr>
        <w:t>Νοέμβριου</w:t>
      </w:r>
      <w:r w:rsidR="00D701F3" w:rsidRPr="001117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2025, σε σύγκριση με την αντίστοιχη περίοδο του προηγούμενου έτους, οι μεγαλύτερες μεταβολές σημειώθηκαν στις κατηγορίες </w:t>
      </w:r>
      <w:r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 και Πολιτισμός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A3FAA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="00B84B59" w:rsidRPr="00B84B59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B84B59" w:rsidRPr="00B84B5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AB22E0">
        <w:rPr>
          <w:rFonts w:ascii="Verdana" w:eastAsia="Malgun Gothic" w:hAnsi="Verdana" w:cs="Arial"/>
          <w:sz w:val="18"/>
          <w:szCs w:val="18"/>
          <w:lang w:val="el-GR"/>
        </w:rPr>
        <w:t>6,</w:t>
      </w:r>
      <w:r w:rsidR="00EA3FAA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84B59" w:rsidRPr="00B84B59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B84B59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(5,</w:t>
      </w:r>
      <w:r w:rsidR="00EA3FAA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%) (Πίνακας 1).</w:t>
      </w:r>
    </w:p>
    <w:p w14:paraId="391CC45F" w14:textId="77777777" w:rsidR="00CB58F4" w:rsidRPr="001A7865" w:rsidRDefault="00CB58F4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CA4FEA" w14:textId="66B09B86" w:rsidR="00CB58F4" w:rsidRPr="00806DC7" w:rsidRDefault="00A2575E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lang w:val="el-GR"/>
        </w:rPr>
      </w:pPr>
      <w:r w:rsidRPr="00165C2F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μεγαλύτερη μεταβολή στις οικονομικές κατηγορίες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</w:t>
      </w:r>
      <w:r w:rsidR="00EF7A18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ν </w:t>
      </w:r>
      <w:r w:rsidR="006949B0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2A794D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2024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σημειώθηκε στη</w:t>
      </w:r>
      <w:r w:rsidR="00E65431" w:rsidRPr="00165C2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κατηγορία </w:t>
      </w:r>
      <w:r w:rsidR="00E65431" w:rsidRPr="00165C2F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165C2F" w:rsidRPr="00165C2F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949B0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και σε σχέση με τον</w:t>
      </w:r>
      <w:r w:rsidR="002A794D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949B0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2A794D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2025 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>σημειώθηκε στ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4E4378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949B0" w:rsidRPr="006949B0">
        <w:rPr>
          <w:rFonts w:ascii="Verdana" w:eastAsia="Malgun Gothic" w:hAnsi="Verdana" w:cs="Arial"/>
          <w:i/>
          <w:iCs/>
          <w:sz w:val="18"/>
          <w:szCs w:val="18"/>
          <w:lang w:val="el-GR"/>
        </w:rPr>
        <w:t>Τρόφιμα-Αλκοολούχα Ποτά-Καπνός</w:t>
      </w:r>
      <w:r w:rsidR="00A663BC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6949B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A663BC">
        <w:rPr>
          <w:rFonts w:ascii="Verdana" w:eastAsia="Malgun Gothic" w:hAnsi="Verdana" w:cs="Arial"/>
          <w:sz w:val="18"/>
          <w:szCs w:val="18"/>
          <w:lang w:val="el-GR"/>
        </w:rPr>
        <w:t>1,</w:t>
      </w:r>
      <w:r w:rsidR="006949B0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CD6D53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336AA4" w:rsidRPr="00806DC7">
        <w:rPr>
          <w:rFonts w:ascii="Verdana" w:eastAsia="Malgun Gothic" w:hAnsi="Verdana" w:cs="Arial"/>
          <w:color w:val="EE0000"/>
          <w:sz w:val="18"/>
          <w:szCs w:val="18"/>
          <w:lang w:val="el-GR"/>
        </w:rPr>
        <w:t xml:space="preserve"> </w:t>
      </w:r>
      <w:r w:rsidR="00CB58F4" w:rsidRPr="00CD6D53">
        <w:rPr>
          <w:rFonts w:ascii="Verdana" w:eastAsia="Malgun Gothic" w:hAnsi="Verdana" w:cs="Arial"/>
          <w:sz w:val="18"/>
          <w:szCs w:val="18"/>
          <w:lang w:val="el-GR"/>
        </w:rPr>
        <w:t>(Πίνακας 2).</w:t>
      </w:r>
    </w:p>
    <w:p w14:paraId="5B59CF5D" w14:textId="77777777" w:rsidR="00DE6532" w:rsidRPr="00226E47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58B0914" w14:textId="77777777" w:rsidR="00DE6532" w:rsidRPr="00226E47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1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1497"/>
        <w:gridCol w:w="1577"/>
        <w:gridCol w:w="248"/>
        <w:gridCol w:w="1193"/>
        <w:gridCol w:w="1187"/>
        <w:gridCol w:w="1682"/>
      </w:tblGrid>
      <w:tr w:rsidR="00054BA7" w:rsidRPr="00054BA7" w14:paraId="65CBFA95" w14:textId="77777777" w:rsidTr="00881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5" w:type="dxa"/>
            <w:gridSpan w:val="6"/>
            <w:tcBorders>
              <w:bottom w:val="single" w:sz="4" w:space="0" w:color="366092"/>
            </w:tcBorders>
            <w:vAlign w:val="center"/>
          </w:tcPr>
          <w:p w14:paraId="49A0DFB7" w14:textId="77777777" w:rsidR="00DE6532" w:rsidRPr="00054BA7" w:rsidRDefault="00DE6532" w:rsidP="00BE35DB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bookmarkStart w:id="0" w:name="_Hlk211506093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bottom w:val="single" w:sz="4" w:space="0" w:color="366092"/>
            </w:tcBorders>
            <w:vAlign w:val="center"/>
          </w:tcPr>
          <w:p w14:paraId="3BB33A2F" w14:textId="77777777" w:rsidR="00DE6532" w:rsidRPr="00054BA7" w:rsidRDefault="00DE6532" w:rsidP="00881C10">
            <w:pPr>
              <w:tabs>
                <w:tab w:val="left" w:pos="1080"/>
                <w:tab w:val="left" w:pos="68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054BA7" w:rsidRPr="00054BA7" w14:paraId="23E70CAB" w14:textId="77777777" w:rsidTr="00054BA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Merge w:val="restart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D591A57" w14:textId="77777777" w:rsidR="00DE6532" w:rsidRPr="00054BA7" w:rsidRDefault="00DE6532" w:rsidP="00F601E4">
            <w:pPr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3E54713E" w14:textId="77777777" w:rsidR="00DE6532" w:rsidRPr="00054BA7" w:rsidRDefault="00DE6532" w:rsidP="00F601E4">
            <w:pPr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3074" w:type="dxa"/>
            <w:gridSpan w:val="2"/>
            <w:vAlign w:val="center"/>
          </w:tcPr>
          <w:p w14:paraId="4889381B" w14:textId="77777777" w:rsidR="00DE6532" w:rsidRPr="00054BA7" w:rsidRDefault="00DE6532" w:rsidP="00BE35D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 (2015=100)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533A42D1" w14:textId="77777777" w:rsidR="00DE6532" w:rsidRPr="00054BA7" w:rsidRDefault="00DE6532" w:rsidP="00881C10">
            <w:pPr>
              <w:tabs>
                <w:tab w:val="left" w:pos="1080"/>
                <w:tab w:val="left" w:pos="68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7D22320D" w14:textId="77777777" w:rsidR="00DE6532" w:rsidRPr="00054BA7" w:rsidRDefault="00DE6532" w:rsidP="00BE35DB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054BA7" w:rsidRPr="00054BA7" w14:paraId="13DFEC26" w14:textId="77777777" w:rsidTr="00E7793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Merge/>
            <w:tcBorders>
              <w:top w:val="single" w:sz="4" w:space="0" w:color="FFFFFF" w:themeColor="background1"/>
              <w:bottom w:val="single" w:sz="4" w:space="0" w:color="366092"/>
            </w:tcBorders>
            <w:vAlign w:val="center"/>
          </w:tcPr>
          <w:p w14:paraId="71DDBDFB" w14:textId="77777777" w:rsidR="00954A14" w:rsidRPr="00054BA7" w:rsidRDefault="00954A14" w:rsidP="00954A14">
            <w:pPr>
              <w:tabs>
                <w:tab w:val="left" w:pos="1080"/>
                <w:tab w:val="left" w:pos="6840"/>
              </w:tabs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712DFA57" w14:textId="77777777" w:rsidR="00954A14" w:rsidRPr="00054BA7" w:rsidRDefault="00954A14" w:rsidP="00954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Οκτώβριος</w:t>
            </w:r>
          </w:p>
          <w:p w14:paraId="1C7DCC2A" w14:textId="0BE9D79E" w:rsidR="00954A14" w:rsidRPr="00054BA7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57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210E1843" w14:textId="592747AE" w:rsidR="00954A14" w:rsidRPr="00054BA7" w:rsidRDefault="00954A14" w:rsidP="00954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Νοέμβριος</w:t>
            </w:r>
          </w:p>
          <w:p w14:paraId="34C5943D" w14:textId="77777777" w:rsidR="00954A14" w:rsidRPr="00054BA7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48" w:type="dxa"/>
            <w:tcBorders>
              <w:bottom w:val="single" w:sz="4" w:space="0" w:color="366092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AD4B018" w14:textId="77777777" w:rsidR="00954A14" w:rsidRPr="00054BA7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19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6C744A94" w14:textId="7EEE9DC0" w:rsidR="00954A14" w:rsidRPr="00054BA7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 25/ Νοε 24</w:t>
            </w:r>
          </w:p>
        </w:tc>
        <w:tc>
          <w:tcPr>
            <w:tcW w:w="118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45E0301" w14:textId="39B0FBB5" w:rsidR="00954A14" w:rsidRPr="00054BA7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 25/ Οκτ 2</w:t>
            </w: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2562DB4" w14:textId="10BAAF69" w:rsidR="00954A14" w:rsidRPr="00054BA7" w:rsidRDefault="00954A14" w:rsidP="00954A14">
            <w:pPr>
              <w:ind w:hanging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– Νοε 25/</w:t>
            </w:r>
          </w:p>
          <w:p w14:paraId="31F15F40" w14:textId="3673E002" w:rsidR="00954A14" w:rsidRPr="00054BA7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– Νοε 24</w:t>
            </w:r>
          </w:p>
        </w:tc>
      </w:tr>
      <w:tr w:rsidR="00054BA7" w:rsidRPr="00054BA7" w14:paraId="72616830" w14:textId="77777777" w:rsidTr="002C200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tcBorders>
              <w:top w:val="single" w:sz="4" w:space="0" w:color="366092"/>
            </w:tcBorders>
            <w:vAlign w:val="center"/>
          </w:tcPr>
          <w:p w14:paraId="107335BD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497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EE15586" w14:textId="42C6AB65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128,51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159AC28F" w14:textId="38191AD3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125,22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6D26A95C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7F3C1E36" w14:textId="0F210863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-1,6  </w:t>
            </w:r>
          </w:p>
        </w:tc>
        <w:tc>
          <w:tcPr>
            <w:tcW w:w="1187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5FFE1F" w14:textId="4717E48A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-2,6  </w:t>
            </w:r>
          </w:p>
        </w:tc>
        <w:tc>
          <w:tcPr>
            <w:tcW w:w="1682" w:type="dxa"/>
            <w:tcBorders>
              <w:top w:val="single" w:sz="4" w:space="0" w:color="366092"/>
            </w:tcBorders>
            <w:vAlign w:val="center"/>
          </w:tcPr>
          <w:p w14:paraId="3DA4B285" w14:textId="039404AC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0,5  </w:t>
            </w:r>
          </w:p>
        </w:tc>
      </w:tr>
      <w:tr w:rsidR="00054BA7" w:rsidRPr="00054BA7" w14:paraId="73B0BC91" w14:textId="77777777" w:rsidTr="002C200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1DE6EB68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Αλκοολούχα Ποτά</w:t>
            </w:r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br/>
              <w:t>και Καπνός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3EE1B2E6" w14:textId="4B2E3F3C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102,16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7398EB48" w14:textId="3FC2CE3F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102,76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4C871F2B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76C391C1" w14:textId="561C07AC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0,0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47BB90D9" w14:textId="3A475E3D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0,6  </w:t>
            </w:r>
          </w:p>
        </w:tc>
        <w:tc>
          <w:tcPr>
            <w:tcW w:w="1682" w:type="dxa"/>
            <w:vAlign w:val="center"/>
          </w:tcPr>
          <w:p w14:paraId="01B0B8DE" w14:textId="49413047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-0,2  </w:t>
            </w:r>
          </w:p>
        </w:tc>
      </w:tr>
      <w:tr w:rsidR="00054BA7" w:rsidRPr="00054BA7" w14:paraId="61711EEF" w14:textId="77777777" w:rsidTr="002C2008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5E3EEF0D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Ένδυση</w:t>
            </w:r>
            <w:proofErr w:type="spellEnd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 και Υπ</w:t>
            </w: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2F65B78A" w14:textId="5AA8E9B7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96,32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6C3EFF99" w14:textId="62AF3EF9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  97,22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47E081F3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0AE61A60" w14:textId="0DD6DAAE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-7,5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388E9936" w14:textId="5D4CBDB6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0,9  </w:t>
            </w:r>
          </w:p>
        </w:tc>
        <w:tc>
          <w:tcPr>
            <w:tcW w:w="1682" w:type="dxa"/>
            <w:vAlign w:val="center"/>
          </w:tcPr>
          <w:p w14:paraId="51987945" w14:textId="59C369B1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-6,2  </w:t>
            </w:r>
          </w:p>
        </w:tc>
      </w:tr>
      <w:tr w:rsidR="00054BA7" w:rsidRPr="00054BA7" w14:paraId="1A17E036" w14:textId="77777777" w:rsidTr="002C200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4BBCB2FB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Στέγαση, Ύδρευση, </w:t>
            </w:r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br/>
              <w:t>Ηλεκτρισμός και Υγραέριο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212B2033" w14:textId="304911DB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141,58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0E7F1647" w14:textId="67A67B55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141,41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C865BCA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097C1E7E" w14:textId="532008C5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-2,6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79AA6D89" w14:textId="24A0BE5A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-0,1  </w:t>
            </w:r>
          </w:p>
        </w:tc>
        <w:tc>
          <w:tcPr>
            <w:tcW w:w="1682" w:type="dxa"/>
            <w:vAlign w:val="center"/>
          </w:tcPr>
          <w:p w14:paraId="1A390F97" w14:textId="0C340DFB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-1,8  </w:t>
            </w:r>
          </w:p>
        </w:tc>
      </w:tr>
      <w:tr w:rsidR="00054BA7" w:rsidRPr="00054BA7" w14:paraId="1A87EDC8" w14:textId="77777777" w:rsidTr="002C200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21012E9E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Επίπλωση, Οικιακός Εξοπλισμός και Προϊόντα Καθαρισμού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45662350" w14:textId="47BC43DF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103,41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7A658B93" w14:textId="2A3764E5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102,95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24A88C9A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7126AFB5" w14:textId="201DFC04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-1,2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742FA2B2" w14:textId="46AA76B8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-0,4  </w:t>
            </w:r>
          </w:p>
        </w:tc>
        <w:tc>
          <w:tcPr>
            <w:tcW w:w="1682" w:type="dxa"/>
            <w:vAlign w:val="center"/>
          </w:tcPr>
          <w:p w14:paraId="62816EE3" w14:textId="589C2431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-0,8  </w:t>
            </w:r>
          </w:p>
        </w:tc>
      </w:tr>
      <w:tr w:rsidR="00054BA7" w:rsidRPr="00054BA7" w14:paraId="1D7E8FA6" w14:textId="77777777" w:rsidTr="002C200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6BB9DA09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Υγεί</w:t>
            </w:r>
            <w:proofErr w:type="spellEnd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53EE76F1" w14:textId="2547D849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108,10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7E55D623" w14:textId="289F5737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108,10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E04EDB5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5E200F4B" w14:textId="000CA836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1,0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0EF7A896" w14:textId="43F137C9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0,0  </w:t>
            </w:r>
          </w:p>
        </w:tc>
        <w:tc>
          <w:tcPr>
            <w:tcW w:w="1682" w:type="dxa"/>
            <w:vAlign w:val="center"/>
          </w:tcPr>
          <w:p w14:paraId="4E0B2B07" w14:textId="5206FDEF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1,4  </w:t>
            </w:r>
          </w:p>
        </w:tc>
      </w:tr>
      <w:tr w:rsidR="00054BA7" w:rsidRPr="00054BA7" w14:paraId="01F0515D" w14:textId="77777777" w:rsidTr="002C200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1B59A08F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Μετ</w:t>
            </w:r>
            <w:proofErr w:type="spellEnd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58714BD7" w14:textId="6E968364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109,84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0D77524C" w14:textId="0880D07E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109,39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59CE342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5EC736E9" w14:textId="1E8E80D6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-1,5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1B9283FB" w14:textId="52D3BD30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-0,4  </w:t>
            </w:r>
          </w:p>
        </w:tc>
        <w:tc>
          <w:tcPr>
            <w:tcW w:w="1682" w:type="dxa"/>
            <w:vAlign w:val="center"/>
          </w:tcPr>
          <w:p w14:paraId="5EDDE6E9" w14:textId="47C7251B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-1,3  </w:t>
            </w:r>
          </w:p>
        </w:tc>
      </w:tr>
      <w:tr w:rsidR="00054BA7" w:rsidRPr="00054BA7" w14:paraId="4A7A4CA0" w14:textId="77777777" w:rsidTr="002C200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7B6E12A8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Επ</w:t>
            </w: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48CEA7E0" w14:textId="48673EE2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88,57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3B0B1C0F" w14:textId="6CFA06BC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  88,09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4404391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206CDC88" w14:textId="35BE793B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-1,5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0B55127E" w14:textId="42F57F0B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-0,5  </w:t>
            </w:r>
          </w:p>
        </w:tc>
        <w:tc>
          <w:tcPr>
            <w:tcW w:w="1682" w:type="dxa"/>
            <w:vAlign w:val="center"/>
          </w:tcPr>
          <w:p w14:paraId="59B33161" w14:textId="268177ED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-2,1  </w:t>
            </w:r>
          </w:p>
        </w:tc>
      </w:tr>
      <w:tr w:rsidR="00054BA7" w:rsidRPr="00054BA7" w14:paraId="42A9E1FA" w14:textId="77777777" w:rsidTr="002C200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50DA6FAA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Αν</w:t>
            </w:r>
            <w:proofErr w:type="spellEnd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αψυχή και </w:t>
            </w: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Πολιτισμός</w:t>
            </w:r>
            <w:proofErr w:type="spellEnd"/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66FAA8EB" w14:textId="3C4ECD90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129,33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392F293F" w14:textId="43206036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129,17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614E229D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0D92BAE1" w14:textId="4B63494D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5,1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5117F50C" w14:textId="079319BA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-0,1  </w:t>
            </w:r>
          </w:p>
        </w:tc>
        <w:tc>
          <w:tcPr>
            <w:tcW w:w="1682" w:type="dxa"/>
            <w:vAlign w:val="center"/>
          </w:tcPr>
          <w:p w14:paraId="1F20A6C0" w14:textId="340729B6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6,3  </w:t>
            </w:r>
          </w:p>
        </w:tc>
      </w:tr>
      <w:tr w:rsidR="00054BA7" w:rsidRPr="00054BA7" w14:paraId="5DA075CD" w14:textId="77777777" w:rsidTr="002C200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0A4EFF94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Εκ</w:t>
            </w:r>
            <w:proofErr w:type="spellEnd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13AF7662" w14:textId="0B7A07DB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118,52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4D5D481F" w14:textId="242C803E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118,32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0EA4A1C9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5CDF4B4C" w14:textId="7A39949F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3,2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7D58940C" w14:textId="53A8988D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-0,2  </w:t>
            </w:r>
          </w:p>
        </w:tc>
        <w:tc>
          <w:tcPr>
            <w:tcW w:w="1682" w:type="dxa"/>
            <w:vAlign w:val="center"/>
          </w:tcPr>
          <w:p w14:paraId="4A3490B6" w14:textId="0FD96EA7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3,6  </w:t>
            </w:r>
          </w:p>
        </w:tc>
      </w:tr>
      <w:tr w:rsidR="00054BA7" w:rsidRPr="00054BA7" w14:paraId="7A492CA4" w14:textId="77777777" w:rsidTr="002C200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6FD41196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Εστι</w:t>
            </w:r>
            <w:proofErr w:type="spellEnd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ατόρια και </w:t>
            </w: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Ξενοδοχεί</w:t>
            </w:r>
            <w:proofErr w:type="spellEnd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35B398B6" w14:textId="0E0B298F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134,67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45F64347" w14:textId="1DB49192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130,92 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137FC75F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2810536A" w14:textId="6A194F83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4,5  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155CE36D" w14:textId="36D3DE55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-2,8  </w:t>
            </w:r>
          </w:p>
        </w:tc>
        <w:tc>
          <w:tcPr>
            <w:tcW w:w="1682" w:type="dxa"/>
            <w:vAlign w:val="center"/>
          </w:tcPr>
          <w:p w14:paraId="278D7EE0" w14:textId="5692EC10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5,2  </w:t>
            </w:r>
          </w:p>
        </w:tc>
      </w:tr>
      <w:tr w:rsidR="00054BA7" w:rsidRPr="00054BA7" w14:paraId="09AA2A02" w14:textId="77777777" w:rsidTr="00054BA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tcBorders>
              <w:bottom w:val="single" w:sz="4" w:space="0" w:color="366092"/>
            </w:tcBorders>
            <w:vAlign w:val="center"/>
          </w:tcPr>
          <w:p w14:paraId="6442848A" w14:textId="77777777" w:rsidR="002C2008" w:rsidRPr="00054BA7" w:rsidRDefault="002C2008" w:rsidP="002C2008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Άλλ</w:t>
            </w:r>
            <w:proofErr w:type="spellEnd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 </w:t>
            </w: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Αγ</w:t>
            </w:r>
            <w:proofErr w:type="spellEnd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αθά και Υπ</w:t>
            </w:r>
            <w:proofErr w:type="spellStart"/>
            <w:r w:rsidRPr="00054BA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497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6E390CD" w14:textId="632C2CDD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112,78</w:t>
            </w:r>
          </w:p>
        </w:tc>
        <w:tc>
          <w:tcPr>
            <w:tcW w:w="1577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4336ED2D" w14:textId="37E34FE0" w:rsidR="002C2008" w:rsidRPr="00054BA7" w:rsidRDefault="002C2008" w:rsidP="002C2008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112,75 </w:t>
            </w:r>
          </w:p>
        </w:tc>
        <w:tc>
          <w:tcPr>
            <w:tcW w:w="248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2D35B5FC" w14:textId="77777777" w:rsidR="002C2008" w:rsidRPr="00054BA7" w:rsidRDefault="002C2008" w:rsidP="002C2008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009347D6" w14:textId="0312F07C" w:rsidR="002C2008" w:rsidRPr="00054BA7" w:rsidRDefault="002C2008" w:rsidP="002C2008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0,5  </w:t>
            </w:r>
          </w:p>
        </w:tc>
        <w:tc>
          <w:tcPr>
            <w:tcW w:w="1187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2D379491" w14:textId="0D7652CA" w:rsidR="002C2008" w:rsidRPr="00054BA7" w:rsidRDefault="002C2008" w:rsidP="002C2008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0,0  </w:t>
            </w:r>
          </w:p>
        </w:tc>
        <w:tc>
          <w:tcPr>
            <w:tcW w:w="1682" w:type="dxa"/>
            <w:tcBorders>
              <w:bottom w:val="single" w:sz="4" w:space="0" w:color="366092"/>
            </w:tcBorders>
            <w:vAlign w:val="center"/>
          </w:tcPr>
          <w:p w14:paraId="484B3E84" w14:textId="7842E280" w:rsidR="002C2008" w:rsidRPr="00054BA7" w:rsidRDefault="002C2008" w:rsidP="002C2008">
            <w:pPr>
              <w:ind w:left="-135" w:right="51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0,4  </w:t>
            </w:r>
          </w:p>
        </w:tc>
      </w:tr>
      <w:tr w:rsidR="00054BA7" w:rsidRPr="00054BA7" w14:paraId="32706497" w14:textId="77777777" w:rsidTr="002C2008">
        <w:trPr>
          <w:cantSplit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601A34A3" w14:textId="2A774377" w:rsidR="002C2008" w:rsidRPr="00054BA7" w:rsidRDefault="002C2008" w:rsidP="002C2008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</w:t>
            </w:r>
            <w:proofErr w:type="spellStart"/>
            <w:r w:rsidRPr="00054BA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</w:p>
        </w:tc>
        <w:tc>
          <w:tcPr>
            <w:tcW w:w="149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8624DF8" w14:textId="1BC7E0E9" w:rsidR="002C2008" w:rsidRPr="00054BA7" w:rsidRDefault="002C2008" w:rsidP="002C2008">
            <w:pPr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</w:t>
            </w:r>
            <w:r w:rsidRPr="00054B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19,45</w:t>
            </w:r>
          </w:p>
        </w:tc>
        <w:tc>
          <w:tcPr>
            <w:tcW w:w="157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1E560D7F" w14:textId="56792151" w:rsidR="002C2008" w:rsidRPr="00054BA7" w:rsidRDefault="002C2008" w:rsidP="002C2008">
            <w:pPr>
              <w:ind w:right="206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118,18</w:t>
            </w:r>
          </w:p>
        </w:tc>
        <w:tc>
          <w:tcPr>
            <w:tcW w:w="248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665071EA" w14:textId="77777777" w:rsidR="002C2008" w:rsidRPr="00054BA7" w:rsidRDefault="002C2008" w:rsidP="002C20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372F015D" w14:textId="2648176B" w:rsidR="002C2008" w:rsidRPr="00054BA7" w:rsidRDefault="002C2008" w:rsidP="002C2008">
            <w:pPr>
              <w:ind w:right="191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0,1  </w:t>
            </w:r>
          </w:p>
        </w:tc>
        <w:tc>
          <w:tcPr>
            <w:tcW w:w="118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21542115" w14:textId="2971DE38" w:rsidR="002C2008" w:rsidRPr="00054BA7" w:rsidRDefault="002C2008" w:rsidP="002C2008">
            <w:pPr>
              <w:ind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-1,1  </w:t>
            </w:r>
          </w:p>
        </w:tc>
        <w:tc>
          <w:tcPr>
            <w:tcW w:w="1682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385E35E" w14:textId="5660CFD7" w:rsidR="002C2008" w:rsidRPr="00054BA7" w:rsidRDefault="002C2008" w:rsidP="002C2008">
            <w:pPr>
              <w:ind w:left="-135" w:right="516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0,9  </w:t>
            </w:r>
          </w:p>
        </w:tc>
      </w:tr>
      <w:bookmarkEnd w:id="0"/>
    </w:tbl>
    <w:p w14:paraId="605F788F" w14:textId="77777777" w:rsidR="00DE6532" w:rsidRPr="00DE6532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D5E4402" w14:textId="77777777" w:rsidR="00E74ACD" w:rsidRPr="002E590B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723" w:type="dxa"/>
        <w:tblLayout w:type="fixed"/>
        <w:tblLook w:val="04A0" w:firstRow="1" w:lastRow="0" w:firstColumn="1" w:lastColumn="0" w:noHBand="0" w:noVBand="1"/>
      </w:tblPr>
      <w:tblGrid>
        <w:gridCol w:w="3189"/>
        <w:gridCol w:w="2036"/>
        <w:gridCol w:w="2287"/>
        <w:gridCol w:w="2211"/>
      </w:tblGrid>
      <w:tr w:rsidR="00054BA7" w:rsidRPr="00054BA7" w14:paraId="09088547" w14:textId="77777777" w:rsidTr="004D40D3">
        <w:trPr>
          <w:trHeight w:val="291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2CBBCFB" w14:textId="77777777" w:rsidR="004D40D3" w:rsidRPr="00054BA7" w:rsidRDefault="004D40D3" w:rsidP="00FA5F4A">
            <w:pPr>
              <w:ind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37FD3C8B" w14:textId="77777777" w:rsidR="00AF5CC6" w:rsidRPr="00054BA7" w:rsidRDefault="00AF5CC6" w:rsidP="00FA5F4A">
            <w:pPr>
              <w:ind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054BA7" w:rsidRPr="00054BA7" w14:paraId="36F39CC8" w14:textId="77777777" w:rsidTr="004D40D3">
        <w:trPr>
          <w:trHeight w:val="302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054BA7" w:rsidRDefault="00AF5CC6" w:rsidP="00FA5F4A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Pr="00054BA7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054BA7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3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77777777" w:rsidR="00AF5CC6" w:rsidRPr="00054BA7" w:rsidRDefault="00AF5CC6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054BA7" w:rsidRPr="00054BA7" w14:paraId="1F92CDFF" w14:textId="77777777" w:rsidTr="00E06BC8">
        <w:trPr>
          <w:trHeight w:val="518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F6058E" w:rsidRPr="00054BA7" w:rsidRDefault="00F6058E" w:rsidP="00F6058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F6058E" w:rsidRPr="00054BA7" w:rsidRDefault="00F6058E" w:rsidP="00F6058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A7952FF" w14:textId="30F4B971" w:rsidR="00F6058E" w:rsidRPr="00054BA7" w:rsidRDefault="006949B0" w:rsidP="00E06BC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F6058E"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F6058E"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137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8BCE1" w14:textId="6B904C07" w:rsidR="00F6058E" w:rsidRPr="00054BA7" w:rsidRDefault="006949B0" w:rsidP="00E06BC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F6058E"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F6058E"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6058E"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054BA7" w:rsidRPr="00054BA7" w14:paraId="4E8D6A7B" w14:textId="77777777" w:rsidTr="006949B0">
        <w:trPr>
          <w:trHeight w:val="378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A6E2987" w:rsidR="006949B0" w:rsidRPr="00054BA7" w:rsidRDefault="006949B0" w:rsidP="006949B0">
            <w:pPr>
              <w:ind w:right="57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</w:t>
            </w: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</w:t>
            </w: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ΤΚ</w:t>
            </w:r>
            <w:r w:rsidRPr="00054B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77D0DBE3" w:rsidR="006949B0" w:rsidRPr="00054BA7" w:rsidRDefault="006949B0" w:rsidP="006949B0">
            <w:pPr>
              <w:ind w:right="615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6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</w:tcPr>
          <w:p w14:paraId="14220551" w14:textId="6C130F8E" w:rsidR="006949B0" w:rsidRPr="00054BA7" w:rsidRDefault="006949B0" w:rsidP="006949B0">
            <w:pPr>
              <w:ind w:right="77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1D7A37" w:rsidRPr="00054BA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137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832C3C6" w14:textId="266D002B" w:rsidR="006949B0" w:rsidRPr="00054BA7" w:rsidRDefault="006949B0" w:rsidP="006949B0">
            <w:pPr>
              <w:ind w:right="77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-1</w:t>
            </w:r>
            <w:r w:rsidR="001D7A37" w:rsidRPr="00054BA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054BA7" w:rsidRPr="00054BA7" w14:paraId="479D0600" w14:textId="77777777" w:rsidTr="006949B0">
        <w:trPr>
          <w:trHeight w:val="359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6949B0" w:rsidRPr="00054BA7" w:rsidRDefault="006949B0" w:rsidP="006949B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1B0E5866" w:rsidR="006949B0" w:rsidRPr="00054BA7" w:rsidRDefault="006949B0" w:rsidP="006949B0">
            <w:pPr>
              <w:tabs>
                <w:tab w:val="left" w:pos="2001"/>
              </w:tabs>
              <w:ind w:right="615" w:hanging="76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96,25</w:t>
            </w:r>
          </w:p>
        </w:tc>
        <w:tc>
          <w:tcPr>
            <w:tcW w:w="117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72E05F26" w:rsidR="006949B0" w:rsidRPr="00054BA7" w:rsidRDefault="006949B0" w:rsidP="006949B0">
            <w:pPr>
              <w:ind w:right="77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-4</w:t>
            </w:r>
            <w:r w:rsidR="001D7A37"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6EA5D583" w:rsidR="006949B0" w:rsidRPr="00054BA7" w:rsidRDefault="006949B0" w:rsidP="006949B0">
            <w:pPr>
              <w:ind w:right="779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-0</w:t>
            </w:r>
            <w:r w:rsidR="001D7A37"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054BA7" w:rsidRPr="00054BA7" w14:paraId="675AD979" w14:textId="77777777" w:rsidTr="006949B0">
        <w:trPr>
          <w:trHeight w:val="544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77777777" w:rsidR="006949B0" w:rsidRPr="00054BA7" w:rsidRDefault="006949B0" w:rsidP="006949B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Τρόφιμ</w:t>
            </w:r>
            <w:proofErr w:type="spellEnd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α-Αλκοολούχα </w:t>
            </w:r>
            <w:proofErr w:type="spellStart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Ποτά</w:t>
            </w:r>
            <w:proofErr w:type="spellEnd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-Καπ</w:t>
            </w:r>
            <w:proofErr w:type="spellStart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1061EF5D" w:rsidR="006949B0" w:rsidRPr="00054BA7" w:rsidRDefault="006949B0" w:rsidP="006949B0">
            <w:pPr>
              <w:tabs>
                <w:tab w:val="left" w:pos="2001"/>
              </w:tabs>
              <w:ind w:right="615" w:hanging="76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223,95</w:t>
            </w:r>
          </w:p>
        </w:tc>
        <w:tc>
          <w:tcPr>
            <w:tcW w:w="117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03AF421F" w:rsidR="006949B0" w:rsidRPr="00054BA7" w:rsidRDefault="006949B0" w:rsidP="006949B0">
            <w:pPr>
              <w:ind w:right="77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-1</w:t>
            </w:r>
            <w:r w:rsidR="001D7A37"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081A8283" w:rsidR="006949B0" w:rsidRPr="00054BA7" w:rsidRDefault="006949B0" w:rsidP="006949B0">
            <w:pPr>
              <w:ind w:right="779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-1</w:t>
            </w:r>
            <w:r w:rsidR="001D7A37"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</w:t>
            </w:r>
          </w:p>
        </w:tc>
      </w:tr>
      <w:tr w:rsidR="00054BA7" w:rsidRPr="00054BA7" w14:paraId="1C369CAC" w14:textId="77777777" w:rsidTr="00054BA7">
        <w:trPr>
          <w:trHeight w:val="359"/>
        </w:trPr>
        <w:tc>
          <w:tcPr>
            <w:tcW w:w="1640" w:type="pct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2355D7FE" w14:textId="60B2E864" w:rsidR="006949B0" w:rsidRPr="00054BA7" w:rsidRDefault="006949B0" w:rsidP="006949B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1" w:name="_Hlk159486445"/>
            <w:proofErr w:type="spellStart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Μη</w:t>
            </w:r>
            <w:proofErr w:type="spellEnd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</w:t>
            </w:r>
            <w:proofErr w:type="spellStart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νεργει</w:t>
            </w:r>
            <w:proofErr w:type="spellEnd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ακά </w:t>
            </w:r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Β</w:t>
            </w:r>
            <w:proofErr w:type="spellStart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ιομηχ</w:t>
            </w:r>
            <w:proofErr w:type="spellEnd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ροϊόντ</w:t>
            </w:r>
            <w:proofErr w:type="spellEnd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  <w:bookmarkEnd w:id="1"/>
          </w:p>
        </w:tc>
        <w:tc>
          <w:tcPr>
            <w:tcW w:w="1047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2F4BE75E" w14:textId="18288001" w:rsidR="006949B0" w:rsidRPr="00054BA7" w:rsidRDefault="006949B0" w:rsidP="006949B0">
            <w:pPr>
              <w:tabs>
                <w:tab w:val="left" w:pos="2001"/>
              </w:tabs>
              <w:ind w:right="615" w:hanging="76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229,71</w:t>
            </w:r>
          </w:p>
        </w:tc>
        <w:tc>
          <w:tcPr>
            <w:tcW w:w="1176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DF7CE8E" w14:textId="2DC66167" w:rsidR="006949B0" w:rsidRPr="00054BA7" w:rsidRDefault="006949B0" w:rsidP="006949B0">
            <w:pPr>
              <w:ind w:right="77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-3</w:t>
            </w:r>
            <w:r w:rsidR="001D7A37"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137" w:type="pct"/>
            <w:tcBorders>
              <w:top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6B16F4B8" w:rsidR="006949B0" w:rsidRPr="00054BA7" w:rsidRDefault="006949B0" w:rsidP="006949B0">
            <w:pPr>
              <w:ind w:right="779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  <w:r w:rsidR="001D7A37"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054BA7" w:rsidRPr="00054BA7" w14:paraId="365CC113" w14:textId="77777777" w:rsidTr="006949B0">
        <w:trPr>
          <w:trHeight w:val="359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77777777" w:rsidR="006949B0" w:rsidRPr="00054BA7" w:rsidRDefault="006949B0" w:rsidP="006949B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2" w:name="_Hlk169517282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054B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64C36933" w:rsidR="006949B0" w:rsidRPr="00054BA7" w:rsidRDefault="006949B0" w:rsidP="006949B0">
            <w:pPr>
              <w:tabs>
                <w:tab w:val="left" w:pos="2001"/>
              </w:tabs>
              <w:ind w:right="615" w:hanging="76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450,09</w:t>
            </w:r>
          </w:p>
        </w:tc>
        <w:tc>
          <w:tcPr>
            <w:tcW w:w="117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0CFF1034" w:rsidR="006949B0" w:rsidRPr="00054BA7" w:rsidRDefault="006949B0" w:rsidP="006949B0">
            <w:pPr>
              <w:ind w:right="77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3</w:t>
            </w:r>
            <w:r w:rsidR="001D7A37"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37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6EEFA258" w:rsidR="006949B0" w:rsidRPr="00054BA7" w:rsidRDefault="006949B0" w:rsidP="006949B0">
            <w:pPr>
              <w:ind w:right="779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-1</w:t>
            </w:r>
            <w:r w:rsidR="001D7A37"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054B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3</w:t>
            </w:r>
          </w:p>
        </w:tc>
      </w:tr>
    </w:tbl>
    <w:bookmarkEnd w:id="2"/>
    <w:p w14:paraId="1F67D66A" w14:textId="5D4E7DD9" w:rsidR="007F5FBB" w:rsidRPr="00054BA7" w:rsidRDefault="00AF5CC6" w:rsidP="007F5FBB">
      <w:pPr>
        <w:tabs>
          <w:tab w:val="left" w:pos="1080"/>
          <w:tab w:val="left" w:pos="6840"/>
        </w:tabs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</w:pPr>
      <w:r w:rsidRPr="00054BA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Σημείωση: Οι επιμέρους συντελεστές στάθμισης υπολογίζονται με άπειρ</w:t>
      </w:r>
      <w:r w:rsidR="002941E0" w:rsidRPr="00054BA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α δεκαδικά και δημοσιεύονται με </w:t>
      </w:r>
      <w:r w:rsidRPr="00054BA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στρογγυλοποίηση δυο δεκαδικών</w:t>
      </w:r>
      <w:r w:rsidR="00554F84" w:rsidRPr="00054BA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.</w:t>
      </w:r>
      <w:r w:rsidRPr="00054BA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 Η διαφορά στο άθροισμα είναι λόγω σφάλματος στρογγυλοποίησης</w:t>
      </w:r>
      <w:r w:rsidR="00554F84" w:rsidRPr="00054BA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.</w:t>
      </w:r>
    </w:p>
    <w:p w14:paraId="6D996092" w14:textId="77777777" w:rsidR="00E95616" w:rsidRPr="003204B7" w:rsidRDefault="00E95616" w:rsidP="007F5FBB">
      <w:pPr>
        <w:tabs>
          <w:tab w:val="left" w:pos="1080"/>
          <w:tab w:val="left" w:pos="6840"/>
        </w:tabs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01AA67E" w14:textId="1EFE8A85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09720785" w14:textId="77777777" w:rsidR="00AF5CC6" w:rsidRPr="00780A62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76972153" w14:textId="77777777" w:rsidR="00AF5CC6" w:rsidRPr="00D353D1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C32462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08F84E11" w14:textId="1741F2C5" w:rsidR="00AF5CC6" w:rsidRPr="003D334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ΕνΔΤΚ υπολογίζεται σύμφωνα με μια εναρμονισμένη προσέγγιση και μεθοδολογία όπως καθορίστηκαν από την Ε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D96CCC" w:rsidRPr="00D96CCC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ανονισμών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38D7A46A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16495587" w:rsidR="00AF5CC6" w:rsidRPr="00E44FF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 σε σχέση με τον αντίστοιχο μήνα του προηγούμενου έτους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675DD474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34420219" w:rsidR="00AF5CC6" w:rsidRPr="001922DC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ό τον Ιανουάριο του 2018,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 αναθεωρήθηκαν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της Έρευνας Οικογενειακών Προϋπολογισμών 2015/2016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Περισσότερες πληροφορίες είναι διαθέσιμες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ιστότοπο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40BA12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D3348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05E0EF4" w14:textId="77777777" w:rsidR="00AF5CC6" w:rsidRPr="0092261A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20B292F6" w:rsidR="00AF5CC6" w:rsidRPr="003D334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ακόλουθες: Λευκωσία 42%, Λεμεσός 30%, Λάρνακα 18% και Πάφος 10%</w:t>
      </w:r>
      <w:r w:rsidR="009077A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62D1C8B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02D3F191" w:rsidR="00AF5CC6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805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3F3690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3F369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</w:t>
      </w:r>
      <w:r w:rsidR="003F369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F4F8D31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5C4F74E6" w:rsidR="00AF5CC6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ΕνΔΤΚ υπολογίζονται βάσει των καταναλωτικών δαπανών (των νοικοκυριών και τουριστών), που πραγματοποιούνται στην οικονομική επικράτεια της χώρας</w:t>
      </w:r>
      <w:r w:rsidR="00BF3096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</w:t>
      </w:r>
      <w:r w:rsidR="00D96CCC">
        <w:rPr>
          <w:rFonts w:ascii="Verdana" w:eastAsia="Malgun Gothic" w:hAnsi="Verdana" w:cs="Arial"/>
          <w:sz w:val="18"/>
          <w:szCs w:val="18"/>
          <w:lang w:val="el-GR"/>
        </w:rPr>
        <w:t>ει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96CCC">
        <w:rPr>
          <w:rFonts w:ascii="Verdana" w:eastAsia="Malgun Gothic" w:hAnsi="Verdana" w:cs="Arial"/>
          <w:sz w:val="18"/>
          <w:szCs w:val="18"/>
          <w:lang w:val="el-GR"/>
        </w:rPr>
        <w:t>Κ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="00BF309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2EA5216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0005700" w14:textId="77777777" w:rsidR="00AF5CC6" w:rsidRPr="0080014B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 w:rsidRPr="0080014B">
        <w:rPr>
          <w:rFonts w:ascii="Verdana" w:eastAsia="Malgun Gothic" w:hAnsi="Verdana" w:cs="Arial"/>
          <w:sz w:val="18"/>
          <w:szCs w:val="18"/>
        </w:rPr>
        <w:t xml:space="preserve">Έτος </w:t>
      </w:r>
      <w:r w:rsidR="00634639">
        <w:rPr>
          <w:rFonts w:ascii="Verdana" w:eastAsia="Malgun Gothic" w:hAnsi="Verdana" w:cs="Arial"/>
          <w:sz w:val="18"/>
          <w:szCs w:val="18"/>
        </w:rPr>
        <w:t>Β</w:t>
      </w:r>
      <w:r w:rsidRPr="0080014B">
        <w:rPr>
          <w:rFonts w:ascii="Verdana" w:eastAsia="Malgun Gothic" w:hAnsi="Verdana" w:cs="Arial"/>
          <w:sz w:val="18"/>
          <w:szCs w:val="18"/>
        </w:rPr>
        <w:t>άσης</w:t>
      </w:r>
    </w:p>
    <w:p w14:paraId="78164CE6" w14:textId="77777777" w:rsidR="00AF5CC6" w:rsidRPr="0092261A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0A9112B6" w14:textId="5A16B45C" w:rsidR="00AF5CC6" w:rsidRPr="00E44FF8" w:rsidRDefault="00AF5CC6" w:rsidP="00336AA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2006 μέχρι το Δεκέμβριο του 2015 ήταν το 2005=100</w:t>
      </w:r>
      <w:r w:rsidR="00BF309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2016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και μετέπειτα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έτος αναφοράς είναι το 2015=100</w:t>
      </w:r>
      <w:r w:rsidR="007D7B4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A878D08" w14:textId="77777777" w:rsidR="00AF5CC6" w:rsidRPr="00C32462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i/>
          <w:sz w:val="12"/>
          <w:szCs w:val="12"/>
          <w:u w:val="none"/>
        </w:rPr>
      </w:pPr>
    </w:p>
    <w:p w14:paraId="3D3A5F99" w14:textId="77777777" w:rsidR="00AF5CC6" w:rsidRPr="0080014B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Ταξινόμηση</w:t>
      </w:r>
      <w:r w:rsidRPr="0080014B">
        <w:rPr>
          <w:rFonts w:ascii="Verdana" w:eastAsia="Malgun Gothic" w:hAnsi="Verdana" w:cs="Arial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03723572" w14:textId="77777777" w:rsidR="00AF5CC6" w:rsidRPr="0092261A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F79071E" w14:textId="6F4476D1" w:rsidR="00AF5CC6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Μέχρι το Δεκέμβριο του 2015, ο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Εν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>ΔΤΚ υπ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ολογιζόταν και δημοσιευόταν βάσει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της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ταξινόμησης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COICOP</w:t>
      </w:r>
      <w:r w:rsidR="00D96CCC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4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μέχρι τα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τέσσερα ψηφία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ανάλυσης</w:t>
      </w:r>
      <w:r w:rsidR="00A43D95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Από τον Ιανουάριο του 2016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και μετέπειτα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, ο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Εν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>ΔΤΚ υπ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ολογίζεται και δημοσιεύεται βάσει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της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ταξινόμησης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ECOICOP ακολουθώντας σχετικό κανονισμό της </w:t>
      </w:r>
      <w:r w:rsidR="007D7083" w:rsidRPr="007D7083">
        <w:rPr>
          <w:rFonts w:ascii="Verdana" w:eastAsia="Malgun Gothic" w:hAnsi="Verdana" w:cs="Arial"/>
          <w:b w:val="0"/>
          <w:sz w:val="18"/>
          <w:szCs w:val="18"/>
          <w:u w:val="none"/>
        </w:rPr>
        <w:t>Ευρωπαϊκής Ένωσης</w:t>
      </w:r>
      <w:r w:rsidR="007D7B40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Ως εκ τούτου, το χαμηλότερο επίπεδο λεπτομέρειας για την ταξινόμηση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ECOICOP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που χρησιμοποιείται</w:t>
      </w:r>
      <w:r w:rsidR="00B446E0" w:rsidRP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>στον ΕνΔΤΚ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είναι τα πέντε ψηφία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ανάλυσης</w:t>
      </w:r>
      <w:r w:rsidR="007D7B40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</w:p>
    <w:p w14:paraId="7BD5262B" w14:textId="77777777" w:rsidR="00D96CCC" w:rsidRPr="00D96CCC" w:rsidRDefault="00D96CCC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2"/>
          <w:szCs w:val="12"/>
          <w:u w:val="none"/>
        </w:rPr>
      </w:pPr>
    </w:p>
    <w:p w14:paraId="7112E648" w14:textId="1BFC5BF5" w:rsidR="00AF5CC6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Από τον Φ</w:t>
      </w:r>
      <w:r w:rsidRPr="008430B2">
        <w:rPr>
          <w:rFonts w:ascii="Verdana" w:eastAsia="Malgun Gothic" w:hAnsi="Verdana" w:cs="Arial"/>
          <w:sz w:val="18"/>
          <w:szCs w:val="18"/>
          <w:lang w:val="el-GR"/>
        </w:rPr>
        <w:t>εβρου</w:t>
      </w:r>
      <w:r>
        <w:rPr>
          <w:rFonts w:ascii="Verdana" w:eastAsia="Malgun Gothic" w:hAnsi="Verdana" w:cs="Arial"/>
          <w:sz w:val="18"/>
          <w:szCs w:val="18"/>
          <w:lang w:val="el-GR"/>
        </w:rPr>
        <w:t>άριο</w:t>
      </w:r>
      <w:r w:rsidRPr="008430B2">
        <w:rPr>
          <w:rFonts w:ascii="Verdana" w:eastAsia="Malgun Gothic" w:hAnsi="Verdana" w:cs="Arial"/>
          <w:sz w:val="18"/>
          <w:szCs w:val="18"/>
          <w:lang w:val="el-GR"/>
        </w:rPr>
        <w:t xml:space="preserve"> 2019, η Στατιστική Υπηρεσία Κύπρου δημοσιεύει τις οικονομικές κατηγορίες του ΕνΔΤΚ όπως υπολογίστηκαν από πιο λεπτομερή δεδομένα</w:t>
      </w:r>
      <w:r w:rsidR="00005E6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5028F58D" w14:textId="77777777" w:rsidR="00AF5CC6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32BF94E0" w14:textId="77777777" w:rsidR="00B16700" w:rsidRPr="000C5F2F" w:rsidRDefault="00B16700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3E68E3B0" w14:textId="35D996EC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6FCDD8A" w14:textId="77777777" w:rsidR="00B536D6" w:rsidRPr="00B536D6" w:rsidRDefault="00B536D6" w:rsidP="00B536D6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begin"/>
      </w:r>
      <w:r>
        <w:rPr>
          <w:rFonts w:ascii="Verdana" w:hAnsi="Verdana"/>
          <w:sz w:val="18"/>
          <w:szCs w:val="18"/>
          <w:lang w:val="el-GR"/>
        </w:rPr>
        <w:instrText xml:space="preserve"> HYPERLINK "https://www.cystat.gov.cy/el/MethodologicalDetails?m=2091" \o "Μεθοδολογικές Πληροφορίες" </w:instrText>
      </w:r>
      <w:r>
        <w:rPr>
          <w:rFonts w:ascii="Verdana" w:hAnsi="Verdana"/>
          <w:sz w:val="18"/>
          <w:szCs w:val="18"/>
          <w:lang w:val="el-GR"/>
        </w:rPr>
      </w:r>
      <w:r>
        <w:rPr>
          <w:rFonts w:ascii="Verdana" w:hAnsi="Verdana"/>
          <w:sz w:val="18"/>
          <w:szCs w:val="18"/>
          <w:lang w:val="el-GR"/>
        </w:rPr>
        <w:fldChar w:fldCharType="separate"/>
      </w:r>
      <w:r w:rsidRPr="00B536D6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551AF9C2" w14:textId="06EC6F8E" w:rsidR="00CB58F4" w:rsidRPr="001A7865" w:rsidRDefault="00B536D6" w:rsidP="00CB58F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end"/>
      </w:r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11AA792C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3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054BA7" w:rsidRPr="00054BA7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:+357</w:t>
      </w:r>
      <w:r w:rsidR="00054BA7" w:rsidRPr="00054BA7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1" w:history="1"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486488A4" w14:textId="53F73AFD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054BA7" w:rsidRPr="00054BA7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:+357</w:t>
      </w:r>
      <w:r w:rsidR="00054BA7" w:rsidRPr="00054BA7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9E151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2" w:history="1"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0529C785" w14:textId="4E9EE9FB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054BA7" w:rsidRPr="00054BA7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:+357</w:t>
      </w:r>
      <w:r w:rsidR="00054BA7" w:rsidRPr="00054BA7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3"/>
    </w:p>
    <w:sectPr w:rsidR="001712CF" w:rsidRPr="00AF2BC9" w:rsidSect="00A84A02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96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34E9" w14:textId="77777777" w:rsidR="00400F84" w:rsidRDefault="00400F84" w:rsidP="00FB398F">
      <w:r>
        <w:separator/>
      </w:r>
    </w:p>
  </w:endnote>
  <w:endnote w:type="continuationSeparator" w:id="0">
    <w:p w14:paraId="3369CD0A" w14:textId="77777777" w:rsidR="00400F84" w:rsidRDefault="00400F8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2941E0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F96" w14:textId="77777777" w:rsidR="004E4F42" w:rsidRPr="00B56811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B56811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B56811">
      <w:rPr>
        <w:rFonts w:ascii="Verdana" w:hAnsi="Verdana" w:cs="Arial"/>
        <w:sz w:val="16"/>
        <w:szCs w:val="16"/>
        <w:lang w:val="el-GR"/>
      </w:rPr>
      <w:t>ήλ</w:t>
    </w:r>
    <w:r w:rsidRPr="00B56811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B56811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B56811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16E06551" w14:textId="5DE88F98" w:rsidR="004E4F42" w:rsidRPr="00B56811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B56811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B56811">
      <w:rPr>
        <w:rFonts w:ascii="Verdana" w:hAnsi="Verdana" w:cs="Arial"/>
        <w:sz w:val="16"/>
        <w:szCs w:val="16"/>
        <w:lang w:val="el-GR"/>
      </w:rPr>
      <w:t>.: 22 602129,</w:t>
    </w:r>
    <w:r w:rsidRPr="00B56811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B56811" w:rsidRPr="00B56811">
      <w:rPr>
        <w:rFonts w:ascii="Verdana" w:hAnsi="Verdana" w:cs="Arial"/>
        <w:sz w:val="16"/>
        <w:szCs w:val="16"/>
        <w:lang w:val="de-DE"/>
      </w:rPr>
      <w:t>Ηλ</w:t>
    </w:r>
    <w:proofErr w:type="spellEnd"/>
    <w:r w:rsidR="00B56811" w:rsidRPr="00B56811">
      <w:rPr>
        <w:rFonts w:ascii="Verdana" w:hAnsi="Verdana" w:cs="Arial"/>
        <w:sz w:val="16"/>
        <w:szCs w:val="16"/>
        <w:lang w:val="de-DE"/>
      </w:rPr>
      <w:t>. Ταχ.</w:t>
    </w:r>
    <w:r w:rsidRPr="00B56811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B56811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B56811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0F66B5E1" w:rsidR="004E4F42" w:rsidRPr="00B56811" w:rsidRDefault="00B56811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B56811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B56811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B56811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B56811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B56811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8CDD" w14:textId="77777777" w:rsidR="00400F84" w:rsidRDefault="00400F84" w:rsidP="00FB398F">
      <w:r>
        <w:separator/>
      </w:r>
    </w:p>
  </w:footnote>
  <w:footnote w:type="continuationSeparator" w:id="0">
    <w:p w14:paraId="1A0F8DD9" w14:textId="77777777" w:rsidR="00400F84" w:rsidRDefault="00400F8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C038" w14:textId="2D3064E5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48BEF19C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D10AA" id="Text Box 2" o:spid="_x0000_s1027" type="#_x0000_t202" style="position:absolute;left:0;text-align:left;margin-left:270.8pt;margin-top:-17.45pt;width:115.65pt;height:9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349B66AE" w:rsidR="004E4F42" w:rsidRDefault="00336AA4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3120" behindDoc="0" locked="0" layoutInCell="1" allowOverlap="1" wp14:anchorId="6FF80C91" wp14:editId="3C2B24DC">
          <wp:simplePos x="0" y="0"/>
          <wp:positionH relativeFrom="column">
            <wp:posOffset>523875</wp:posOffset>
          </wp:positionH>
          <wp:positionV relativeFrom="paragraph">
            <wp:posOffset>19685</wp:posOffset>
          </wp:positionV>
          <wp:extent cx="676275" cy="676275"/>
          <wp:effectExtent l="0" t="0" r="9525" b="9525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F42"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8A2E9" wp14:editId="40765503">
              <wp:simplePos x="0" y="0"/>
              <wp:positionH relativeFrom="column">
                <wp:posOffset>4051935</wp:posOffset>
              </wp:positionH>
              <wp:positionV relativeFrom="paragraph">
                <wp:posOffset>102870</wp:posOffset>
              </wp:positionV>
              <wp:extent cx="1933575" cy="438150"/>
              <wp:effectExtent l="0" t="0" r="9525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B56811" w:rsidRDefault="004E4F42" w:rsidP="00B5681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5681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B5681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B56811" w:rsidRDefault="004E4F42" w:rsidP="00B5681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5681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8A2E9" id="Text Box 1" o:spid="_x0000_s1028" type="#_x0000_t202" style="position:absolute;margin-left:319.05pt;margin-top:8.1pt;width:152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" stroked="f">
              <v:textbox>
                <w:txbxContent>
                  <w:p w14:paraId="0BDC090A" w14:textId="77777777" w:rsidR="004E4F42" w:rsidRPr="00B56811" w:rsidRDefault="004E4F42" w:rsidP="00B5681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5681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B5681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B56811" w:rsidRDefault="004E4F42" w:rsidP="00B5681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5681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7886D05A" w:rsidR="004E4F42" w:rsidRPr="00B5681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B56811">
      <w:rPr>
        <w:rFonts w:ascii="Verdana" w:hAnsi="Verdana" w:cs="Arial"/>
        <w:bCs/>
        <w:sz w:val="20"/>
        <w:szCs w:val="20"/>
      </w:rPr>
      <w:t>ΚΥΠΡΙΑΚΗ ΔΗΜΟΚΡΑΤΙΑ</w:t>
    </w:r>
    <w:r w:rsidRPr="00B56811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56811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238037">
    <w:abstractNumId w:val="4"/>
  </w:num>
  <w:num w:numId="2" w16cid:durableId="1891531984">
    <w:abstractNumId w:val="1"/>
  </w:num>
  <w:num w:numId="3" w16cid:durableId="1267225415">
    <w:abstractNumId w:val="2"/>
  </w:num>
  <w:num w:numId="4" w16cid:durableId="991639242">
    <w:abstractNumId w:val="3"/>
  </w:num>
  <w:num w:numId="5" w16cid:durableId="1550070010">
    <w:abstractNumId w:val="0"/>
  </w:num>
  <w:num w:numId="6" w16cid:durableId="205811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B58"/>
    <w:rsid w:val="00002458"/>
    <w:rsid w:val="000039A3"/>
    <w:rsid w:val="0000542E"/>
    <w:rsid w:val="00005E6B"/>
    <w:rsid w:val="00007254"/>
    <w:rsid w:val="00013E40"/>
    <w:rsid w:val="000161B1"/>
    <w:rsid w:val="00017419"/>
    <w:rsid w:val="0002032F"/>
    <w:rsid w:val="000241BB"/>
    <w:rsid w:val="00025A39"/>
    <w:rsid w:val="00027853"/>
    <w:rsid w:val="00027D7D"/>
    <w:rsid w:val="00030E18"/>
    <w:rsid w:val="00031D32"/>
    <w:rsid w:val="0003603D"/>
    <w:rsid w:val="00043B1E"/>
    <w:rsid w:val="00045088"/>
    <w:rsid w:val="00045A06"/>
    <w:rsid w:val="00047520"/>
    <w:rsid w:val="00050391"/>
    <w:rsid w:val="00051C7D"/>
    <w:rsid w:val="00054BA7"/>
    <w:rsid w:val="00054D3C"/>
    <w:rsid w:val="00055291"/>
    <w:rsid w:val="00055734"/>
    <w:rsid w:val="0005631A"/>
    <w:rsid w:val="000563D3"/>
    <w:rsid w:val="00057B87"/>
    <w:rsid w:val="00057E44"/>
    <w:rsid w:val="00061299"/>
    <w:rsid w:val="00070576"/>
    <w:rsid w:val="000723AD"/>
    <w:rsid w:val="00074798"/>
    <w:rsid w:val="000752BB"/>
    <w:rsid w:val="00075438"/>
    <w:rsid w:val="0007663E"/>
    <w:rsid w:val="00077984"/>
    <w:rsid w:val="00081ADF"/>
    <w:rsid w:val="0008217A"/>
    <w:rsid w:val="00084A02"/>
    <w:rsid w:val="00084BF7"/>
    <w:rsid w:val="0008561E"/>
    <w:rsid w:val="000870E9"/>
    <w:rsid w:val="00090717"/>
    <w:rsid w:val="000916C7"/>
    <w:rsid w:val="000932CF"/>
    <w:rsid w:val="00096ED8"/>
    <w:rsid w:val="0009792D"/>
    <w:rsid w:val="000A1A88"/>
    <w:rsid w:val="000A25E9"/>
    <w:rsid w:val="000A2B5C"/>
    <w:rsid w:val="000A3601"/>
    <w:rsid w:val="000A47D3"/>
    <w:rsid w:val="000A615B"/>
    <w:rsid w:val="000A6FA8"/>
    <w:rsid w:val="000A77D5"/>
    <w:rsid w:val="000B37AC"/>
    <w:rsid w:val="000B74A3"/>
    <w:rsid w:val="000C1070"/>
    <w:rsid w:val="000C4E72"/>
    <w:rsid w:val="000C5F2F"/>
    <w:rsid w:val="000C73E0"/>
    <w:rsid w:val="000D1E7A"/>
    <w:rsid w:val="000D3065"/>
    <w:rsid w:val="000D314F"/>
    <w:rsid w:val="000D33FB"/>
    <w:rsid w:val="000D3914"/>
    <w:rsid w:val="000E1954"/>
    <w:rsid w:val="000E1C04"/>
    <w:rsid w:val="000E24B1"/>
    <w:rsid w:val="000E2735"/>
    <w:rsid w:val="000E32D6"/>
    <w:rsid w:val="000E3759"/>
    <w:rsid w:val="000E4CB0"/>
    <w:rsid w:val="000E57F2"/>
    <w:rsid w:val="000E6553"/>
    <w:rsid w:val="000E7206"/>
    <w:rsid w:val="000E72A7"/>
    <w:rsid w:val="000E7FF2"/>
    <w:rsid w:val="000F1162"/>
    <w:rsid w:val="000F1CF9"/>
    <w:rsid w:val="000F1F6D"/>
    <w:rsid w:val="000F2415"/>
    <w:rsid w:val="000F3467"/>
    <w:rsid w:val="000F38DE"/>
    <w:rsid w:val="000F532A"/>
    <w:rsid w:val="000F5D6C"/>
    <w:rsid w:val="000F756B"/>
    <w:rsid w:val="00103851"/>
    <w:rsid w:val="00104370"/>
    <w:rsid w:val="00106852"/>
    <w:rsid w:val="00110407"/>
    <w:rsid w:val="00110F9D"/>
    <w:rsid w:val="0011161B"/>
    <w:rsid w:val="001116EA"/>
    <w:rsid w:val="0011494F"/>
    <w:rsid w:val="00114A67"/>
    <w:rsid w:val="00114DB4"/>
    <w:rsid w:val="00121E69"/>
    <w:rsid w:val="001253B6"/>
    <w:rsid w:val="00125E06"/>
    <w:rsid w:val="001262AC"/>
    <w:rsid w:val="001262C3"/>
    <w:rsid w:val="00127320"/>
    <w:rsid w:val="00127456"/>
    <w:rsid w:val="001303FE"/>
    <w:rsid w:val="001312D8"/>
    <w:rsid w:val="0013137B"/>
    <w:rsid w:val="0013697A"/>
    <w:rsid w:val="00137F0E"/>
    <w:rsid w:val="0015118B"/>
    <w:rsid w:val="001519CE"/>
    <w:rsid w:val="0015494E"/>
    <w:rsid w:val="00160B48"/>
    <w:rsid w:val="00161CF3"/>
    <w:rsid w:val="00162C00"/>
    <w:rsid w:val="001639EF"/>
    <w:rsid w:val="00163D60"/>
    <w:rsid w:val="00164C83"/>
    <w:rsid w:val="0016589F"/>
    <w:rsid w:val="00165C2F"/>
    <w:rsid w:val="00166603"/>
    <w:rsid w:val="001712CF"/>
    <w:rsid w:val="00171AFE"/>
    <w:rsid w:val="00172DBD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2018"/>
    <w:rsid w:val="001A34BF"/>
    <w:rsid w:val="001A3EE4"/>
    <w:rsid w:val="001A7865"/>
    <w:rsid w:val="001B25A4"/>
    <w:rsid w:val="001B2C39"/>
    <w:rsid w:val="001B3675"/>
    <w:rsid w:val="001B5E10"/>
    <w:rsid w:val="001B6AB3"/>
    <w:rsid w:val="001B73D5"/>
    <w:rsid w:val="001C0681"/>
    <w:rsid w:val="001C38C7"/>
    <w:rsid w:val="001C62B3"/>
    <w:rsid w:val="001C7C8C"/>
    <w:rsid w:val="001D0D6A"/>
    <w:rsid w:val="001D20A4"/>
    <w:rsid w:val="001D7A37"/>
    <w:rsid w:val="001E00D1"/>
    <w:rsid w:val="001E04D0"/>
    <w:rsid w:val="001E0E26"/>
    <w:rsid w:val="001E0E58"/>
    <w:rsid w:val="001E14F3"/>
    <w:rsid w:val="001E15ED"/>
    <w:rsid w:val="001E35EF"/>
    <w:rsid w:val="001E61AA"/>
    <w:rsid w:val="001E66A9"/>
    <w:rsid w:val="001E7F26"/>
    <w:rsid w:val="001F3FAD"/>
    <w:rsid w:val="00200657"/>
    <w:rsid w:val="002024AD"/>
    <w:rsid w:val="0020309E"/>
    <w:rsid w:val="0020684A"/>
    <w:rsid w:val="00210B58"/>
    <w:rsid w:val="00222423"/>
    <w:rsid w:val="00225B28"/>
    <w:rsid w:val="00226891"/>
    <w:rsid w:val="00226E47"/>
    <w:rsid w:val="00230D9B"/>
    <w:rsid w:val="002313AC"/>
    <w:rsid w:val="00235FB2"/>
    <w:rsid w:val="00237B98"/>
    <w:rsid w:val="00237BC1"/>
    <w:rsid w:val="0024027B"/>
    <w:rsid w:val="00241429"/>
    <w:rsid w:val="002430B4"/>
    <w:rsid w:val="002443EB"/>
    <w:rsid w:val="002447D0"/>
    <w:rsid w:val="002454C5"/>
    <w:rsid w:val="00245D73"/>
    <w:rsid w:val="00245E19"/>
    <w:rsid w:val="0024658B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58FA"/>
    <w:rsid w:val="00267554"/>
    <w:rsid w:val="00272709"/>
    <w:rsid w:val="002819EF"/>
    <w:rsid w:val="0028338F"/>
    <w:rsid w:val="002915C4"/>
    <w:rsid w:val="002941E0"/>
    <w:rsid w:val="00295FA6"/>
    <w:rsid w:val="00297E6B"/>
    <w:rsid w:val="002A1D1C"/>
    <w:rsid w:val="002A1E72"/>
    <w:rsid w:val="002A4D64"/>
    <w:rsid w:val="002A56D1"/>
    <w:rsid w:val="002A794D"/>
    <w:rsid w:val="002B3BC7"/>
    <w:rsid w:val="002B4969"/>
    <w:rsid w:val="002B6500"/>
    <w:rsid w:val="002B6554"/>
    <w:rsid w:val="002B7A07"/>
    <w:rsid w:val="002C1A02"/>
    <w:rsid w:val="002C2008"/>
    <w:rsid w:val="002C21CB"/>
    <w:rsid w:val="002C338F"/>
    <w:rsid w:val="002D05F0"/>
    <w:rsid w:val="002D199A"/>
    <w:rsid w:val="002D2829"/>
    <w:rsid w:val="002D3EE7"/>
    <w:rsid w:val="002D59F0"/>
    <w:rsid w:val="002D71B3"/>
    <w:rsid w:val="002D7D4A"/>
    <w:rsid w:val="002E3846"/>
    <w:rsid w:val="002E3F78"/>
    <w:rsid w:val="002E590B"/>
    <w:rsid w:val="002E7E78"/>
    <w:rsid w:val="002F316A"/>
    <w:rsid w:val="002F400C"/>
    <w:rsid w:val="002F4D76"/>
    <w:rsid w:val="002F6D26"/>
    <w:rsid w:val="002F72E9"/>
    <w:rsid w:val="0030231E"/>
    <w:rsid w:val="00302ABB"/>
    <w:rsid w:val="003035A6"/>
    <w:rsid w:val="003042C4"/>
    <w:rsid w:val="00304CB4"/>
    <w:rsid w:val="00307F8E"/>
    <w:rsid w:val="003104F0"/>
    <w:rsid w:val="00311522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AA4"/>
    <w:rsid w:val="00336C36"/>
    <w:rsid w:val="0034026E"/>
    <w:rsid w:val="00343815"/>
    <w:rsid w:val="003439A8"/>
    <w:rsid w:val="0034650B"/>
    <w:rsid w:val="00351BEC"/>
    <w:rsid w:val="003522BB"/>
    <w:rsid w:val="00352C81"/>
    <w:rsid w:val="00352F6C"/>
    <w:rsid w:val="00354B70"/>
    <w:rsid w:val="003556EA"/>
    <w:rsid w:val="00360B86"/>
    <w:rsid w:val="00361290"/>
    <w:rsid w:val="00370333"/>
    <w:rsid w:val="0037382C"/>
    <w:rsid w:val="003831DD"/>
    <w:rsid w:val="00386FC7"/>
    <w:rsid w:val="00390A32"/>
    <w:rsid w:val="0039518D"/>
    <w:rsid w:val="003A1359"/>
    <w:rsid w:val="003A1E91"/>
    <w:rsid w:val="003A40F2"/>
    <w:rsid w:val="003A50D1"/>
    <w:rsid w:val="003A76A1"/>
    <w:rsid w:val="003B196D"/>
    <w:rsid w:val="003B2710"/>
    <w:rsid w:val="003B4608"/>
    <w:rsid w:val="003B6FD8"/>
    <w:rsid w:val="003B7E9A"/>
    <w:rsid w:val="003C03DF"/>
    <w:rsid w:val="003C2392"/>
    <w:rsid w:val="003C31EF"/>
    <w:rsid w:val="003C5174"/>
    <w:rsid w:val="003C5240"/>
    <w:rsid w:val="003C64E8"/>
    <w:rsid w:val="003C76E6"/>
    <w:rsid w:val="003D05B3"/>
    <w:rsid w:val="003D14E0"/>
    <w:rsid w:val="003D17AA"/>
    <w:rsid w:val="003D1EA5"/>
    <w:rsid w:val="003D2DCC"/>
    <w:rsid w:val="003D3348"/>
    <w:rsid w:val="003D4E63"/>
    <w:rsid w:val="003D6822"/>
    <w:rsid w:val="003D724C"/>
    <w:rsid w:val="003E0CE2"/>
    <w:rsid w:val="003E561E"/>
    <w:rsid w:val="003E5657"/>
    <w:rsid w:val="003E6210"/>
    <w:rsid w:val="003E695C"/>
    <w:rsid w:val="003F3690"/>
    <w:rsid w:val="003F49E4"/>
    <w:rsid w:val="003F4D2F"/>
    <w:rsid w:val="003F5E32"/>
    <w:rsid w:val="003F6F93"/>
    <w:rsid w:val="003F75F6"/>
    <w:rsid w:val="00400F84"/>
    <w:rsid w:val="00404670"/>
    <w:rsid w:val="00414CA0"/>
    <w:rsid w:val="004164CC"/>
    <w:rsid w:val="00422F54"/>
    <w:rsid w:val="00431516"/>
    <w:rsid w:val="004361B3"/>
    <w:rsid w:val="004403B3"/>
    <w:rsid w:val="0044249D"/>
    <w:rsid w:val="0044379F"/>
    <w:rsid w:val="00444FCC"/>
    <w:rsid w:val="00445572"/>
    <w:rsid w:val="00446FB1"/>
    <w:rsid w:val="004472D6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FF1"/>
    <w:rsid w:val="0047147E"/>
    <w:rsid w:val="00471D77"/>
    <w:rsid w:val="00475587"/>
    <w:rsid w:val="00476CB0"/>
    <w:rsid w:val="00480BC2"/>
    <w:rsid w:val="00482EDC"/>
    <w:rsid w:val="004845C3"/>
    <w:rsid w:val="00491C1F"/>
    <w:rsid w:val="00492640"/>
    <w:rsid w:val="004929C2"/>
    <w:rsid w:val="00493FDD"/>
    <w:rsid w:val="0049586B"/>
    <w:rsid w:val="004A3E44"/>
    <w:rsid w:val="004A519E"/>
    <w:rsid w:val="004A7D86"/>
    <w:rsid w:val="004B03DB"/>
    <w:rsid w:val="004B178F"/>
    <w:rsid w:val="004B2018"/>
    <w:rsid w:val="004B2896"/>
    <w:rsid w:val="004B326A"/>
    <w:rsid w:val="004B38E9"/>
    <w:rsid w:val="004B3FBA"/>
    <w:rsid w:val="004B62C6"/>
    <w:rsid w:val="004B6599"/>
    <w:rsid w:val="004C2B79"/>
    <w:rsid w:val="004C3FB1"/>
    <w:rsid w:val="004C5A97"/>
    <w:rsid w:val="004C6CA7"/>
    <w:rsid w:val="004C7893"/>
    <w:rsid w:val="004D133A"/>
    <w:rsid w:val="004D30FD"/>
    <w:rsid w:val="004D40D3"/>
    <w:rsid w:val="004D4357"/>
    <w:rsid w:val="004D4950"/>
    <w:rsid w:val="004D6F6C"/>
    <w:rsid w:val="004D7614"/>
    <w:rsid w:val="004D7F44"/>
    <w:rsid w:val="004E0E32"/>
    <w:rsid w:val="004E2393"/>
    <w:rsid w:val="004E258E"/>
    <w:rsid w:val="004E3630"/>
    <w:rsid w:val="004E3745"/>
    <w:rsid w:val="004E42BE"/>
    <w:rsid w:val="004E4378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328B"/>
    <w:rsid w:val="00505503"/>
    <w:rsid w:val="0051107B"/>
    <w:rsid w:val="00512F9C"/>
    <w:rsid w:val="00513EA9"/>
    <w:rsid w:val="00513FCF"/>
    <w:rsid w:val="00517FCC"/>
    <w:rsid w:val="00521F99"/>
    <w:rsid w:val="005258DF"/>
    <w:rsid w:val="00526BFC"/>
    <w:rsid w:val="00527CDB"/>
    <w:rsid w:val="005341C9"/>
    <w:rsid w:val="00534CD1"/>
    <w:rsid w:val="00535D01"/>
    <w:rsid w:val="005369CA"/>
    <w:rsid w:val="00536DE9"/>
    <w:rsid w:val="00541E08"/>
    <w:rsid w:val="005425F7"/>
    <w:rsid w:val="00550824"/>
    <w:rsid w:val="00551328"/>
    <w:rsid w:val="005523F6"/>
    <w:rsid w:val="005544D8"/>
    <w:rsid w:val="00554F84"/>
    <w:rsid w:val="00554FE0"/>
    <w:rsid w:val="005558EB"/>
    <w:rsid w:val="00556564"/>
    <w:rsid w:val="0055789A"/>
    <w:rsid w:val="00560952"/>
    <w:rsid w:val="00562235"/>
    <w:rsid w:val="00565109"/>
    <w:rsid w:val="005652D1"/>
    <w:rsid w:val="005653F5"/>
    <w:rsid w:val="00565CC6"/>
    <w:rsid w:val="005660A0"/>
    <w:rsid w:val="00566A4F"/>
    <w:rsid w:val="00566ACF"/>
    <w:rsid w:val="00567D64"/>
    <w:rsid w:val="00567FEB"/>
    <w:rsid w:val="005923C4"/>
    <w:rsid w:val="00594A83"/>
    <w:rsid w:val="005951A1"/>
    <w:rsid w:val="0059552E"/>
    <w:rsid w:val="005978D4"/>
    <w:rsid w:val="005A0A20"/>
    <w:rsid w:val="005A23FA"/>
    <w:rsid w:val="005A27EE"/>
    <w:rsid w:val="005A55DC"/>
    <w:rsid w:val="005A587B"/>
    <w:rsid w:val="005B2A67"/>
    <w:rsid w:val="005B3DCD"/>
    <w:rsid w:val="005B4AD4"/>
    <w:rsid w:val="005B529F"/>
    <w:rsid w:val="005C0B10"/>
    <w:rsid w:val="005C2798"/>
    <w:rsid w:val="005C2ECE"/>
    <w:rsid w:val="005C36C3"/>
    <w:rsid w:val="005C380F"/>
    <w:rsid w:val="005C4C32"/>
    <w:rsid w:val="005C56EE"/>
    <w:rsid w:val="005C6D95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5F7E23"/>
    <w:rsid w:val="00601542"/>
    <w:rsid w:val="00601602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7316"/>
    <w:rsid w:val="0062327B"/>
    <w:rsid w:val="00624EC6"/>
    <w:rsid w:val="0062719D"/>
    <w:rsid w:val="00632777"/>
    <w:rsid w:val="00633094"/>
    <w:rsid w:val="00633750"/>
    <w:rsid w:val="00634491"/>
    <w:rsid w:val="00634639"/>
    <w:rsid w:val="0063546B"/>
    <w:rsid w:val="0063679C"/>
    <w:rsid w:val="00637055"/>
    <w:rsid w:val="006418B6"/>
    <w:rsid w:val="00641D59"/>
    <w:rsid w:val="00642698"/>
    <w:rsid w:val="00644507"/>
    <w:rsid w:val="00646880"/>
    <w:rsid w:val="00647D2A"/>
    <w:rsid w:val="0065263A"/>
    <w:rsid w:val="006537BB"/>
    <w:rsid w:val="006539BB"/>
    <w:rsid w:val="0065643E"/>
    <w:rsid w:val="0066103D"/>
    <w:rsid w:val="0066107A"/>
    <w:rsid w:val="006625B2"/>
    <w:rsid w:val="00663CA9"/>
    <w:rsid w:val="00667E07"/>
    <w:rsid w:val="006706E8"/>
    <w:rsid w:val="00671785"/>
    <w:rsid w:val="00672BA9"/>
    <w:rsid w:val="00673005"/>
    <w:rsid w:val="00674681"/>
    <w:rsid w:val="006804BE"/>
    <w:rsid w:val="006813A4"/>
    <w:rsid w:val="0068434A"/>
    <w:rsid w:val="0069008E"/>
    <w:rsid w:val="0069087E"/>
    <w:rsid w:val="006925C4"/>
    <w:rsid w:val="006949B0"/>
    <w:rsid w:val="006A02B7"/>
    <w:rsid w:val="006A46B9"/>
    <w:rsid w:val="006A6802"/>
    <w:rsid w:val="006A7019"/>
    <w:rsid w:val="006B004C"/>
    <w:rsid w:val="006B2083"/>
    <w:rsid w:val="006B46D5"/>
    <w:rsid w:val="006B46F4"/>
    <w:rsid w:val="006C3D86"/>
    <w:rsid w:val="006C7AF3"/>
    <w:rsid w:val="006D0B9D"/>
    <w:rsid w:val="006D6548"/>
    <w:rsid w:val="006E0E20"/>
    <w:rsid w:val="006E4256"/>
    <w:rsid w:val="006E4BBA"/>
    <w:rsid w:val="006E5F43"/>
    <w:rsid w:val="006E60A6"/>
    <w:rsid w:val="006E7B53"/>
    <w:rsid w:val="006F0F69"/>
    <w:rsid w:val="006F116B"/>
    <w:rsid w:val="006F117F"/>
    <w:rsid w:val="006F13DF"/>
    <w:rsid w:val="006F144F"/>
    <w:rsid w:val="006F2780"/>
    <w:rsid w:val="006F3E09"/>
    <w:rsid w:val="006F5486"/>
    <w:rsid w:val="006F64F6"/>
    <w:rsid w:val="006F790E"/>
    <w:rsid w:val="00700579"/>
    <w:rsid w:val="007012C2"/>
    <w:rsid w:val="00702F26"/>
    <w:rsid w:val="0070313E"/>
    <w:rsid w:val="00703799"/>
    <w:rsid w:val="00704AF7"/>
    <w:rsid w:val="00705C5C"/>
    <w:rsid w:val="00706768"/>
    <w:rsid w:val="007108E9"/>
    <w:rsid w:val="00711475"/>
    <w:rsid w:val="00712F06"/>
    <w:rsid w:val="00716DC7"/>
    <w:rsid w:val="00717FD7"/>
    <w:rsid w:val="00721C1B"/>
    <w:rsid w:val="007227B6"/>
    <w:rsid w:val="0072548A"/>
    <w:rsid w:val="00726473"/>
    <w:rsid w:val="007273B3"/>
    <w:rsid w:val="007277A6"/>
    <w:rsid w:val="0074243C"/>
    <w:rsid w:val="007437AB"/>
    <w:rsid w:val="00745425"/>
    <w:rsid w:val="00746502"/>
    <w:rsid w:val="007534F8"/>
    <w:rsid w:val="007538D6"/>
    <w:rsid w:val="007545AD"/>
    <w:rsid w:val="00756472"/>
    <w:rsid w:val="00762DA1"/>
    <w:rsid w:val="00763722"/>
    <w:rsid w:val="007645E4"/>
    <w:rsid w:val="00764BC1"/>
    <w:rsid w:val="00770869"/>
    <w:rsid w:val="00772E51"/>
    <w:rsid w:val="007738AA"/>
    <w:rsid w:val="007776A8"/>
    <w:rsid w:val="00780A62"/>
    <w:rsid w:val="00781A58"/>
    <w:rsid w:val="00783241"/>
    <w:rsid w:val="007840E5"/>
    <w:rsid w:val="00784BDC"/>
    <w:rsid w:val="007863D6"/>
    <w:rsid w:val="007903FF"/>
    <w:rsid w:val="00791479"/>
    <w:rsid w:val="00792F28"/>
    <w:rsid w:val="007935CA"/>
    <w:rsid w:val="0079543F"/>
    <w:rsid w:val="00795880"/>
    <w:rsid w:val="0079784F"/>
    <w:rsid w:val="007A3035"/>
    <w:rsid w:val="007A4367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B7CAC"/>
    <w:rsid w:val="007C4CDC"/>
    <w:rsid w:val="007C70C9"/>
    <w:rsid w:val="007D7083"/>
    <w:rsid w:val="007D7B40"/>
    <w:rsid w:val="007E041B"/>
    <w:rsid w:val="007E189D"/>
    <w:rsid w:val="007E199A"/>
    <w:rsid w:val="007E1AED"/>
    <w:rsid w:val="007E22C3"/>
    <w:rsid w:val="007E2415"/>
    <w:rsid w:val="007E39F3"/>
    <w:rsid w:val="007E3B04"/>
    <w:rsid w:val="007E405E"/>
    <w:rsid w:val="007E68F4"/>
    <w:rsid w:val="007E6DE2"/>
    <w:rsid w:val="007F0964"/>
    <w:rsid w:val="007F1828"/>
    <w:rsid w:val="007F31BA"/>
    <w:rsid w:val="007F4078"/>
    <w:rsid w:val="007F5FBB"/>
    <w:rsid w:val="007F68DD"/>
    <w:rsid w:val="0080014B"/>
    <w:rsid w:val="008013F2"/>
    <w:rsid w:val="00801793"/>
    <w:rsid w:val="00803642"/>
    <w:rsid w:val="00803D1C"/>
    <w:rsid w:val="00805AA1"/>
    <w:rsid w:val="00806DC7"/>
    <w:rsid w:val="00806EA2"/>
    <w:rsid w:val="00810419"/>
    <w:rsid w:val="00812A2B"/>
    <w:rsid w:val="00813A56"/>
    <w:rsid w:val="00814A4C"/>
    <w:rsid w:val="00822B64"/>
    <w:rsid w:val="00825D66"/>
    <w:rsid w:val="0082696D"/>
    <w:rsid w:val="00830816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588"/>
    <w:rsid w:val="0084090A"/>
    <w:rsid w:val="0084157B"/>
    <w:rsid w:val="00842BFB"/>
    <w:rsid w:val="008432B2"/>
    <w:rsid w:val="00846B85"/>
    <w:rsid w:val="00847DC3"/>
    <w:rsid w:val="00847F49"/>
    <w:rsid w:val="00850F43"/>
    <w:rsid w:val="0085234C"/>
    <w:rsid w:val="008535C5"/>
    <w:rsid w:val="00853765"/>
    <w:rsid w:val="0085516F"/>
    <w:rsid w:val="00856A74"/>
    <w:rsid w:val="008629A4"/>
    <w:rsid w:val="008634D3"/>
    <w:rsid w:val="00864F80"/>
    <w:rsid w:val="0086675D"/>
    <w:rsid w:val="00867186"/>
    <w:rsid w:val="00870AF6"/>
    <w:rsid w:val="00871E9E"/>
    <w:rsid w:val="00872633"/>
    <w:rsid w:val="0087265F"/>
    <w:rsid w:val="00875215"/>
    <w:rsid w:val="0087652F"/>
    <w:rsid w:val="00877452"/>
    <w:rsid w:val="008774AA"/>
    <w:rsid w:val="00881268"/>
    <w:rsid w:val="00881779"/>
    <w:rsid w:val="00881C10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A0596"/>
    <w:rsid w:val="008A1D17"/>
    <w:rsid w:val="008A2050"/>
    <w:rsid w:val="008A2145"/>
    <w:rsid w:val="008B0E7E"/>
    <w:rsid w:val="008B1B73"/>
    <w:rsid w:val="008B64A6"/>
    <w:rsid w:val="008B65BD"/>
    <w:rsid w:val="008B6EEF"/>
    <w:rsid w:val="008B75DE"/>
    <w:rsid w:val="008B7900"/>
    <w:rsid w:val="008C03B7"/>
    <w:rsid w:val="008C71BF"/>
    <w:rsid w:val="008C7FE0"/>
    <w:rsid w:val="008D37BC"/>
    <w:rsid w:val="008D4005"/>
    <w:rsid w:val="008D5717"/>
    <w:rsid w:val="008D5DDD"/>
    <w:rsid w:val="008E0F0A"/>
    <w:rsid w:val="008E44A9"/>
    <w:rsid w:val="008E5324"/>
    <w:rsid w:val="008E6B4D"/>
    <w:rsid w:val="008E6BFF"/>
    <w:rsid w:val="008F21AF"/>
    <w:rsid w:val="008F2400"/>
    <w:rsid w:val="008F61BA"/>
    <w:rsid w:val="008F6E3C"/>
    <w:rsid w:val="008F7C55"/>
    <w:rsid w:val="00900293"/>
    <w:rsid w:val="0090115E"/>
    <w:rsid w:val="009014B1"/>
    <w:rsid w:val="009077AB"/>
    <w:rsid w:val="00907C0D"/>
    <w:rsid w:val="00910CAA"/>
    <w:rsid w:val="00914A23"/>
    <w:rsid w:val="00917621"/>
    <w:rsid w:val="009177FE"/>
    <w:rsid w:val="00922253"/>
    <w:rsid w:val="0092261A"/>
    <w:rsid w:val="0092530F"/>
    <w:rsid w:val="00930754"/>
    <w:rsid w:val="009312A5"/>
    <w:rsid w:val="0093325D"/>
    <w:rsid w:val="00934F68"/>
    <w:rsid w:val="009355AC"/>
    <w:rsid w:val="00935F38"/>
    <w:rsid w:val="00936F19"/>
    <w:rsid w:val="00937586"/>
    <w:rsid w:val="009375B8"/>
    <w:rsid w:val="0094203D"/>
    <w:rsid w:val="00947889"/>
    <w:rsid w:val="009478BD"/>
    <w:rsid w:val="00951FD5"/>
    <w:rsid w:val="00954469"/>
    <w:rsid w:val="00954A14"/>
    <w:rsid w:val="00957563"/>
    <w:rsid w:val="00960E98"/>
    <w:rsid w:val="00961BFB"/>
    <w:rsid w:val="00963A82"/>
    <w:rsid w:val="00966AC3"/>
    <w:rsid w:val="00970822"/>
    <w:rsid w:val="00972071"/>
    <w:rsid w:val="00972912"/>
    <w:rsid w:val="00974090"/>
    <w:rsid w:val="00976BD9"/>
    <w:rsid w:val="00976D1F"/>
    <w:rsid w:val="00981C81"/>
    <w:rsid w:val="00984322"/>
    <w:rsid w:val="00997147"/>
    <w:rsid w:val="009A2D24"/>
    <w:rsid w:val="009A456C"/>
    <w:rsid w:val="009A459F"/>
    <w:rsid w:val="009B00E0"/>
    <w:rsid w:val="009B1636"/>
    <w:rsid w:val="009B292A"/>
    <w:rsid w:val="009B4304"/>
    <w:rsid w:val="009B7462"/>
    <w:rsid w:val="009B76D5"/>
    <w:rsid w:val="009C0842"/>
    <w:rsid w:val="009C165D"/>
    <w:rsid w:val="009C3CEA"/>
    <w:rsid w:val="009C583D"/>
    <w:rsid w:val="009C7A89"/>
    <w:rsid w:val="009D2611"/>
    <w:rsid w:val="009D79D2"/>
    <w:rsid w:val="009E151D"/>
    <w:rsid w:val="009E247C"/>
    <w:rsid w:val="009E31BA"/>
    <w:rsid w:val="009E502E"/>
    <w:rsid w:val="009F0528"/>
    <w:rsid w:val="009F06C6"/>
    <w:rsid w:val="009F0806"/>
    <w:rsid w:val="009F17DB"/>
    <w:rsid w:val="009F1B07"/>
    <w:rsid w:val="009F233B"/>
    <w:rsid w:val="00A00421"/>
    <w:rsid w:val="00A05D16"/>
    <w:rsid w:val="00A0659F"/>
    <w:rsid w:val="00A0739D"/>
    <w:rsid w:val="00A079BA"/>
    <w:rsid w:val="00A10486"/>
    <w:rsid w:val="00A10B0D"/>
    <w:rsid w:val="00A14E8C"/>
    <w:rsid w:val="00A20C70"/>
    <w:rsid w:val="00A2575E"/>
    <w:rsid w:val="00A33875"/>
    <w:rsid w:val="00A360A1"/>
    <w:rsid w:val="00A402B3"/>
    <w:rsid w:val="00A40C14"/>
    <w:rsid w:val="00A43D95"/>
    <w:rsid w:val="00A45712"/>
    <w:rsid w:val="00A46F61"/>
    <w:rsid w:val="00A5268A"/>
    <w:rsid w:val="00A544B7"/>
    <w:rsid w:val="00A5497B"/>
    <w:rsid w:val="00A5508D"/>
    <w:rsid w:val="00A618CF"/>
    <w:rsid w:val="00A61BDF"/>
    <w:rsid w:val="00A62770"/>
    <w:rsid w:val="00A62EEB"/>
    <w:rsid w:val="00A660FF"/>
    <w:rsid w:val="00A663BC"/>
    <w:rsid w:val="00A6685F"/>
    <w:rsid w:val="00A73395"/>
    <w:rsid w:val="00A76595"/>
    <w:rsid w:val="00A771E3"/>
    <w:rsid w:val="00A77C83"/>
    <w:rsid w:val="00A81C4F"/>
    <w:rsid w:val="00A823EA"/>
    <w:rsid w:val="00A82B4C"/>
    <w:rsid w:val="00A845A8"/>
    <w:rsid w:val="00A84A02"/>
    <w:rsid w:val="00A863B5"/>
    <w:rsid w:val="00A86D38"/>
    <w:rsid w:val="00A877A7"/>
    <w:rsid w:val="00A92E04"/>
    <w:rsid w:val="00A93A4C"/>
    <w:rsid w:val="00A94D5D"/>
    <w:rsid w:val="00A95C76"/>
    <w:rsid w:val="00AA1D9B"/>
    <w:rsid w:val="00AA2543"/>
    <w:rsid w:val="00AA3804"/>
    <w:rsid w:val="00AA3866"/>
    <w:rsid w:val="00AA4994"/>
    <w:rsid w:val="00AA53EE"/>
    <w:rsid w:val="00AA55C2"/>
    <w:rsid w:val="00AB0ACA"/>
    <w:rsid w:val="00AB1744"/>
    <w:rsid w:val="00AB1D41"/>
    <w:rsid w:val="00AB22E0"/>
    <w:rsid w:val="00AB46AA"/>
    <w:rsid w:val="00AB58B3"/>
    <w:rsid w:val="00AB60B5"/>
    <w:rsid w:val="00AB6E03"/>
    <w:rsid w:val="00AC27A7"/>
    <w:rsid w:val="00AC5E9A"/>
    <w:rsid w:val="00AC704B"/>
    <w:rsid w:val="00AD553E"/>
    <w:rsid w:val="00AD5848"/>
    <w:rsid w:val="00AD77F9"/>
    <w:rsid w:val="00AD7FDB"/>
    <w:rsid w:val="00AE1DCE"/>
    <w:rsid w:val="00AE5ADA"/>
    <w:rsid w:val="00AF2048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16700"/>
    <w:rsid w:val="00B16FE4"/>
    <w:rsid w:val="00B233A8"/>
    <w:rsid w:val="00B30D97"/>
    <w:rsid w:val="00B31074"/>
    <w:rsid w:val="00B3181A"/>
    <w:rsid w:val="00B33515"/>
    <w:rsid w:val="00B35A7C"/>
    <w:rsid w:val="00B3617D"/>
    <w:rsid w:val="00B419EA"/>
    <w:rsid w:val="00B446E0"/>
    <w:rsid w:val="00B44ECD"/>
    <w:rsid w:val="00B450D1"/>
    <w:rsid w:val="00B526A7"/>
    <w:rsid w:val="00B536D6"/>
    <w:rsid w:val="00B53D47"/>
    <w:rsid w:val="00B54A25"/>
    <w:rsid w:val="00B54B8E"/>
    <w:rsid w:val="00B552F8"/>
    <w:rsid w:val="00B56811"/>
    <w:rsid w:val="00B60326"/>
    <w:rsid w:val="00B6077B"/>
    <w:rsid w:val="00B618C3"/>
    <w:rsid w:val="00B622B2"/>
    <w:rsid w:val="00B63652"/>
    <w:rsid w:val="00B668B0"/>
    <w:rsid w:val="00B70F5C"/>
    <w:rsid w:val="00B71873"/>
    <w:rsid w:val="00B736B8"/>
    <w:rsid w:val="00B75AE5"/>
    <w:rsid w:val="00B800C0"/>
    <w:rsid w:val="00B8132B"/>
    <w:rsid w:val="00B8295C"/>
    <w:rsid w:val="00B84B59"/>
    <w:rsid w:val="00B84C5A"/>
    <w:rsid w:val="00B858F5"/>
    <w:rsid w:val="00B876BD"/>
    <w:rsid w:val="00B90663"/>
    <w:rsid w:val="00B93668"/>
    <w:rsid w:val="00B94428"/>
    <w:rsid w:val="00B94A8F"/>
    <w:rsid w:val="00B9580C"/>
    <w:rsid w:val="00B963E0"/>
    <w:rsid w:val="00B97650"/>
    <w:rsid w:val="00BA68C6"/>
    <w:rsid w:val="00BB12F1"/>
    <w:rsid w:val="00BB15BC"/>
    <w:rsid w:val="00BB20EB"/>
    <w:rsid w:val="00BB276E"/>
    <w:rsid w:val="00BB3FEE"/>
    <w:rsid w:val="00BB5EB0"/>
    <w:rsid w:val="00BC08F1"/>
    <w:rsid w:val="00BC245A"/>
    <w:rsid w:val="00BD16FA"/>
    <w:rsid w:val="00BD41C3"/>
    <w:rsid w:val="00BD488B"/>
    <w:rsid w:val="00BD5F9B"/>
    <w:rsid w:val="00BD654A"/>
    <w:rsid w:val="00BD7CCC"/>
    <w:rsid w:val="00BD7E03"/>
    <w:rsid w:val="00BE002A"/>
    <w:rsid w:val="00BE0283"/>
    <w:rsid w:val="00BE1BC9"/>
    <w:rsid w:val="00BE35DB"/>
    <w:rsid w:val="00BE5CDA"/>
    <w:rsid w:val="00BE608F"/>
    <w:rsid w:val="00BF23BB"/>
    <w:rsid w:val="00BF3096"/>
    <w:rsid w:val="00BF33DD"/>
    <w:rsid w:val="00BF5755"/>
    <w:rsid w:val="00BF684B"/>
    <w:rsid w:val="00C001C6"/>
    <w:rsid w:val="00C016F3"/>
    <w:rsid w:val="00C07136"/>
    <w:rsid w:val="00C07B18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E28"/>
    <w:rsid w:val="00C37909"/>
    <w:rsid w:val="00C426AF"/>
    <w:rsid w:val="00C430F1"/>
    <w:rsid w:val="00C43D8F"/>
    <w:rsid w:val="00C469C1"/>
    <w:rsid w:val="00C47973"/>
    <w:rsid w:val="00C50659"/>
    <w:rsid w:val="00C51B39"/>
    <w:rsid w:val="00C5282C"/>
    <w:rsid w:val="00C52963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2C87"/>
    <w:rsid w:val="00C63D0D"/>
    <w:rsid w:val="00C64C6B"/>
    <w:rsid w:val="00C6588D"/>
    <w:rsid w:val="00C66F2E"/>
    <w:rsid w:val="00C6785C"/>
    <w:rsid w:val="00C7028B"/>
    <w:rsid w:val="00C70FD1"/>
    <w:rsid w:val="00C71BEB"/>
    <w:rsid w:val="00C72B76"/>
    <w:rsid w:val="00C733AA"/>
    <w:rsid w:val="00C74E57"/>
    <w:rsid w:val="00C74E7C"/>
    <w:rsid w:val="00C75B2B"/>
    <w:rsid w:val="00C7637F"/>
    <w:rsid w:val="00C83027"/>
    <w:rsid w:val="00C84B8A"/>
    <w:rsid w:val="00C85E65"/>
    <w:rsid w:val="00C87CA1"/>
    <w:rsid w:val="00C911B4"/>
    <w:rsid w:val="00C91A44"/>
    <w:rsid w:val="00C91B3B"/>
    <w:rsid w:val="00C93F1B"/>
    <w:rsid w:val="00C94262"/>
    <w:rsid w:val="00C9461D"/>
    <w:rsid w:val="00C95A92"/>
    <w:rsid w:val="00C976E1"/>
    <w:rsid w:val="00CA148E"/>
    <w:rsid w:val="00CA2321"/>
    <w:rsid w:val="00CA2684"/>
    <w:rsid w:val="00CA3A9A"/>
    <w:rsid w:val="00CA61C5"/>
    <w:rsid w:val="00CA78FA"/>
    <w:rsid w:val="00CA7BFF"/>
    <w:rsid w:val="00CB1CFC"/>
    <w:rsid w:val="00CB58F4"/>
    <w:rsid w:val="00CB6855"/>
    <w:rsid w:val="00CB6BC1"/>
    <w:rsid w:val="00CB7021"/>
    <w:rsid w:val="00CC0B10"/>
    <w:rsid w:val="00CD2498"/>
    <w:rsid w:val="00CD305D"/>
    <w:rsid w:val="00CD3294"/>
    <w:rsid w:val="00CD3630"/>
    <w:rsid w:val="00CD4524"/>
    <w:rsid w:val="00CD6D53"/>
    <w:rsid w:val="00CD784D"/>
    <w:rsid w:val="00CE48A0"/>
    <w:rsid w:val="00CF3A1C"/>
    <w:rsid w:val="00CF40F8"/>
    <w:rsid w:val="00CF544B"/>
    <w:rsid w:val="00CF5831"/>
    <w:rsid w:val="00CF6799"/>
    <w:rsid w:val="00D008DA"/>
    <w:rsid w:val="00D019EE"/>
    <w:rsid w:val="00D0416F"/>
    <w:rsid w:val="00D05517"/>
    <w:rsid w:val="00D055D6"/>
    <w:rsid w:val="00D05851"/>
    <w:rsid w:val="00D10FED"/>
    <w:rsid w:val="00D11736"/>
    <w:rsid w:val="00D12EE8"/>
    <w:rsid w:val="00D140A0"/>
    <w:rsid w:val="00D14CDF"/>
    <w:rsid w:val="00D15FF1"/>
    <w:rsid w:val="00D167F4"/>
    <w:rsid w:val="00D17588"/>
    <w:rsid w:val="00D2092A"/>
    <w:rsid w:val="00D2216D"/>
    <w:rsid w:val="00D23079"/>
    <w:rsid w:val="00D25352"/>
    <w:rsid w:val="00D27206"/>
    <w:rsid w:val="00D3063B"/>
    <w:rsid w:val="00D31A6F"/>
    <w:rsid w:val="00D35328"/>
    <w:rsid w:val="00D353D1"/>
    <w:rsid w:val="00D367DB"/>
    <w:rsid w:val="00D36E05"/>
    <w:rsid w:val="00D4024E"/>
    <w:rsid w:val="00D408F4"/>
    <w:rsid w:val="00D413D6"/>
    <w:rsid w:val="00D43977"/>
    <w:rsid w:val="00D44AC9"/>
    <w:rsid w:val="00D44F27"/>
    <w:rsid w:val="00D45304"/>
    <w:rsid w:val="00D46165"/>
    <w:rsid w:val="00D461C7"/>
    <w:rsid w:val="00D46830"/>
    <w:rsid w:val="00D46E83"/>
    <w:rsid w:val="00D50424"/>
    <w:rsid w:val="00D5081E"/>
    <w:rsid w:val="00D525C9"/>
    <w:rsid w:val="00D53105"/>
    <w:rsid w:val="00D57C9A"/>
    <w:rsid w:val="00D57D3E"/>
    <w:rsid w:val="00D624D2"/>
    <w:rsid w:val="00D626FF"/>
    <w:rsid w:val="00D633F7"/>
    <w:rsid w:val="00D67F50"/>
    <w:rsid w:val="00D701F3"/>
    <w:rsid w:val="00D74988"/>
    <w:rsid w:val="00D76249"/>
    <w:rsid w:val="00D844AD"/>
    <w:rsid w:val="00D849D4"/>
    <w:rsid w:val="00D85851"/>
    <w:rsid w:val="00D90284"/>
    <w:rsid w:val="00D95D17"/>
    <w:rsid w:val="00D96CCC"/>
    <w:rsid w:val="00D977FD"/>
    <w:rsid w:val="00DA1633"/>
    <w:rsid w:val="00DA1B90"/>
    <w:rsid w:val="00DA38A7"/>
    <w:rsid w:val="00DA7D12"/>
    <w:rsid w:val="00DB01CF"/>
    <w:rsid w:val="00DB1B7A"/>
    <w:rsid w:val="00DB23ED"/>
    <w:rsid w:val="00DB51F3"/>
    <w:rsid w:val="00DB7BEB"/>
    <w:rsid w:val="00DC23CF"/>
    <w:rsid w:val="00DC3E25"/>
    <w:rsid w:val="00DC6562"/>
    <w:rsid w:val="00DD2688"/>
    <w:rsid w:val="00DD40E1"/>
    <w:rsid w:val="00DD6455"/>
    <w:rsid w:val="00DE1263"/>
    <w:rsid w:val="00DE130D"/>
    <w:rsid w:val="00DE24CF"/>
    <w:rsid w:val="00DE407C"/>
    <w:rsid w:val="00DE6532"/>
    <w:rsid w:val="00DE7C7D"/>
    <w:rsid w:val="00DF2992"/>
    <w:rsid w:val="00DF2D0C"/>
    <w:rsid w:val="00DF7D72"/>
    <w:rsid w:val="00DF7F99"/>
    <w:rsid w:val="00E00058"/>
    <w:rsid w:val="00E01B9D"/>
    <w:rsid w:val="00E0468F"/>
    <w:rsid w:val="00E04F5E"/>
    <w:rsid w:val="00E050AF"/>
    <w:rsid w:val="00E0522E"/>
    <w:rsid w:val="00E062A2"/>
    <w:rsid w:val="00E06BC8"/>
    <w:rsid w:val="00E10309"/>
    <w:rsid w:val="00E114B9"/>
    <w:rsid w:val="00E120F4"/>
    <w:rsid w:val="00E17172"/>
    <w:rsid w:val="00E231EF"/>
    <w:rsid w:val="00E24491"/>
    <w:rsid w:val="00E2525D"/>
    <w:rsid w:val="00E3181C"/>
    <w:rsid w:val="00E325B3"/>
    <w:rsid w:val="00E3280A"/>
    <w:rsid w:val="00E340D3"/>
    <w:rsid w:val="00E34885"/>
    <w:rsid w:val="00E372AF"/>
    <w:rsid w:val="00E37D68"/>
    <w:rsid w:val="00E40EAE"/>
    <w:rsid w:val="00E41C80"/>
    <w:rsid w:val="00E436AC"/>
    <w:rsid w:val="00E4388A"/>
    <w:rsid w:val="00E44F7A"/>
    <w:rsid w:val="00E44FF8"/>
    <w:rsid w:val="00E470FA"/>
    <w:rsid w:val="00E5066A"/>
    <w:rsid w:val="00E52CF9"/>
    <w:rsid w:val="00E537B0"/>
    <w:rsid w:val="00E53E31"/>
    <w:rsid w:val="00E554AE"/>
    <w:rsid w:val="00E63F34"/>
    <w:rsid w:val="00E63FEA"/>
    <w:rsid w:val="00E65431"/>
    <w:rsid w:val="00E6644A"/>
    <w:rsid w:val="00E664FE"/>
    <w:rsid w:val="00E66B7E"/>
    <w:rsid w:val="00E66F21"/>
    <w:rsid w:val="00E6715A"/>
    <w:rsid w:val="00E749E5"/>
    <w:rsid w:val="00E74ACD"/>
    <w:rsid w:val="00E75DC9"/>
    <w:rsid w:val="00E7685F"/>
    <w:rsid w:val="00E7793D"/>
    <w:rsid w:val="00E81610"/>
    <w:rsid w:val="00E83B6C"/>
    <w:rsid w:val="00E84038"/>
    <w:rsid w:val="00E84910"/>
    <w:rsid w:val="00E85B28"/>
    <w:rsid w:val="00E85E49"/>
    <w:rsid w:val="00E90683"/>
    <w:rsid w:val="00E91976"/>
    <w:rsid w:val="00E93D88"/>
    <w:rsid w:val="00E947A6"/>
    <w:rsid w:val="00E94F43"/>
    <w:rsid w:val="00E95616"/>
    <w:rsid w:val="00E97A4A"/>
    <w:rsid w:val="00E97FC7"/>
    <w:rsid w:val="00EA0690"/>
    <w:rsid w:val="00EA12FF"/>
    <w:rsid w:val="00EA2FD2"/>
    <w:rsid w:val="00EA38A7"/>
    <w:rsid w:val="00EA3956"/>
    <w:rsid w:val="00EA3FAA"/>
    <w:rsid w:val="00EA7136"/>
    <w:rsid w:val="00EB0D30"/>
    <w:rsid w:val="00EB1206"/>
    <w:rsid w:val="00EB2259"/>
    <w:rsid w:val="00EB28BF"/>
    <w:rsid w:val="00EB3000"/>
    <w:rsid w:val="00EB325A"/>
    <w:rsid w:val="00EB5A3F"/>
    <w:rsid w:val="00EC02A5"/>
    <w:rsid w:val="00EC1269"/>
    <w:rsid w:val="00EC176B"/>
    <w:rsid w:val="00EC2793"/>
    <w:rsid w:val="00EC33CD"/>
    <w:rsid w:val="00EC5BE5"/>
    <w:rsid w:val="00EC6904"/>
    <w:rsid w:val="00EC7CC4"/>
    <w:rsid w:val="00ED1261"/>
    <w:rsid w:val="00ED2650"/>
    <w:rsid w:val="00ED396A"/>
    <w:rsid w:val="00ED3B32"/>
    <w:rsid w:val="00ED6AD3"/>
    <w:rsid w:val="00ED6DF8"/>
    <w:rsid w:val="00ED721A"/>
    <w:rsid w:val="00EE393D"/>
    <w:rsid w:val="00EE4640"/>
    <w:rsid w:val="00EE6FAD"/>
    <w:rsid w:val="00EF01CF"/>
    <w:rsid w:val="00EF3430"/>
    <w:rsid w:val="00EF5E63"/>
    <w:rsid w:val="00EF65D3"/>
    <w:rsid w:val="00EF6A47"/>
    <w:rsid w:val="00EF7A18"/>
    <w:rsid w:val="00EF7AF9"/>
    <w:rsid w:val="00F00952"/>
    <w:rsid w:val="00F01495"/>
    <w:rsid w:val="00F070BC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38E7"/>
    <w:rsid w:val="00F366A2"/>
    <w:rsid w:val="00F37418"/>
    <w:rsid w:val="00F374B2"/>
    <w:rsid w:val="00F44F43"/>
    <w:rsid w:val="00F450E1"/>
    <w:rsid w:val="00F46205"/>
    <w:rsid w:val="00F50DF4"/>
    <w:rsid w:val="00F555BC"/>
    <w:rsid w:val="00F57AFE"/>
    <w:rsid w:val="00F601E4"/>
    <w:rsid w:val="00F6058E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63E3"/>
    <w:rsid w:val="00F80821"/>
    <w:rsid w:val="00F82FA6"/>
    <w:rsid w:val="00F85256"/>
    <w:rsid w:val="00F86AD4"/>
    <w:rsid w:val="00F935CA"/>
    <w:rsid w:val="00F94F8E"/>
    <w:rsid w:val="00FA0113"/>
    <w:rsid w:val="00FA02B6"/>
    <w:rsid w:val="00FA12B2"/>
    <w:rsid w:val="00FA22A9"/>
    <w:rsid w:val="00FA25D8"/>
    <w:rsid w:val="00FA5F4A"/>
    <w:rsid w:val="00FA7610"/>
    <w:rsid w:val="00FB02BD"/>
    <w:rsid w:val="00FB398F"/>
    <w:rsid w:val="00FB4EF8"/>
    <w:rsid w:val="00FB54AE"/>
    <w:rsid w:val="00FB56EB"/>
    <w:rsid w:val="00FB5B3D"/>
    <w:rsid w:val="00FB709A"/>
    <w:rsid w:val="00FB78DD"/>
    <w:rsid w:val="00FC3EF3"/>
    <w:rsid w:val="00FC5D35"/>
    <w:rsid w:val="00FD09CB"/>
    <w:rsid w:val="00FD2049"/>
    <w:rsid w:val="00FD2140"/>
    <w:rsid w:val="00FD4869"/>
    <w:rsid w:val="00FD5B5F"/>
    <w:rsid w:val="00FD5BD6"/>
    <w:rsid w:val="00FD5BDE"/>
    <w:rsid w:val="00FD68EC"/>
    <w:rsid w:val="00FE24A5"/>
    <w:rsid w:val="00FE2B32"/>
    <w:rsid w:val="00FE3076"/>
    <w:rsid w:val="00FE31E5"/>
    <w:rsid w:val="00FE412B"/>
    <w:rsid w:val="00FE5DDC"/>
    <w:rsid w:val="00FE69B6"/>
    <w:rsid w:val="00FE6C7B"/>
    <w:rsid w:val="00FE7F09"/>
    <w:rsid w:val="00FF19AD"/>
    <w:rsid w:val="00FF1EB5"/>
    <w:rsid w:val="00FF292D"/>
    <w:rsid w:val="00FF298D"/>
    <w:rsid w:val="00FF4B55"/>
    <w:rsid w:val="00FF59BB"/>
    <w:rsid w:val="00FF6287"/>
    <w:rsid w:val="00FF6A74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7F914"/>
  <w15:docId w15:val="{E4081A05-3F11-47DF-992D-D1B29E13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B536D6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kakouts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voutouris@cystat.mof.gov.c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kis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5724-D3FC-4721-A520-D7BC2C19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7020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Christos Papageorgiou</cp:lastModifiedBy>
  <cp:revision>3</cp:revision>
  <cp:lastPrinted>2025-09-17T08:06:00Z</cp:lastPrinted>
  <dcterms:created xsi:type="dcterms:W3CDTF">2025-12-16T11:34:00Z</dcterms:created>
  <dcterms:modified xsi:type="dcterms:W3CDTF">2025-12-17T09:01:00Z</dcterms:modified>
</cp:coreProperties>
</file>