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5E2A" w14:textId="77777777" w:rsidR="00FF7292" w:rsidRPr="00FF7292" w:rsidRDefault="00FF7292" w:rsidP="00FF7292">
      <w:pPr>
        <w:tabs>
          <w:tab w:val="left" w:pos="1080"/>
          <w:tab w:val="left" w:pos="7088"/>
        </w:tabs>
        <w:jc w:val="right"/>
        <w:rPr>
          <w:rFonts w:ascii="Verdana" w:eastAsia="Malgun Gothic" w:hAnsi="Verdana" w:cs="Arial"/>
          <w:sz w:val="18"/>
          <w:szCs w:val="18"/>
          <w:lang w:val="el-GR"/>
        </w:rPr>
      </w:pPr>
      <w:r w:rsidRPr="00FA05F3">
        <w:rPr>
          <w:rFonts w:ascii="Verdana" w:hAnsi="Verdana" w:cs="Arial"/>
          <w:sz w:val="18"/>
          <w:szCs w:val="18"/>
          <w:lang w:val="el-GR"/>
        </w:rPr>
        <w:t>2</w:t>
      </w:r>
      <w:r w:rsidRPr="00FF7292">
        <w:rPr>
          <w:rFonts w:ascii="Verdana" w:hAnsi="Verdana" w:cs="Arial"/>
          <w:sz w:val="18"/>
          <w:szCs w:val="18"/>
          <w:lang w:val="el-GR"/>
        </w:rPr>
        <w:t>1</w:t>
      </w:r>
      <w:r w:rsidRPr="00FA05F3">
        <w:rPr>
          <w:rFonts w:ascii="Verdana" w:hAnsi="Verdana" w:cs="Arial"/>
          <w:sz w:val="18"/>
          <w:szCs w:val="18"/>
          <w:lang w:val="el-GR"/>
        </w:rPr>
        <w:t xml:space="preserve"> Μαρτίου</w:t>
      </w:r>
      <w:r w:rsidRPr="00FA05F3">
        <w:rPr>
          <w:rFonts w:ascii="Verdana" w:eastAsia="Malgun Gothic" w:hAnsi="Verdana" w:cs="Arial"/>
          <w:sz w:val="18"/>
          <w:szCs w:val="18"/>
          <w:lang w:val="el-GR"/>
        </w:rPr>
        <w:t>, 2025</w:t>
      </w:r>
    </w:p>
    <w:p w14:paraId="0446518B" w14:textId="77777777" w:rsidR="00FF7292" w:rsidRPr="00FA05F3" w:rsidRDefault="00FF7292" w:rsidP="00FF7292">
      <w:pPr>
        <w:jc w:val="both"/>
        <w:rPr>
          <w:rFonts w:ascii="Verdana" w:eastAsia="Malgun Gothic" w:hAnsi="Verdana" w:cs="Arial"/>
          <w:b/>
          <w:sz w:val="18"/>
          <w:szCs w:val="18"/>
          <w:lang w:val="el-GR"/>
        </w:rPr>
      </w:pPr>
    </w:p>
    <w:p w14:paraId="18B304A2" w14:textId="77777777" w:rsidR="00FF7292" w:rsidRPr="00FA05F3" w:rsidRDefault="00FF7292" w:rsidP="00FF7292">
      <w:pPr>
        <w:jc w:val="center"/>
        <w:rPr>
          <w:rFonts w:ascii="Verdana" w:eastAsia="Malgun Gothic" w:hAnsi="Verdana" w:cs="Arial"/>
          <w:b/>
          <w:sz w:val="24"/>
          <w:szCs w:val="24"/>
          <w:lang w:val="el-GR"/>
        </w:rPr>
      </w:pPr>
      <w:r w:rsidRPr="00FA05F3">
        <w:rPr>
          <w:rFonts w:ascii="Verdana" w:eastAsia="Malgun Gothic" w:hAnsi="Verdana" w:cs="Arial"/>
          <w:b/>
          <w:sz w:val="24"/>
          <w:szCs w:val="24"/>
          <w:lang w:val="el-GR"/>
        </w:rPr>
        <w:t>ΔΕΛΤΙΟ ΤΥΠΟΥ</w:t>
      </w:r>
    </w:p>
    <w:p w14:paraId="26C58B1A" w14:textId="77777777" w:rsidR="00FF7292" w:rsidRPr="00FA05F3" w:rsidRDefault="00FF7292" w:rsidP="00FF7292">
      <w:pPr>
        <w:jc w:val="both"/>
        <w:rPr>
          <w:rFonts w:ascii="Verdana" w:eastAsia="Malgun Gothic" w:hAnsi="Verdana" w:cs="Arial"/>
          <w:sz w:val="18"/>
          <w:szCs w:val="18"/>
          <w:lang w:val="el-GR"/>
        </w:rPr>
      </w:pPr>
    </w:p>
    <w:p w14:paraId="03762C88" w14:textId="77777777" w:rsidR="00FF7292" w:rsidRPr="00FA05F3" w:rsidRDefault="00FF7292" w:rsidP="00FF7292">
      <w:pPr>
        <w:jc w:val="both"/>
        <w:rPr>
          <w:rFonts w:ascii="Verdana" w:eastAsia="Arial,Bold" w:hAnsi="Verdana"/>
          <w:b/>
          <w:u w:val="single"/>
          <w:lang w:val="el-GR"/>
        </w:rPr>
      </w:pPr>
      <w:r w:rsidRPr="00FA05F3">
        <w:rPr>
          <w:rFonts w:ascii="Verdana" w:eastAsia="Arial,Bold" w:hAnsi="Verdana"/>
          <w:u w:val="single"/>
          <w:lang w:val="el-GR"/>
        </w:rPr>
        <w:t xml:space="preserve">ΕΡΕΥΝΑ ΟΙΚΟΓΕΝΕΙΑΚΩΝ ΠΡΟΫΠΟΛΟΓΙΣΜΩΝ: </w:t>
      </w:r>
      <w:r w:rsidRPr="00FA05F3">
        <w:rPr>
          <w:rFonts w:ascii="Verdana" w:eastAsia="Arial,Bold" w:hAnsi="Verdana"/>
          <w:b/>
          <w:u w:val="single"/>
          <w:lang w:val="el-GR"/>
        </w:rPr>
        <w:t>2023</w:t>
      </w:r>
    </w:p>
    <w:p w14:paraId="679706D7" w14:textId="77777777" w:rsidR="00FF7292" w:rsidRPr="00FA05F3" w:rsidRDefault="00FF7292" w:rsidP="00FF7292">
      <w:pPr>
        <w:jc w:val="both"/>
        <w:rPr>
          <w:rFonts w:ascii="Verdana" w:eastAsia="Arial,Bold" w:hAnsi="Verdana"/>
          <w:sz w:val="18"/>
          <w:szCs w:val="18"/>
          <w:lang w:val="el-GR"/>
        </w:rPr>
      </w:pPr>
    </w:p>
    <w:p w14:paraId="27EE511B" w14:textId="77777777" w:rsidR="00FF7292" w:rsidRPr="00FA05F3" w:rsidRDefault="00FF7292" w:rsidP="00FF7292">
      <w:pPr>
        <w:jc w:val="both"/>
        <w:rPr>
          <w:rFonts w:ascii="Verdana" w:eastAsia="Malgun Gothic" w:hAnsi="Verdana" w:cs="Arial"/>
          <w:sz w:val="18"/>
          <w:szCs w:val="18"/>
          <w:lang w:val="el-GR"/>
        </w:rPr>
      </w:pPr>
    </w:p>
    <w:p w14:paraId="7CAA3AF8" w14:textId="77777777" w:rsidR="00FF7292" w:rsidRPr="00FA05F3" w:rsidRDefault="00FF7292" w:rsidP="00FF7292">
      <w:pPr>
        <w:jc w:val="center"/>
        <w:rPr>
          <w:rFonts w:ascii="Verdana" w:eastAsia="Arial,Bold" w:hAnsi="Verdana"/>
          <w:b/>
          <w:i/>
          <w:lang w:val="el-GR"/>
        </w:rPr>
      </w:pPr>
      <w:r w:rsidRPr="00FA05F3">
        <w:rPr>
          <w:rFonts w:ascii="Verdana" w:eastAsia="Arial,Bold" w:hAnsi="Verdana"/>
          <w:b/>
          <w:lang w:val="el-GR"/>
        </w:rPr>
        <w:t xml:space="preserve">Μέση Ετήσια Καταναλωτική Δαπάνη Νοικοκυριού </w:t>
      </w:r>
      <w:r w:rsidRPr="00FA05F3">
        <w:rPr>
          <w:rFonts w:ascii="Verdana" w:hAnsi="Verdana"/>
          <w:b/>
          <w:lang w:val="el-GR"/>
        </w:rPr>
        <w:t>€</w:t>
      </w:r>
      <w:r w:rsidRPr="00FA05F3">
        <w:rPr>
          <w:rFonts w:ascii="Verdana" w:eastAsia="Arial,Bold" w:hAnsi="Verdana"/>
          <w:b/>
          <w:lang w:val="el-GR"/>
        </w:rPr>
        <w:t>43.263</w:t>
      </w:r>
    </w:p>
    <w:p w14:paraId="29A524D8" w14:textId="77777777" w:rsidR="00FF7292" w:rsidRPr="00FA05F3" w:rsidRDefault="00FF7292" w:rsidP="00FF7292">
      <w:pPr>
        <w:jc w:val="both"/>
        <w:rPr>
          <w:rFonts w:ascii="Verdana" w:hAnsi="Verdana" w:cs="Arial"/>
          <w:sz w:val="18"/>
          <w:szCs w:val="18"/>
          <w:lang w:val="el-GR"/>
        </w:rPr>
      </w:pPr>
    </w:p>
    <w:p w14:paraId="3F8349E9" w14:textId="77777777" w:rsidR="00FF7292" w:rsidRDefault="00FF7292" w:rsidP="00FF7292">
      <w:pPr>
        <w:jc w:val="both"/>
        <w:rPr>
          <w:rFonts w:ascii="Verdana" w:hAnsi="Verdana" w:cs="Arial"/>
          <w:sz w:val="18"/>
          <w:szCs w:val="18"/>
          <w:lang w:val="el-GR"/>
        </w:rPr>
      </w:pPr>
    </w:p>
    <w:p w14:paraId="2AB74883" w14:textId="77777777" w:rsidR="00FF7292" w:rsidRPr="00FA05F3" w:rsidRDefault="00FF7292" w:rsidP="00FF7292">
      <w:pPr>
        <w:jc w:val="both"/>
        <w:rPr>
          <w:rFonts w:ascii="Verdana" w:hAnsi="Verdana" w:cs="Arial"/>
          <w:sz w:val="18"/>
          <w:szCs w:val="18"/>
          <w:lang w:val="el-GR"/>
        </w:rPr>
      </w:pPr>
      <w:r w:rsidRPr="00FA05F3">
        <w:rPr>
          <w:rFonts w:ascii="Verdana" w:hAnsi="Verdana" w:cs="Arial"/>
          <w:sz w:val="18"/>
          <w:szCs w:val="18"/>
          <w:lang w:val="el-GR"/>
        </w:rPr>
        <w:t>Με βάση τα αποτελέσματα της Έρευνας Οικογενειακών Προϋπολογισμών 2023, η μέση ετήσια καταναλωτική δαπάνη ανά νοικοκυριό για το 2023 ανήλθε σε €43.263, έναντι €31.206 το 2015/2016 (Διάγραμμα 1), σημειώνοντας αύξηση 38,6%.</w:t>
      </w:r>
    </w:p>
    <w:p w14:paraId="54658D66" w14:textId="77777777" w:rsidR="00FF7292" w:rsidRDefault="00FF7292" w:rsidP="00FF7292">
      <w:pPr>
        <w:jc w:val="both"/>
        <w:rPr>
          <w:rFonts w:ascii="Verdana" w:hAnsi="Verdana" w:cs="Arial"/>
          <w:sz w:val="18"/>
          <w:szCs w:val="18"/>
          <w:lang w:val="el-GR"/>
        </w:rPr>
      </w:pPr>
    </w:p>
    <w:p w14:paraId="0B29F9F3" w14:textId="77777777" w:rsidR="00F52700" w:rsidRPr="00FA05F3" w:rsidRDefault="00F52700" w:rsidP="00FF7292">
      <w:pPr>
        <w:jc w:val="both"/>
        <w:rPr>
          <w:rFonts w:ascii="Verdana" w:hAnsi="Verdana" w:cs="Arial"/>
          <w:sz w:val="18"/>
          <w:szCs w:val="18"/>
          <w:lang w:val="el-GR"/>
        </w:rPr>
      </w:pPr>
    </w:p>
    <w:p w14:paraId="56EE6AA7" w14:textId="4A0BFECC" w:rsidR="00FF7292" w:rsidRPr="00FA05F3" w:rsidRDefault="00F52700" w:rsidP="00FF7292">
      <w:pPr>
        <w:jc w:val="center"/>
        <w:rPr>
          <w:rFonts w:ascii="Verdana" w:eastAsia="Malgun Gothic" w:hAnsi="Verdana" w:cs="Arial"/>
          <w:noProof/>
          <w:sz w:val="18"/>
          <w:szCs w:val="18"/>
          <w:lang w:val="el-GR"/>
        </w:rPr>
      </w:pPr>
      <w:r>
        <w:rPr>
          <w:rFonts w:ascii="Verdana" w:eastAsia="Malgun Gothic" w:hAnsi="Verdana" w:cs="Arial"/>
          <w:noProof/>
          <w:sz w:val="18"/>
          <w:szCs w:val="18"/>
          <w:lang w:val="el-GR"/>
        </w:rPr>
        <w:drawing>
          <wp:inline distT="0" distB="0" distL="0" distR="0" wp14:anchorId="4723B5C5" wp14:editId="44E2C0D2">
            <wp:extent cx="6096635" cy="4511675"/>
            <wp:effectExtent l="0" t="0" r="0" b="3175"/>
            <wp:docPr id="5606939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511675"/>
                    </a:xfrm>
                    <a:prstGeom prst="rect">
                      <a:avLst/>
                    </a:prstGeom>
                    <a:noFill/>
                  </pic:spPr>
                </pic:pic>
              </a:graphicData>
            </a:graphic>
          </wp:inline>
        </w:drawing>
      </w:r>
    </w:p>
    <w:p w14:paraId="137E7864" w14:textId="77777777" w:rsidR="00FF7292" w:rsidRDefault="00FF7292" w:rsidP="00FF7292">
      <w:pPr>
        <w:jc w:val="both"/>
        <w:rPr>
          <w:rFonts w:ascii="Verdana" w:eastAsia="Malgun Gothic" w:hAnsi="Verdana" w:cs="Arial"/>
          <w:sz w:val="18"/>
          <w:szCs w:val="18"/>
          <w:lang w:val="el-GR"/>
        </w:rPr>
      </w:pPr>
    </w:p>
    <w:p w14:paraId="5FE4A6EC" w14:textId="77777777" w:rsidR="00042F62" w:rsidRPr="00042F62" w:rsidRDefault="00042F62" w:rsidP="00FF7292">
      <w:pPr>
        <w:jc w:val="both"/>
        <w:rPr>
          <w:rFonts w:ascii="Verdana" w:eastAsia="Malgun Gothic" w:hAnsi="Verdana" w:cs="Arial"/>
          <w:sz w:val="18"/>
          <w:szCs w:val="18"/>
          <w:lang w:val="el-GR"/>
        </w:rPr>
      </w:pPr>
    </w:p>
    <w:p w14:paraId="75DD4122" w14:textId="77777777" w:rsidR="00FF7292" w:rsidRPr="00FA05F3" w:rsidRDefault="00FF7292" w:rsidP="00FF7292">
      <w:pPr>
        <w:jc w:val="both"/>
        <w:rPr>
          <w:rFonts w:ascii="Verdana" w:eastAsia="Malgun Gothic" w:hAnsi="Verdana" w:cs="Arial"/>
          <w:sz w:val="18"/>
          <w:szCs w:val="18"/>
          <w:lang w:val="el-GR"/>
        </w:rPr>
      </w:pPr>
      <w:r w:rsidRPr="00FA05F3">
        <w:rPr>
          <w:rFonts w:ascii="Verdana" w:eastAsia="Malgun Gothic" w:hAnsi="Verdana" w:cs="Arial"/>
          <w:sz w:val="18"/>
          <w:szCs w:val="18"/>
          <w:lang w:val="el-GR"/>
        </w:rPr>
        <w:t>Στις αστικές περιοχές, η μέση ετήσια καταναλωτική δαπάνη ανά νοικοκυριό για το 2023 ανήλθε σε €44.548, έναντι €31.884 το 2015/2016, καταγράφοντας αύξηση 39,7%. Αντίστοιχα, στις αγροτικές περιοχές, η μέση ετήσια καταναλωτική δαπάνη ανά νοικοκυριό για το 2023 ανήλθε σε €40.505 έναντι €29.740 το 2015/2016, σημειώνοντας αύξηση 36,2% (Πίνακας 2).</w:t>
      </w:r>
    </w:p>
    <w:p w14:paraId="4418A705" w14:textId="77777777" w:rsidR="00FF7292" w:rsidRDefault="00FF7292" w:rsidP="00FF7292">
      <w:pPr>
        <w:jc w:val="both"/>
        <w:rPr>
          <w:rFonts w:ascii="Verdana" w:eastAsia="Malgun Gothic" w:hAnsi="Verdana" w:cs="Arial"/>
          <w:b/>
          <w:sz w:val="18"/>
          <w:szCs w:val="18"/>
          <w:u w:val="single"/>
          <w:lang w:val="el-GR"/>
        </w:rPr>
      </w:pPr>
    </w:p>
    <w:p w14:paraId="6B596DFE" w14:textId="77777777" w:rsidR="00F52700" w:rsidRDefault="00F52700" w:rsidP="00FF7292">
      <w:pPr>
        <w:jc w:val="both"/>
        <w:rPr>
          <w:rFonts w:ascii="Verdana" w:eastAsia="Malgun Gothic" w:hAnsi="Verdana" w:cs="Arial"/>
          <w:b/>
          <w:sz w:val="18"/>
          <w:szCs w:val="18"/>
          <w:u w:val="single"/>
          <w:lang w:val="el-GR"/>
        </w:rPr>
      </w:pPr>
    </w:p>
    <w:p w14:paraId="7B091A13" w14:textId="77777777" w:rsidR="00F52700" w:rsidRDefault="00F52700" w:rsidP="00FF7292">
      <w:pPr>
        <w:jc w:val="both"/>
        <w:rPr>
          <w:rFonts w:ascii="Verdana" w:eastAsia="Malgun Gothic" w:hAnsi="Verdana" w:cs="Arial"/>
          <w:b/>
          <w:sz w:val="18"/>
          <w:szCs w:val="18"/>
          <w:u w:val="single"/>
          <w:lang w:val="el-GR"/>
        </w:rPr>
      </w:pPr>
    </w:p>
    <w:p w14:paraId="7FCDDA3E" w14:textId="77777777" w:rsidR="00F52700" w:rsidRDefault="00F52700" w:rsidP="00FF7292">
      <w:pPr>
        <w:jc w:val="both"/>
        <w:rPr>
          <w:rFonts w:ascii="Verdana" w:eastAsia="Malgun Gothic" w:hAnsi="Verdana" w:cs="Arial"/>
          <w:b/>
          <w:sz w:val="18"/>
          <w:szCs w:val="18"/>
          <w:u w:val="single"/>
          <w:lang w:val="el-GR"/>
        </w:rPr>
      </w:pPr>
    </w:p>
    <w:p w14:paraId="00CC336D" w14:textId="77777777" w:rsidR="00FF7292" w:rsidRPr="00FA05F3" w:rsidRDefault="00FF7292" w:rsidP="00FF7292">
      <w:pPr>
        <w:jc w:val="both"/>
        <w:rPr>
          <w:rFonts w:ascii="Verdana" w:eastAsia="Malgun Gothic" w:hAnsi="Verdana" w:cs="Arial"/>
          <w:b/>
          <w:sz w:val="18"/>
          <w:szCs w:val="18"/>
          <w:u w:val="single"/>
          <w:lang w:val="el-GR"/>
        </w:rPr>
      </w:pPr>
      <w:r w:rsidRPr="00FA05F3">
        <w:rPr>
          <w:rFonts w:ascii="Verdana" w:eastAsia="Malgun Gothic" w:hAnsi="Verdana" w:cs="Arial"/>
          <w:b/>
          <w:sz w:val="18"/>
          <w:szCs w:val="18"/>
          <w:u w:val="single"/>
          <w:lang w:val="el-GR"/>
        </w:rPr>
        <w:lastRenderedPageBreak/>
        <w:t>Ανάλυση Μεταβολών</w:t>
      </w:r>
    </w:p>
    <w:p w14:paraId="34DD9073" w14:textId="77777777" w:rsidR="00FF7292" w:rsidRPr="00FA05F3" w:rsidRDefault="00FF7292" w:rsidP="00FF7292">
      <w:pPr>
        <w:jc w:val="both"/>
        <w:rPr>
          <w:rFonts w:ascii="Verdana" w:eastAsia="Malgun Gothic" w:hAnsi="Verdana" w:cs="Arial"/>
          <w:sz w:val="18"/>
          <w:szCs w:val="18"/>
          <w:lang w:val="el-GR"/>
        </w:rPr>
      </w:pPr>
    </w:p>
    <w:p w14:paraId="32FB59EE" w14:textId="77777777" w:rsidR="00FF7292" w:rsidRPr="00FA05F3" w:rsidRDefault="00FF7292" w:rsidP="00FF7292">
      <w:pPr>
        <w:jc w:val="both"/>
        <w:rPr>
          <w:rFonts w:ascii="Verdana" w:hAnsi="Verdana"/>
          <w:sz w:val="18"/>
          <w:szCs w:val="18"/>
          <w:lang w:val="el-GR"/>
        </w:rPr>
      </w:pPr>
      <w:r w:rsidRPr="00FA05F3">
        <w:rPr>
          <w:rFonts w:ascii="Verdana" w:eastAsia="Malgun Gothic" w:hAnsi="Verdana" w:cs="Arial"/>
          <w:sz w:val="18"/>
          <w:szCs w:val="18"/>
          <w:lang w:val="el-GR"/>
        </w:rPr>
        <w:t xml:space="preserve">Σε όλες τις κύριες κατηγορίες αγαθών και υπηρεσιών καταγράφηκε αύξηση στις δαπάνες σε σύγκριση με το 2015/2016, με εξαίρεση την κατηγορία της «Υγείας», όπου σημειώθηκε μείωση κατά 26,4% (Πίνακας 1). Η μεγαλύτερη αύξηση καταγράφηκε στην κατηγορία «Ασφάλειες και χρηματοπιστωτικές υπηρεσίες», όπου η δαπάνη αυξήθηκε κατά 126,5%. Αξίζει να σημειωθεί ότι οι δύο αυτές κατηγορίες συνδέονται, </w:t>
      </w:r>
      <w:r w:rsidRPr="00FA05F3">
        <w:rPr>
          <w:rFonts w:ascii="Verdana" w:hAnsi="Verdana"/>
          <w:sz w:val="18"/>
          <w:szCs w:val="18"/>
          <w:lang w:val="el-GR"/>
        </w:rPr>
        <w:t xml:space="preserve">καθώς η μείωση των δαπανών για την υγεία αποδίδεται στην εφαρμογή του </w:t>
      </w:r>
      <w:r w:rsidRPr="00FA05F3">
        <w:rPr>
          <w:rStyle w:val="Strong"/>
          <w:rFonts w:ascii="Verdana" w:hAnsi="Verdana"/>
          <w:b w:val="0"/>
          <w:sz w:val="18"/>
          <w:szCs w:val="18"/>
          <w:lang w:val="el-GR"/>
        </w:rPr>
        <w:t>Γενικού Συστήματος Υγείας (</w:t>
      </w:r>
      <w:proofErr w:type="spellStart"/>
      <w:r w:rsidRPr="00FA05F3">
        <w:rPr>
          <w:rStyle w:val="Strong"/>
          <w:rFonts w:ascii="Verdana" w:hAnsi="Verdana"/>
          <w:b w:val="0"/>
          <w:sz w:val="18"/>
          <w:szCs w:val="18"/>
          <w:lang w:val="el-GR"/>
        </w:rPr>
        <w:t>Γε.Σ.Υ</w:t>
      </w:r>
      <w:proofErr w:type="spellEnd"/>
      <w:r w:rsidRPr="00FA05F3">
        <w:rPr>
          <w:rStyle w:val="Strong"/>
          <w:rFonts w:ascii="Verdana" w:hAnsi="Verdana"/>
          <w:b w:val="0"/>
          <w:sz w:val="18"/>
          <w:szCs w:val="18"/>
          <w:lang w:val="el-GR"/>
        </w:rPr>
        <w:t xml:space="preserve">.), </w:t>
      </w:r>
      <w:r w:rsidRPr="00FA05F3">
        <w:rPr>
          <w:rFonts w:ascii="Verdana" w:hAnsi="Verdana"/>
          <w:sz w:val="18"/>
          <w:szCs w:val="18"/>
          <w:lang w:val="el-GR"/>
        </w:rPr>
        <w:t xml:space="preserve">ενώ η μεγάλη αύξηση στην κατηγορία </w:t>
      </w:r>
      <w:r w:rsidRPr="00FA05F3">
        <w:rPr>
          <w:rStyle w:val="Strong"/>
          <w:rFonts w:ascii="Verdana" w:hAnsi="Verdana"/>
          <w:b w:val="0"/>
          <w:sz w:val="18"/>
          <w:szCs w:val="18"/>
          <w:lang w:val="el-GR"/>
        </w:rPr>
        <w:t xml:space="preserve">«Ασφάλειες και χρηματοπιστωτικές υπηρεσίες» οφείλεται στις εισφορές των νοικοκυριών στο </w:t>
      </w:r>
      <w:proofErr w:type="spellStart"/>
      <w:r w:rsidRPr="00FA05F3">
        <w:rPr>
          <w:rStyle w:val="Strong"/>
          <w:rFonts w:ascii="Verdana" w:hAnsi="Verdana"/>
          <w:b w:val="0"/>
          <w:sz w:val="18"/>
          <w:szCs w:val="18"/>
          <w:lang w:val="el-GR"/>
        </w:rPr>
        <w:t>Γε.Σ.Υ</w:t>
      </w:r>
      <w:proofErr w:type="spellEnd"/>
      <w:r w:rsidRPr="00FA05F3">
        <w:rPr>
          <w:rStyle w:val="Strong"/>
          <w:rFonts w:ascii="Verdana" w:hAnsi="Verdana"/>
          <w:b w:val="0"/>
          <w:sz w:val="18"/>
          <w:szCs w:val="18"/>
          <w:lang w:val="el-GR"/>
        </w:rPr>
        <w:t>.</w:t>
      </w:r>
      <w:r w:rsidRPr="00FA05F3">
        <w:rPr>
          <w:rFonts w:ascii="Verdana" w:hAnsi="Verdana"/>
          <w:sz w:val="18"/>
          <w:szCs w:val="18"/>
          <w:lang w:val="el-GR"/>
        </w:rPr>
        <w:t xml:space="preserve">. </w:t>
      </w:r>
    </w:p>
    <w:p w14:paraId="6FB5CFBE" w14:textId="77777777" w:rsidR="00FF7292" w:rsidRPr="00FA05F3" w:rsidRDefault="00FF7292" w:rsidP="00FF7292">
      <w:pPr>
        <w:jc w:val="both"/>
        <w:rPr>
          <w:rFonts w:ascii="Verdana" w:hAnsi="Verdana"/>
          <w:sz w:val="18"/>
          <w:szCs w:val="18"/>
          <w:lang w:val="el-GR"/>
        </w:rPr>
      </w:pPr>
    </w:p>
    <w:p w14:paraId="2CEFB123" w14:textId="77777777" w:rsidR="00FF7292" w:rsidRPr="00FA05F3" w:rsidRDefault="00FF7292" w:rsidP="00FF7292">
      <w:pPr>
        <w:jc w:val="both"/>
        <w:rPr>
          <w:rFonts w:ascii="Verdana" w:eastAsia="Malgun Gothic" w:hAnsi="Verdana" w:cs="Arial"/>
          <w:sz w:val="18"/>
          <w:szCs w:val="18"/>
          <w:lang w:val="el-GR"/>
        </w:rPr>
      </w:pPr>
      <w:r w:rsidRPr="00FA05F3">
        <w:rPr>
          <w:rFonts w:ascii="Verdana" w:hAnsi="Verdana"/>
          <w:sz w:val="18"/>
          <w:szCs w:val="18"/>
          <w:lang w:val="el-GR"/>
        </w:rPr>
        <w:t xml:space="preserve">Σημαντική αύξηση καταγράφηκε επίσης στην κατηγορία «Εστιατόρια και υπηρεσίες διαμονής», όπου η δαπάνη αυξήθηκε κατά 71,5%, καθώς και στην κατηγορία «Στέγαση», όπου η αύξηση ανήλθε στο 49,2%. </w:t>
      </w:r>
    </w:p>
    <w:p w14:paraId="29865BC8" w14:textId="77777777" w:rsidR="00042F62" w:rsidRPr="00FA05F3" w:rsidRDefault="00042F62" w:rsidP="00FF7292">
      <w:pPr>
        <w:jc w:val="both"/>
        <w:rPr>
          <w:rFonts w:ascii="Verdana" w:eastAsia="Malgun Gothic" w:hAnsi="Verdana" w:cs="Arial"/>
          <w:b/>
          <w:sz w:val="18"/>
          <w:szCs w:val="18"/>
          <w:u w:val="single"/>
          <w:lang w:val="el-GR"/>
        </w:rPr>
      </w:pPr>
    </w:p>
    <w:p w14:paraId="5EA70CDA" w14:textId="77777777" w:rsidR="00FF7292" w:rsidRPr="00FA05F3" w:rsidRDefault="00FF7292" w:rsidP="00FF7292">
      <w:pPr>
        <w:jc w:val="both"/>
        <w:rPr>
          <w:rFonts w:ascii="Verdana" w:eastAsia="Malgun Gothic" w:hAnsi="Verdana" w:cs="Arial"/>
          <w:b/>
          <w:sz w:val="18"/>
          <w:szCs w:val="18"/>
          <w:u w:val="single"/>
          <w:lang w:val="el-GR"/>
        </w:rPr>
      </w:pPr>
      <w:r w:rsidRPr="00FA05F3">
        <w:rPr>
          <w:rFonts w:ascii="Verdana" w:eastAsia="Malgun Gothic" w:hAnsi="Verdana" w:cs="Arial"/>
          <w:b/>
          <w:sz w:val="18"/>
          <w:szCs w:val="18"/>
          <w:u w:val="single"/>
          <w:lang w:val="el-GR"/>
        </w:rPr>
        <w:t>Κατανομή Δαπανών</w:t>
      </w:r>
    </w:p>
    <w:p w14:paraId="49A4EA07" w14:textId="77777777" w:rsidR="00FF7292" w:rsidRPr="00FA05F3" w:rsidRDefault="00FF7292" w:rsidP="00FF7292">
      <w:pPr>
        <w:jc w:val="both"/>
        <w:rPr>
          <w:rFonts w:ascii="Verdana" w:eastAsia="Malgun Gothic" w:hAnsi="Verdana" w:cs="Arial"/>
          <w:sz w:val="18"/>
          <w:szCs w:val="18"/>
          <w:lang w:val="el-GR"/>
        </w:rPr>
      </w:pPr>
    </w:p>
    <w:p w14:paraId="56B2D86C" w14:textId="77777777" w:rsidR="00FF7292" w:rsidRPr="00FA05F3" w:rsidRDefault="00FF7292" w:rsidP="00FF7292">
      <w:pPr>
        <w:jc w:val="both"/>
        <w:rPr>
          <w:rFonts w:ascii="Verdana" w:eastAsia="Malgun Gothic" w:hAnsi="Verdana" w:cs="Arial"/>
          <w:sz w:val="18"/>
          <w:szCs w:val="18"/>
          <w:lang w:val="el-GR"/>
        </w:rPr>
      </w:pPr>
      <w:r w:rsidRPr="00FA05F3">
        <w:rPr>
          <w:rFonts w:ascii="Verdana" w:eastAsia="Malgun Gothic" w:hAnsi="Verdana" w:cs="Arial"/>
          <w:sz w:val="18"/>
          <w:szCs w:val="18"/>
          <w:lang w:val="el-GR"/>
        </w:rPr>
        <w:t>Όπως προκύπτει από το Διάγραμμα 2, όπου παρουσιάζεται η ποσοστιαία κατανομή της μέσης ετήσιας καταναλωτικής δαπάνης των νοικοκυριών ανά κύρια κατηγορία αγαθών και υπηρεσιών, το μεγαλύτερο ποσοστό των δαπανών του ετήσιου προϋπολογισμού των νοικοκυριών αφορά στη στέγαση (27,5%) και ακολουθούν τα είδη διατροφής (14,5%) και οι μεταφορές (11,6%). Αντίθετα, το μικρότερο ποσοστό καταγράφεται στην κατηγορία αλκοολούχα ποτά και καπνός (1,4%). Ανάλογες καταναλωτικές τάσεις παρατηρήθηκαν και το 2015/2016, με τα αντίστοιχα ποσοστά να ανέρχονται σε 25,5%, 15,3%, 12,0% και 1,6%.</w:t>
      </w:r>
    </w:p>
    <w:p w14:paraId="262584D2" w14:textId="77777777" w:rsidR="00FF7292" w:rsidRDefault="00FF7292" w:rsidP="00FF7292">
      <w:pPr>
        <w:jc w:val="both"/>
        <w:rPr>
          <w:rFonts w:ascii="Verdana" w:eastAsia="Malgun Gothic" w:hAnsi="Verdana" w:cs="Arial"/>
          <w:sz w:val="18"/>
          <w:szCs w:val="18"/>
          <w:lang w:val="el-GR"/>
        </w:rPr>
      </w:pPr>
    </w:p>
    <w:p w14:paraId="0552D924" w14:textId="77777777" w:rsidR="00042F62" w:rsidRPr="00FA05F3" w:rsidRDefault="00042F62" w:rsidP="00FF7292">
      <w:pPr>
        <w:jc w:val="both"/>
        <w:rPr>
          <w:rFonts w:ascii="Verdana" w:eastAsia="Malgun Gothic" w:hAnsi="Verdana" w:cs="Arial"/>
          <w:sz w:val="18"/>
          <w:szCs w:val="18"/>
          <w:lang w:val="el-GR"/>
        </w:rPr>
      </w:pPr>
    </w:p>
    <w:p w14:paraId="0865411D" w14:textId="3234B34A" w:rsidR="00FF7292" w:rsidRPr="00FA05F3" w:rsidRDefault="00703204" w:rsidP="00FF7292">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20CE654C" wp14:editId="7CB7CCB2">
            <wp:extent cx="6096635" cy="5157470"/>
            <wp:effectExtent l="0" t="0" r="0" b="5080"/>
            <wp:docPr id="3288900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5157470"/>
                    </a:xfrm>
                    <a:prstGeom prst="rect">
                      <a:avLst/>
                    </a:prstGeom>
                    <a:noFill/>
                  </pic:spPr>
                </pic:pic>
              </a:graphicData>
            </a:graphic>
          </wp:inline>
        </w:drawing>
      </w:r>
    </w:p>
    <w:p w14:paraId="2F7F9A54" w14:textId="77777777" w:rsidR="00FF7292" w:rsidRPr="00FA05F3" w:rsidRDefault="00FF7292" w:rsidP="00FF7292">
      <w:pPr>
        <w:jc w:val="both"/>
        <w:rPr>
          <w:rFonts w:ascii="Verdana" w:eastAsia="Malgun Gothic" w:hAnsi="Verdana" w:cs="Arial"/>
          <w:sz w:val="18"/>
          <w:szCs w:val="18"/>
          <w:lang w:val="el-GR"/>
        </w:rPr>
      </w:pPr>
    </w:p>
    <w:p w14:paraId="4D50431C" w14:textId="77777777" w:rsidR="00FF7292" w:rsidRPr="00FA05F3" w:rsidRDefault="00FF7292" w:rsidP="00FF7292">
      <w:pPr>
        <w:jc w:val="both"/>
        <w:rPr>
          <w:rFonts w:ascii="Verdana" w:eastAsia="Malgun Gothic" w:hAnsi="Verdana" w:cs="Arial"/>
          <w:sz w:val="18"/>
          <w:szCs w:val="18"/>
          <w:lang w:val="el-GR"/>
        </w:rPr>
      </w:pPr>
    </w:p>
    <w:p w14:paraId="1B2B64A9" w14:textId="77777777" w:rsidR="00FF7292" w:rsidRPr="00FA05F3" w:rsidRDefault="00FF7292" w:rsidP="00FF7292">
      <w:pPr>
        <w:jc w:val="both"/>
        <w:rPr>
          <w:rFonts w:ascii="Verdana" w:eastAsia="Times New Roman" w:hAnsi="Verdana"/>
          <w:b/>
          <w:color w:val="365F91"/>
          <w:sz w:val="18"/>
          <w:szCs w:val="18"/>
        </w:rPr>
      </w:pPr>
    </w:p>
    <w:p w14:paraId="6AC178EA" w14:textId="77777777" w:rsidR="00FF7292" w:rsidRPr="00FA05F3" w:rsidRDefault="00FF7292" w:rsidP="00FF7292">
      <w:pPr>
        <w:jc w:val="both"/>
        <w:rPr>
          <w:rFonts w:ascii="Verdana" w:eastAsia="Times New Roman" w:hAnsi="Verdana"/>
          <w:b/>
          <w:color w:val="365F91"/>
          <w:sz w:val="18"/>
          <w:szCs w:val="18"/>
        </w:rPr>
      </w:pPr>
    </w:p>
    <w:p w14:paraId="1B489AD4" w14:textId="77777777" w:rsidR="00FF7292" w:rsidRPr="00FA05F3" w:rsidRDefault="00FF7292" w:rsidP="00FF7292">
      <w:pPr>
        <w:jc w:val="both"/>
        <w:rPr>
          <w:rFonts w:ascii="Verdana" w:eastAsia="Times New Roman" w:hAnsi="Verdana"/>
          <w:b/>
          <w:color w:val="365F91"/>
          <w:sz w:val="18"/>
          <w:szCs w:val="18"/>
        </w:rPr>
      </w:pPr>
    </w:p>
    <w:p w14:paraId="4B68671F" w14:textId="77777777" w:rsidR="00FF7292" w:rsidRPr="00FA05F3" w:rsidRDefault="00FF7292" w:rsidP="00FF7292">
      <w:pPr>
        <w:jc w:val="both"/>
        <w:rPr>
          <w:rFonts w:ascii="Verdana" w:eastAsia="Times New Roman" w:hAnsi="Verdana"/>
          <w:b/>
          <w:color w:val="365F91"/>
          <w:sz w:val="18"/>
          <w:szCs w:val="18"/>
        </w:rPr>
      </w:pPr>
    </w:p>
    <w:p w14:paraId="7F48DB43" w14:textId="77777777" w:rsidR="00FF7292" w:rsidRPr="00FA05F3" w:rsidRDefault="00FF7292" w:rsidP="00FF7292">
      <w:pPr>
        <w:jc w:val="both"/>
        <w:rPr>
          <w:rFonts w:ascii="Verdana" w:eastAsia="Times New Roman" w:hAnsi="Verdana"/>
          <w:b/>
          <w:color w:val="365F91"/>
          <w:sz w:val="18"/>
          <w:szCs w:val="18"/>
        </w:rPr>
      </w:pPr>
    </w:p>
    <w:p w14:paraId="291092BA" w14:textId="77777777" w:rsidR="00FF7292" w:rsidRPr="00FA05F3" w:rsidRDefault="00FF7292" w:rsidP="00FF7292">
      <w:pPr>
        <w:jc w:val="both"/>
        <w:rPr>
          <w:rFonts w:ascii="Verdana" w:eastAsia="Times New Roman" w:hAnsi="Verdana"/>
          <w:b/>
          <w:color w:val="365F91"/>
          <w:sz w:val="18"/>
          <w:szCs w:val="18"/>
        </w:rPr>
      </w:pPr>
    </w:p>
    <w:tbl>
      <w:tblPr>
        <w:tblW w:w="9702" w:type="dxa"/>
        <w:jc w:val="center"/>
        <w:tblLook w:val="04A0" w:firstRow="1" w:lastRow="0" w:firstColumn="1" w:lastColumn="0" w:noHBand="0" w:noVBand="1"/>
      </w:tblPr>
      <w:tblGrid>
        <w:gridCol w:w="4965"/>
        <w:gridCol w:w="1107"/>
        <w:gridCol w:w="1106"/>
        <w:gridCol w:w="1106"/>
        <w:gridCol w:w="1418"/>
      </w:tblGrid>
      <w:tr w:rsidR="00FF7292" w:rsidRPr="005908DA" w14:paraId="00DEF5C5" w14:textId="77777777" w:rsidTr="00D02CA1">
        <w:trPr>
          <w:trHeight w:val="300"/>
          <w:jc w:val="center"/>
        </w:trPr>
        <w:tc>
          <w:tcPr>
            <w:tcW w:w="4965" w:type="dxa"/>
            <w:tcBorders>
              <w:left w:val="nil"/>
              <w:bottom w:val="single" w:sz="4" w:space="0" w:color="2F5496"/>
            </w:tcBorders>
            <w:shd w:val="clear" w:color="000000" w:fill="FFFFFF"/>
            <w:vAlign w:val="center"/>
          </w:tcPr>
          <w:p w14:paraId="7AA254C8" w14:textId="77777777" w:rsidR="00FF7292" w:rsidRPr="005908DA" w:rsidRDefault="00FF7292" w:rsidP="00D02CA1">
            <w:pPr>
              <w:rPr>
                <w:rFonts w:ascii="Verdana" w:eastAsia="Times New Roman" w:hAnsi="Verdana" w:cs="Calibri"/>
                <w:b/>
                <w:bCs/>
                <w:color w:val="365F91"/>
                <w:sz w:val="18"/>
                <w:szCs w:val="18"/>
                <w:lang w:val="el-GR" w:eastAsia="en-CY" w:bidi="he-IL"/>
              </w:rPr>
            </w:pPr>
            <w:r w:rsidRPr="001502BA">
              <w:rPr>
                <w:rFonts w:ascii="Verdana" w:eastAsia="Times New Roman" w:hAnsi="Verdana" w:cs="Calibri"/>
                <w:b/>
                <w:bCs/>
                <w:color w:val="365F91"/>
                <w:sz w:val="18"/>
                <w:szCs w:val="18"/>
                <w:lang w:val="el-GR" w:eastAsia="en-CY" w:bidi="he-IL"/>
              </w:rPr>
              <w:lastRenderedPageBreak/>
              <w:t>Πίνακας 1</w:t>
            </w:r>
          </w:p>
        </w:tc>
        <w:tc>
          <w:tcPr>
            <w:tcW w:w="3319" w:type="dxa"/>
            <w:gridSpan w:val="3"/>
            <w:tcBorders>
              <w:bottom w:val="single" w:sz="4" w:space="0" w:color="2F5496"/>
            </w:tcBorders>
            <w:shd w:val="clear" w:color="000000" w:fill="FFFFFF"/>
            <w:vAlign w:val="center"/>
          </w:tcPr>
          <w:p w14:paraId="409B6D80"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p>
        </w:tc>
        <w:tc>
          <w:tcPr>
            <w:tcW w:w="1418" w:type="dxa"/>
            <w:tcBorders>
              <w:bottom w:val="single" w:sz="4" w:space="0" w:color="2F5496"/>
              <w:right w:val="nil"/>
            </w:tcBorders>
            <w:shd w:val="clear" w:color="000000" w:fill="FFFFFF"/>
            <w:vAlign w:val="center"/>
          </w:tcPr>
          <w:p w14:paraId="25C49042"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p>
        </w:tc>
      </w:tr>
      <w:tr w:rsidR="00FF7292" w:rsidRPr="005908DA" w14:paraId="3F2A5416" w14:textId="77777777" w:rsidTr="00D02CA1">
        <w:trPr>
          <w:trHeight w:val="300"/>
          <w:jc w:val="center"/>
        </w:trPr>
        <w:tc>
          <w:tcPr>
            <w:tcW w:w="4965" w:type="dxa"/>
            <w:vMerge w:val="restart"/>
            <w:tcBorders>
              <w:top w:val="single" w:sz="4" w:space="0" w:color="2F5496"/>
              <w:left w:val="nil"/>
              <w:bottom w:val="single" w:sz="4" w:space="0" w:color="4472C4"/>
              <w:right w:val="double" w:sz="4" w:space="0" w:color="2F5496"/>
            </w:tcBorders>
            <w:shd w:val="clear" w:color="000000" w:fill="FFFFFF"/>
            <w:vAlign w:val="center"/>
            <w:hideMark/>
          </w:tcPr>
          <w:p w14:paraId="0487261D" w14:textId="77777777" w:rsidR="00FF7292" w:rsidRPr="005908DA" w:rsidRDefault="00FF7292" w:rsidP="00D02CA1">
            <w:pPr>
              <w:jc w:val="cente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Κύριες Κατηγορίες Αγαθών και Υπηρεσιών</w:t>
            </w:r>
          </w:p>
        </w:tc>
        <w:tc>
          <w:tcPr>
            <w:tcW w:w="3319" w:type="dxa"/>
            <w:gridSpan w:val="3"/>
            <w:vMerge w:val="restart"/>
            <w:tcBorders>
              <w:top w:val="single" w:sz="4" w:space="0" w:color="2F5496"/>
              <w:left w:val="double" w:sz="4" w:space="0" w:color="2F5496"/>
              <w:bottom w:val="single" w:sz="4" w:space="0" w:color="4472C4"/>
              <w:right w:val="double" w:sz="4" w:space="0" w:color="2F5496"/>
            </w:tcBorders>
            <w:shd w:val="clear" w:color="000000" w:fill="FFFFFF"/>
            <w:vAlign w:val="center"/>
            <w:hideMark/>
          </w:tcPr>
          <w:p w14:paraId="4FCDEC12"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Ευρώ</w:t>
            </w:r>
            <w:proofErr w:type="spellEnd"/>
            <w:r w:rsidRPr="005908DA">
              <w:rPr>
                <w:rFonts w:ascii="Verdana" w:eastAsia="Times New Roman" w:hAnsi="Verdana" w:cs="Calibri"/>
                <w:color w:val="365F91"/>
                <w:sz w:val="18"/>
                <w:szCs w:val="18"/>
                <w:lang w:val="en-CY" w:eastAsia="en-CY" w:bidi="he-IL"/>
              </w:rPr>
              <w:t xml:space="preserve"> </w:t>
            </w:r>
            <w:r w:rsidRPr="005908DA">
              <w:rPr>
                <w:rFonts w:ascii="Verdana" w:eastAsia="Times New Roman" w:hAnsi="Verdana" w:cs="Calibri"/>
                <w:b/>
                <w:bCs/>
                <w:color w:val="365F91"/>
                <w:sz w:val="18"/>
                <w:szCs w:val="18"/>
                <w:lang w:val="en-CY" w:eastAsia="en-CY" w:bidi="he-IL"/>
              </w:rPr>
              <w:t>(€)</w:t>
            </w:r>
          </w:p>
        </w:tc>
        <w:tc>
          <w:tcPr>
            <w:tcW w:w="1418" w:type="dxa"/>
            <w:vMerge w:val="restart"/>
            <w:tcBorders>
              <w:top w:val="single" w:sz="4" w:space="0" w:color="2F5496"/>
              <w:left w:val="double" w:sz="4" w:space="0" w:color="2F5496"/>
              <w:bottom w:val="single" w:sz="4" w:space="0" w:color="4472C4"/>
              <w:right w:val="nil"/>
            </w:tcBorders>
            <w:shd w:val="clear" w:color="000000" w:fill="FFFFFF"/>
            <w:vAlign w:val="center"/>
            <w:hideMark/>
          </w:tcPr>
          <w:p w14:paraId="29E64318" w14:textId="77777777" w:rsidR="00FF7292" w:rsidRDefault="00FF7292" w:rsidP="00D02CA1">
            <w:pPr>
              <w:jc w:val="center"/>
              <w:rPr>
                <w:rFonts w:ascii="Verdana" w:eastAsia="Times New Roman" w:hAnsi="Verdana" w:cs="Calibri"/>
                <w:b/>
                <w:bCs/>
                <w:color w:val="365F91"/>
                <w:sz w:val="18"/>
                <w:szCs w:val="18"/>
                <w:lang w:val="el-GR" w:eastAsia="en-CY" w:bidi="he-IL"/>
              </w:rPr>
            </w:pPr>
            <w:proofErr w:type="spellStart"/>
            <w:r w:rsidRPr="005908DA">
              <w:rPr>
                <w:rFonts w:ascii="Verdana" w:eastAsia="Times New Roman" w:hAnsi="Verdana" w:cs="Calibri"/>
                <w:b/>
                <w:bCs/>
                <w:color w:val="365F91"/>
                <w:sz w:val="18"/>
                <w:szCs w:val="18"/>
                <w:lang w:val="en-CY" w:eastAsia="en-CY" w:bidi="he-IL"/>
              </w:rPr>
              <w:t>Μετ</w:t>
            </w:r>
            <w:proofErr w:type="spellEnd"/>
            <w:r w:rsidRPr="005908DA">
              <w:rPr>
                <w:rFonts w:ascii="Verdana" w:eastAsia="Times New Roman" w:hAnsi="Verdana" w:cs="Calibri"/>
                <w:b/>
                <w:bCs/>
                <w:color w:val="365F91"/>
                <w:sz w:val="18"/>
                <w:szCs w:val="18"/>
                <w:lang w:val="en-CY" w:eastAsia="en-CY" w:bidi="he-IL"/>
              </w:rPr>
              <w:t xml:space="preserve">αβολή </w:t>
            </w:r>
            <w:r w:rsidRPr="005908DA">
              <w:rPr>
                <w:rFonts w:ascii="Verdana" w:eastAsia="Times New Roman" w:hAnsi="Verdana" w:cs="Calibri"/>
                <w:b/>
                <w:bCs/>
                <w:color w:val="365F91"/>
                <w:sz w:val="18"/>
                <w:szCs w:val="18"/>
                <w:lang w:val="en-CY" w:eastAsia="en-CY" w:bidi="he-IL"/>
              </w:rPr>
              <w:br/>
              <w:t>2023</w:t>
            </w:r>
            <w:r>
              <w:rPr>
                <w:rFonts w:ascii="Verdana" w:eastAsia="Times New Roman" w:hAnsi="Verdana" w:cs="Calibri"/>
                <w:b/>
                <w:bCs/>
                <w:color w:val="365F91"/>
                <w:sz w:val="18"/>
                <w:szCs w:val="18"/>
                <w:lang w:val="el-GR" w:eastAsia="en-CY" w:bidi="he-IL"/>
              </w:rPr>
              <w:t>/</w:t>
            </w:r>
          </w:p>
          <w:p w14:paraId="01A8AE10"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2015</w:t>
            </w:r>
            <w:r>
              <w:rPr>
                <w:rFonts w:ascii="Verdana" w:eastAsia="Times New Roman" w:hAnsi="Verdana" w:cs="Calibri"/>
                <w:b/>
                <w:bCs/>
                <w:color w:val="365F91"/>
                <w:sz w:val="18"/>
                <w:szCs w:val="18"/>
                <w:lang w:val="el-GR" w:eastAsia="en-CY" w:bidi="he-IL"/>
              </w:rPr>
              <w:t>-</w:t>
            </w:r>
            <w:r w:rsidRPr="005908DA">
              <w:rPr>
                <w:rFonts w:ascii="Verdana" w:eastAsia="Times New Roman" w:hAnsi="Verdana" w:cs="Calibri"/>
                <w:b/>
                <w:bCs/>
                <w:color w:val="365F91"/>
                <w:sz w:val="18"/>
                <w:szCs w:val="18"/>
                <w:lang w:val="en-CY" w:eastAsia="en-CY" w:bidi="he-IL"/>
              </w:rPr>
              <w:t>2016</w:t>
            </w:r>
            <w:r w:rsidRPr="005908DA">
              <w:rPr>
                <w:rFonts w:ascii="Verdana" w:eastAsia="Times New Roman" w:hAnsi="Verdana" w:cs="Calibri"/>
                <w:b/>
                <w:bCs/>
                <w:color w:val="365F91"/>
                <w:sz w:val="18"/>
                <w:szCs w:val="18"/>
                <w:lang w:val="en-CY" w:eastAsia="en-CY" w:bidi="he-IL"/>
              </w:rPr>
              <w:br/>
              <w:t>(%)</w:t>
            </w:r>
          </w:p>
        </w:tc>
      </w:tr>
      <w:tr w:rsidR="00FF7292" w:rsidRPr="005908DA" w14:paraId="4650F100" w14:textId="77777777" w:rsidTr="00D02CA1">
        <w:trPr>
          <w:trHeight w:val="300"/>
          <w:jc w:val="center"/>
        </w:trPr>
        <w:tc>
          <w:tcPr>
            <w:tcW w:w="4965" w:type="dxa"/>
            <w:vMerge/>
            <w:tcBorders>
              <w:top w:val="single" w:sz="4" w:space="0" w:color="4472C4"/>
              <w:left w:val="nil"/>
              <w:bottom w:val="single" w:sz="4" w:space="0" w:color="4472C4"/>
              <w:right w:val="double" w:sz="4" w:space="0" w:color="2F5496"/>
            </w:tcBorders>
            <w:vAlign w:val="center"/>
            <w:hideMark/>
          </w:tcPr>
          <w:p w14:paraId="55E89347"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3319" w:type="dxa"/>
            <w:gridSpan w:val="3"/>
            <w:vMerge/>
            <w:tcBorders>
              <w:top w:val="single" w:sz="8" w:space="0" w:color="4472C4"/>
              <w:left w:val="double" w:sz="4" w:space="0" w:color="2F5496"/>
              <w:bottom w:val="single" w:sz="4" w:space="0" w:color="4472C4"/>
              <w:right w:val="double" w:sz="4" w:space="0" w:color="2F5496"/>
            </w:tcBorders>
            <w:vAlign w:val="center"/>
            <w:hideMark/>
          </w:tcPr>
          <w:p w14:paraId="5666F471"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1418" w:type="dxa"/>
            <w:vMerge/>
            <w:tcBorders>
              <w:top w:val="single" w:sz="8" w:space="0" w:color="4472C4"/>
              <w:left w:val="double" w:sz="4" w:space="0" w:color="2F5496"/>
              <w:bottom w:val="single" w:sz="4" w:space="0" w:color="4472C4"/>
              <w:right w:val="nil"/>
            </w:tcBorders>
            <w:vAlign w:val="center"/>
            <w:hideMark/>
          </w:tcPr>
          <w:p w14:paraId="46BC713C" w14:textId="77777777" w:rsidR="00FF7292" w:rsidRPr="005908DA" w:rsidRDefault="00FF7292" w:rsidP="00D02CA1">
            <w:pPr>
              <w:rPr>
                <w:rFonts w:ascii="Verdana" w:eastAsia="Times New Roman" w:hAnsi="Verdana" w:cs="Calibri"/>
                <w:b/>
                <w:bCs/>
                <w:color w:val="365F91"/>
                <w:sz w:val="18"/>
                <w:szCs w:val="18"/>
                <w:lang w:val="en-CY" w:eastAsia="en-CY" w:bidi="he-IL"/>
              </w:rPr>
            </w:pPr>
          </w:p>
        </w:tc>
      </w:tr>
      <w:tr w:rsidR="00FF7292" w:rsidRPr="005908DA" w14:paraId="07E75CA9" w14:textId="77777777" w:rsidTr="00D02CA1">
        <w:trPr>
          <w:trHeight w:val="300"/>
          <w:jc w:val="center"/>
        </w:trPr>
        <w:tc>
          <w:tcPr>
            <w:tcW w:w="4965" w:type="dxa"/>
            <w:vMerge/>
            <w:tcBorders>
              <w:top w:val="single" w:sz="4" w:space="0" w:color="4472C4"/>
              <w:left w:val="nil"/>
              <w:bottom w:val="single" w:sz="4" w:space="0" w:color="4472C4"/>
              <w:right w:val="double" w:sz="4" w:space="0" w:color="2F5496"/>
            </w:tcBorders>
            <w:vAlign w:val="center"/>
            <w:hideMark/>
          </w:tcPr>
          <w:p w14:paraId="2A3A5D8D"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3319" w:type="dxa"/>
            <w:gridSpan w:val="3"/>
            <w:vMerge/>
            <w:tcBorders>
              <w:top w:val="single" w:sz="8" w:space="0" w:color="4472C4"/>
              <w:left w:val="double" w:sz="4" w:space="0" w:color="2F5496"/>
              <w:bottom w:val="single" w:sz="4" w:space="0" w:color="4472C4"/>
              <w:right w:val="double" w:sz="4" w:space="0" w:color="2F5496"/>
            </w:tcBorders>
            <w:vAlign w:val="center"/>
            <w:hideMark/>
          </w:tcPr>
          <w:p w14:paraId="1C23A7D1"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1418" w:type="dxa"/>
            <w:vMerge/>
            <w:tcBorders>
              <w:top w:val="single" w:sz="8" w:space="0" w:color="4472C4"/>
              <w:left w:val="double" w:sz="4" w:space="0" w:color="2F5496"/>
              <w:bottom w:val="single" w:sz="4" w:space="0" w:color="4472C4"/>
              <w:right w:val="nil"/>
            </w:tcBorders>
            <w:vAlign w:val="center"/>
            <w:hideMark/>
          </w:tcPr>
          <w:p w14:paraId="1EE9BC3E" w14:textId="77777777" w:rsidR="00FF7292" w:rsidRPr="005908DA" w:rsidRDefault="00FF7292" w:rsidP="00D02CA1">
            <w:pPr>
              <w:rPr>
                <w:rFonts w:ascii="Verdana" w:eastAsia="Times New Roman" w:hAnsi="Verdana" w:cs="Calibri"/>
                <w:b/>
                <w:bCs/>
                <w:color w:val="365F91"/>
                <w:sz w:val="18"/>
                <w:szCs w:val="18"/>
                <w:lang w:val="en-CY" w:eastAsia="en-CY" w:bidi="he-IL"/>
              </w:rPr>
            </w:pPr>
          </w:p>
        </w:tc>
      </w:tr>
      <w:tr w:rsidR="00FF7292" w:rsidRPr="005908DA" w14:paraId="06B828B6" w14:textId="77777777" w:rsidTr="00D02CA1">
        <w:trPr>
          <w:trHeight w:val="300"/>
          <w:jc w:val="center"/>
        </w:trPr>
        <w:tc>
          <w:tcPr>
            <w:tcW w:w="4965" w:type="dxa"/>
            <w:vMerge/>
            <w:tcBorders>
              <w:top w:val="single" w:sz="4" w:space="0" w:color="4472C4"/>
              <w:left w:val="nil"/>
              <w:bottom w:val="single" w:sz="4" w:space="0" w:color="4472C4"/>
              <w:right w:val="double" w:sz="4" w:space="0" w:color="2F5496"/>
            </w:tcBorders>
            <w:vAlign w:val="center"/>
            <w:hideMark/>
          </w:tcPr>
          <w:p w14:paraId="51DA7378"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1107" w:type="dxa"/>
            <w:vMerge w:val="restart"/>
            <w:tcBorders>
              <w:top w:val="single" w:sz="4" w:space="0" w:color="2F5496"/>
              <w:left w:val="double" w:sz="4" w:space="0" w:color="2F5496"/>
              <w:bottom w:val="single" w:sz="4" w:space="0" w:color="4472C4"/>
              <w:right w:val="nil"/>
            </w:tcBorders>
            <w:shd w:val="clear" w:color="000000" w:fill="FFFFFF"/>
            <w:vAlign w:val="center"/>
            <w:hideMark/>
          </w:tcPr>
          <w:p w14:paraId="448CA5A6"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2009</w:t>
            </w:r>
          </w:p>
        </w:tc>
        <w:tc>
          <w:tcPr>
            <w:tcW w:w="1106" w:type="dxa"/>
            <w:vMerge w:val="restart"/>
            <w:tcBorders>
              <w:top w:val="nil"/>
              <w:left w:val="nil"/>
              <w:bottom w:val="single" w:sz="4" w:space="0" w:color="4472C4"/>
              <w:right w:val="nil"/>
            </w:tcBorders>
            <w:shd w:val="clear" w:color="000000" w:fill="FFFFFF"/>
            <w:vAlign w:val="center"/>
            <w:hideMark/>
          </w:tcPr>
          <w:p w14:paraId="62BBB016"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 xml:space="preserve">  2015-2016</w:t>
            </w:r>
          </w:p>
        </w:tc>
        <w:tc>
          <w:tcPr>
            <w:tcW w:w="1106" w:type="dxa"/>
            <w:vMerge w:val="restart"/>
            <w:tcBorders>
              <w:top w:val="nil"/>
              <w:left w:val="nil"/>
              <w:bottom w:val="single" w:sz="4" w:space="0" w:color="4472C4"/>
              <w:right w:val="double" w:sz="4" w:space="0" w:color="2F5496"/>
            </w:tcBorders>
            <w:shd w:val="clear" w:color="000000" w:fill="FFFFFF"/>
            <w:vAlign w:val="center"/>
            <w:hideMark/>
          </w:tcPr>
          <w:p w14:paraId="555F3394"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2023</w:t>
            </w:r>
          </w:p>
        </w:tc>
        <w:tc>
          <w:tcPr>
            <w:tcW w:w="1418" w:type="dxa"/>
            <w:vMerge/>
            <w:tcBorders>
              <w:top w:val="single" w:sz="8" w:space="0" w:color="4472C4"/>
              <w:left w:val="double" w:sz="4" w:space="0" w:color="2F5496"/>
              <w:bottom w:val="single" w:sz="4" w:space="0" w:color="4472C4"/>
              <w:right w:val="nil"/>
            </w:tcBorders>
            <w:vAlign w:val="center"/>
            <w:hideMark/>
          </w:tcPr>
          <w:p w14:paraId="404A8AB5" w14:textId="77777777" w:rsidR="00FF7292" w:rsidRPr="005908DA" w:rsidRDefault="00FF7292" w:rsidP="00D02CA1">
            <w:pPr>
              <w:rPr>
                <w:rFonts w:ascii="Verdana" w:eastAsia="Times New Roman" w:hAnsi="Verdana" w:cs="Calibri"/>
                <w:b/>
                <w:bCs/>
                <w:color w:val="365F91"/>
                <w:sz w:val="18"/>
                <w:szCs w:val="18"/>
                <w:lang w:val="en-CY" w:eastAsia="en-CY" w:bidi="he-IL"/>
              </w:rPr>
            </w:pPr>
          </w:p>
        </w:tc>
      </w:tr>
      <w:tr w:rsidR="00FF7292" w:rsidRPr="005908DA" w14:paraId="71A9DEE1" w14:textId="77777777" w:rsidTr="00D02CA1">
        <w:trPr>
          <w:trHeight w:val="300"/>
          <w:jc w:val="center"/>
        </w:trPr>
        <w:tc>
          <w:tcPr>
            <w:tcW w:w="4965" w:type="dxa"/>
            <w:vMerge/>
            <w:tcBorders>
              <w:top w:val="single" w:sz="4" w:space="0" w:color="4472C4"/>
              <w:left w:val="nil"/>
              <w:bottom w:val="single" w:sz="4" w:space="0" w:color="2F5496"/>
              <w:right w:val="double" w:sz="4" w:space="0" w:color="2F5496"/>
            </w:tcBorders>
            <w:vAlign w:val="center"/>
            <w:hideMark/>
          </w:tcPr>
          <w:p w14:paraId="61FE7142"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1107" w:type="dxa"/>
            <w:vMerge/>
            <w:tcBorders>
              <w:top w:val="nil"/>
              <w:left w:val="double" w:sz="4" w:space="0" w:color="2F5496"/>
              <w:bottom w:val="single" w:sz="4" w:space="0" w:color="2F5496"/>
              <w:right w:val="nil"/>
            </w:tcBorders>
            <w:vAlign w:val="center"/>
            <w:hideMark/>
          </w:tcPr>
          <w:p w14:paraId="794BD215"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1106" w:type="dxa"/>
            <w:vMerge/>
            <w:tcBorders>
              <w:top w:val="nil"/>
              <w:left w:val="nil"/>
              <w:bottom w:val="single" w:sz="4" w:space="0" w:color="2F5496"/>
              <w:right w:val="nil"/>
            </w:tcBorders>
            <w:vAlign w:val="center"/>
            <w:hideMark/>
          </w:tcPr>
          <w:p w14:paraId="6CC7590D"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1106" w:type="dxa"/>
            <w:vMerge/>
            <w:tcBorders>
              <w:top w:val="nil"/>
              <w:left w:val="nil"/>
              <w:bottom w:val="single" w:sz="4" w:space="0" w:color="2F5496"/>
              <w:right w:val="double" w:sz="4" w:space="0" w:color="2F5496"/>
            </w:tcBorders>
            <w:vAlign w:val="center"/>
            <w:hideMark/>
          </w:tcPr>
          <w:p w14:paraId="36B03771"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1418" w:type="dxa"/>
            <w:vMerge/>
            <w:tcBorders>
              <w:top w:val="single" w:sz="8" w:space="0" w:color="4472C4"/>
              <w:left w:val="double" w:sz="4" w:space="0" w:color="2F5496"/>
              <w:bottom w:val="single" w:sz="4" w:space="0" w:color="2F5496"/>
              <w:right w:val="nil"/>
            </w:tcBorders>
            <w:vAlign w:val="center"/>
            <w:hideMark/>
          </w:tcPr>
          <w:p w14:paraId="214BBD4C" w14:textId="77777777" w:rsidR="00FF7292" w:rsidRPr="005908DA" w:rsidRDefault="00FF7292" w:rsidP="00D02CA1">
            <w:pPr>
              <w:rPr>
                <w:rFonts w:ascii="Verdana" w:eastAsia="Times New Roman" w:hAnsi="Verdana" w:cs="Calibri"/>
                <w:b/>
                <w:bCs/>
                <w:color w:val="365F91"/>
                <w:sz w:val="18"/>
                <w:szCs w:val="18"/>
                <w:lang w:val="en-CY" w:eastAsia="en-CY" w:bidi="he-IL"/>
              </w:rPr>
            </w:pPr>
          </w:p>
        </w:tc>
      </w:tr>
      <w:tr w:rsidR="00FF7292" w:rsidRPr="005908DA" w14:paraId="25D8013F" w14:textId="77777777" w:rsidTr="00D02CA1">
        <w:trPr>
          <w:trHeight w:val="799"/>
          <w:jc w:val="center"/>
        </w:trPr>
        <w:tc>
          <w:tcPr>
            <w:tcW w:w="4965" w:type="dxa"/>
            <w:tcBorders>
              <w:top w:val="single" w:sz="4" w:space="0" w:color="2F5496"/>
              <w:left w:val="nil"/>
              <w:bottom w:val="single" w:sz="4" w:space="0" w:color="2F5496"/>
              <w:right w:val="double" w:sz="4" w:space="0" w:color="2F5496"/>
            </w:tcBorders>
            <w:shd w:val="clear" w:color="000000" w:fill="FFFFFF"/>
            <w:vAlign w:val="center"/>
            <w:hideMark/>
          </w:tcPr>
          <w:p w14:paraId="1CD84883"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Σύνολο</w:t>
            </w:r>
          </w:p>
        </w:tc>
        <w:tc>
          <w:tcPr>
            <w:tcW w:w="1107" w:type="dxa"/>
            <w:tcBorders>
              <w:top w:val="single" w:sz="4" w:space="0" w:color="2F5496"/>
              <w:left w:val="double" w:sz="4" w:space="0" w:color="2F5496"/>
              <w:bottom w:val="single" w:sz="4" w:space="0" w:color="2F5496"/>
              <w:right w:val="nil"/>
            </w:tcBorders>
            <w:shd w:val="clear" w:color="000000" w:fill="FFFFFF"/>
            <w:vAlign w:val="center"/>
            <w:hideMark/>
          </w:tcPr>
          <w:p w14:paraId="30629D49" w14:textId="77777777" w:rsidR="00FF7292" w:rsidRPr="005908DA" w:rsidRDefault="00FF7292" w:rsidP="00D02CA1">
            <w:pPr>
              <w:ind w:right="170"/>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38.547</w:t>
            </w:r>
          </w:p>
        </w:tc>
        <w:tc>
          <w:tcPr>
            <w:tcW w:w="1106" w:type="dxa"/>
            <w:tcBorders>
              <w:top w:val="single" w:sz="4" w:space="0" w:color="2F5496"/>
              <w:left w:val="nil"/>
              <w:bottom w:val="single" w:sz="4" w:space="0" w:color="2F5496"/>
              <w:right w:val="nil"/>
            </w:tcBorders>
            <w:shd w:val="clear" w:color="000000" w:fill="FFFFFF"/>
            <w:vAlign w:val="center"/>
            <w:hideMark/>
          </w:tcPr>
          <w:p w14:paraId="5238CF3D" w14:textId="77777777" w:rsidR="00FF7292" w:rsidRPr="005908DA" w:rsidRDefault="00FF7292" w:rsidP="00D02CA1">
            <w:pPr>
              <w:ind w:right="170"/>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31.206</w:t>
            </w:r>
          </w:p>
        </w:tc>
        <w:tc>
          <w:tcPr>
            <w:tcW w:w="1106" w:type="dxa"/>
            <w:tcBorders>
              <w:top w:val="single" w:sz="4" w:space="0" w:color="2F5496"/>
              <w:left w:val="nil"/>
              <w:bottom w:val="single" w:sz="4" w:space="0" w:color="2F5496"/>
              <w:right w:val="double" w:sz="4" w:space="0" w:color="2F5496"/>
            </w:tcBorders>
            <w:shd w:val="clear" w:color="000000" w:fill="FFFFFF"/>
            <w:vAlign w:val="center"/>
            <w:hideMark/>
          </w:tcPr>
          <w:p w14:paraId="68732934" w14:textId="77777777" w:rsidR="00FF7292" w:rsidRPr="005908DA" w:rsidRDefault="00FF7292" w:rsidP="00D02CA1">
            <w:pPr>
              <w:ind w:right="170"/>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43.263</w:t>
            </w:r>
          </w:p>
        </w:tc>
        <w:tc>
          <w:tcPr>
            <w:tcW w:w="1418" w:type="dxa"/>
            <w:tcBorders>
              <w:top w:val="single" w:sz="4" w:space="0" w:color="2F5496"/>
              <w:left w:val="double" w:sz="4" w:space="0" w:color="2F5496"/>
              <w:bottom w:val="single" w:sz="4" w:space="0" w:color="2F5496"/>
              <w:right w:val="nil"/>
            </w:tcBorders>
            <w:shd w:val="clear" w:color="000000" w:fill="FFFFFF"/>
            <w:noWrap/>
            <w:vAlign w:val="center"/>
            <w:hideMark/>
          </w:tcPr>
          <w:p w14:paraId="2500AC20" w14:textId="77777777" w:rsidR="00FF7292" w:rsidRPr="005908DA" w:rsidRDefault="00FF7292" w:rsidP="00D02CA1">
            <w:pPr>
              <w:ind w:right="227"/>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38,6</w:t>
            </w:r>
          </w:p>
        </w:tc>
      </w:tr>
      <w:tr w:rsidR="00FF7292" w:rsidRPr="005908DA" w14:paraId="73173A73" w14:textId="77777777" w:rsidTr="00D02CA1">
        <w:trPr>
          <w:trHeight w:val="799"/>
          <w:jc w:val="center"/>
        </w:trPr>
        <w:tc>
          <w:tcPr>
            <w:tcW w:w="4965" w:type="dxa"/>
            <w:tcBorders>
              <w:top w:val="single" w:sz="4" w:space="0" w:color="2F5496"/>
              <w:left w:val="nil"/>
              <w:bottom w:val="nil"/>
              <w:right w:val="double" w:sz="4" w:space="0" w:color="2F5496"/>
            </w:tcBorders>
            <w:shd w:val="clear" w:color="000000" w:fill="FFFFFF"/>
            <w:vAlign w:val="center"/>
            <w:hideMark/>
          </w:tcPr>
          <w:p w14:paraId="6AB49B83" w14:textId="77777777" w:rsidR="00FF7292" w:rsidRPr="005908DA" w:rsidRDefault="00FF7292" w:rsidP="00D02CA1">
            <w:pP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Είδη διατροφής και μη αλκοολούχα ποτά</w:t>
            </w:r>
          </w:p>
        </w:tc>
        <w:tc>
          <w:tcPr>
            <w:tcW w:w="1107" w:type="dxa"/>
            <w:tcBorders>
              <w:top w:val="single" w:sz="4" w:space="0" w:color="2F5496"/>
              <w:left w:val="double" w:sz="4" w:space="0" w:color="2F5496"/>
              <w:bottom w:val="nil"/>
              <w:right w:val="nil"/>
            </w:tcBorders>
            <w:shd w:val="clear" w:color="000000" w:fill="FFFFFF"/>
            <w:vAlign w:val="center"/>
            <w:hideMark/>
          </w:tcPr>
          <w:p w14:paraId="2DBED153"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4.735</w:t>
            </w:r>
          </w:p>
        </w:tc>
        <w:tc>
          <w:tcPr>
            <w:tcW w:w="1106" w:type="dxa"/>
            <w:tcBorders>
              <w:top w:val="single" w:sz="4" w:space="0" w:color="2F5496"/>
              <w:left w:val="nil"/>
              <w:bottom w:val="nil"/>
              <w:right w:val="nil"/>
            </w:tcBorders>
            <w:shd w:val="clear" w:color="000000" w:fill="FFFFFF"/>
            <w:vAlign w:val="center"/>
            <w:hideMark/>
          </w:tcPr>
          <w:p w14:paraId="0C7123BD"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4.781</w:t>
            </w:r>
          </w:p>
        </w:tc>
        <w:tc>
          <w:tcPr>
            <w:tcW w:w="1106" w:type="dxa"/>
            <w:tcBorders>
              <w:top w:val="single" w:sz="4" w:space="0" w:color="2F5496"/>
              <w:left w:val="nil"/>
              <w:bottom w:val="nil"/>
              <w:right w:val="double" w:sz="4" w:space="0" w:color="2F5496"/>
            </w:tcBorders>
            <w:shd w:val="clear" w:color="000000" w:fill="FFFFFF"/>
            <w:vAlign w:val="center"/>
            <w:hideMark/>
          </w:tcPr>
          <w:p w14:paraId="6B74C12E"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6.254</w:t>
            </w:r>
          </w:p>
        </w:tc>
        <w:tc>
          <w:tcPr>
            <w:tcW w:w="1418" w:type="dxa"/>
            <w:tcBorders>
              <w:top w:val="single" w:sz="4" w:space="0" w:color="2F5496"/>
              <w:left w:val="double" w:sz="4" w:space="0" w:color="2F5496"/>
              <w:bottom w:val="nil"/>
              <w:right w:val="nil"/>
            </w:tcBorders>
            <w:shd w:val="clear" w:color="000000" w:fill="FFFFFF"/>
            <w:noWrap/>
            <w:vAlign w:val="center"/>
            <w:hideMark/>
          </w:tcPr>
          <w:p w14:paraId="7923F266"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30,8</w:t>
            </w:r>
          </w:p>
        </w:tc>
      </w:tr>
      <w:tr w:rsidR="00FF7292" w:rsidRPr="005908DA" w14:paraId="72D5D2CB" w14:textId="77777777" w:rsidTr="00D02CA1">
        <w:trPr>
          <w:trHeight w:val="680"/>
          <w:jc w:val="center"/>
        </w:trPr>
        <w:tc>
          <w:tcPr>
            <w:tcW w:w="4965" w:type="dxa"/>
            <w:tcBorders>
              <w:top w:val="nil"/>
              <w:left w:val="nil"/>
              <w:bottom w:val="nil"/>
              <w:right w:val="double" w:sz="4" w:space="0" w:color="2F5496"/>
            </w:tcBorders>
            <w:shd w:val="clear" w:color="000000" w:fill="FFFFFF"/>
            <w:vAlign w:val="center"/>
            <w:hideMark/>
          </w:tcPr>
          <w:p w14:paraId="5D2A304E"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Αλκοολούχ</w:t>
            </w:r>
            <w:proofErr w:type="spellEnd"/>
            <w:r w:rsidRPr="005908DA">
              <w:rPr>
                <w:rFonts w:ascii="Verdana" w:eastAsia="Times New Roman" w:hAnsi="Verdana" w:cs="Calibri"/>
                <w:b/>
                <w:bCs/>
                <w:color w:val="365F91"/>
                <w:sz w:val="18"/>
                <w:szCs w:val="18"/>
                <w:lang w:val="en-CY" w:eastAsia="en-CY" w:bidi="he-IL"/>
              </w:rPr>
              <w:t>α π</w:t>
            </w:r>
            <w:proofErr w:type="spellStart"/>
            <w:r w:rsidRPr="005908DA">
              <w:rPr>
                <w:rFonts w:ascii="Verdana" w:eastAsia="Times New Roman" w:hAnsi="Verdana" w:cs="Calibri"/>
                <w:b/>
                <w:bCs/>
                <w:color w:val="365F91"/>
                <w:sz w:val="18"/>
                <w:szCs w:val="18"/>
                <w:lang w:val="en-CY" w:eastAsia="en-CY" w:bidi="he-IL"/>
              </w:rPr>
              <w:t>οτά</w:t>
            </w:r>
            <w:proofErr w:type="spellEnd"/>
            <w:r w:rsidRPr="005908DA">
              <w:rPr>
                <w:rFonts w:ascii="Verdana" w:eastAsia="Times New Roman" w:hAnsi="Verdana" w:cs="Calibri"/>
                <w:b/>
                <w:bCs/>
                <w:color w:val="365F91"/>
                <w:sz w:val="18"/>
                <w:szCs w:val="18"/>
                <w:lang w:val="en-CY" w:eastAsia="en-CY" w:bidi="he-IL"/>
              </w:rPr>
              <w:t xml:space="preserve"> και καπ</w:t>
            </w:r>
            <w:proofErr w:type="spellStart"/>
            <w:r w:rsidRPr="005908DA">
              <w:rPr>
                <w:rFonts w:ascii="Verdana" w:eastAsia="Times New Roman" w:hAnsi="Verdana" w:cs="Calibri"/>
                <w:b/>
                <w:bCs/>
                <w:color w:val="365F91"/>
                <w:sz w:val="18"/>
                <w:szCs w:val="18"/>
                <w:lang w:val="en-CY" w:eastAsia="en-CY" w:bidi="he-IL"/>
              </w:rPr>
              <w:t>νός</w:t>
            </w:r>
            <w:proofErr w:type="spellEnd"/>
          </w:p>
        </w:tc>
        <w:tc>
          <w:tcPr>
            <w:tcW w:w="1107" w:type="dxa"/>
            <w:tcBorders>
              <w:top w:val="nil"/>
              <w:left w:val="double" w:sz="4" w:space="0" w:color="2F5496"/>
              <w:bottom w:val="nil"/>
              <w:right w:val="nil"/>
            </w:tcBorders>
            <w:shd w:val="clear" w:color="000000" w:fill="FFFFFF"/>
            <w:vAlign w:val="center"/>
            <w:hideMark/>
          </w:tcPr>
          <w:p w14:paraId="368C1B25"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507</w:t>
            </w:r>
          </w:p>
        </w:tc>
        <w:tc>
          <w:tcPr>
            <w:tcW w:w="1106" w:type="dxa"/>
            <w:tcBorders>
              <w:top w:val="nil"/>
              <w:left w:val="nil"/>
              <w:bottom w:val="nil"/>
              <w:right w:val="nil"/>
            </w:tcBorders>
            <w:shd w:val="clear" w:color="000000" w:fill="FFFFFF"/>
            <w:vAlign w:val="center"/>
            <w:hideMark/>
          </w:tcPr>
          <w:p w14:paraId="37FA291E"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502</w:t>
            </w:r>
          </w:p>
        </w:tc>
        <w:tc>
          <w:tcPr>
            <w:tcW w:w="1106" w:type="dxa"/>
            <w:tcBorders>
              <w:top w:val="nil"/>
              <w:left w:val="nil"/>
              <w:bottom w:val="nil"/>
              <w:right w:val="double" w:sz="4" w:space="0" w:color="2F5496"/>
            </w:tcBorders>
            <w:shd w:val="clear" w:color="000000" w:fill="FFFFFF"/>
            <w:vAlign w:val="center"/>
            <w:hideMark/>
          </w:tcPr>
          <w:p w14:paraId="1308331A"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598</w:t>
            </w:r>
          </w:p>
        </w:tc>
        <w:tc>
          <w:tcPr>
            <w:tcW w:w="1418" w:type="dxa"/>
            <w:tcBorders>
              <w:top w:val="nil"/>
              <w:left w:val="double" w:sz="4" w:space="0" w:color="2F5496"/>
              <w:bottom w:val="nil"/>
              <w:right w:val="nil"/>
            </w:tcBorders>
            <w:shd w:val="clear" w:color="000000" w:fill="FFFFFF"/>
            <w:noWrap/>
            <w:vAlign w:val="center"/>
            <w:hideMark/>
          </w:tcPr>
          <w:p w14:paraId="3C9D1FB2"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19,1</w:t>
            </w:r>
          </w:p>
        </w:tc>
      </w:tr>
      <w:tr w:rsidR="00FF7292" w:rsidRPr="005908DA" w14:paraId="3DC047BC" w14:textId="77777777" w:rsidTr="00D02CA1">
        <w:trPr>
          <w:trHeight w:val="680"/>
          <w:jc w:val="center"/>
        </w:trPr>
        <w:tc>
          <w:tcPr>
            <w:tcW w:w="4965" w:type="dxa"/>
            <w:tcBorders>
              <w:top w:val="nil"/>
              <w:left w:val="nil"/>
              <w:bottom w:val="nil"/>
              <w:right w:val="double" w:sz="4" w:space="0" w:color="2F5496"/>
            </w:tcBorders>
            <w:shd w:val="clear" w:color="000000" w:fill="FFFFFF"/>
            <w:vAlign w:val="center"/>
            <w:hideMark/>
          </w:tcPr>
          <w:p w14:paraId="10049B81"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Είδη</w:t>
            </w:r>
            <w:proofErr w:type="spellEnd"/>
            <w:r w:rsidRPr="005908DA">
              <w:rPr>
                <w:rFonts w:ascii="Verdana" w:eastAsia="Times New Roman" w:hAnsi="Verdana" w:cs="Calibri"/>
                <w:b/>
                <w:bCs/>
                <w:color w:val="365F91"/>
                <w:sz w:val="18"/>
                <w:szCs w:val="18"/>
                <w:lang w:val="en-CY" w:eastAsia="en-CY" w:bidi="he-IL"/>
              </w:rPr>
              <w:t xml:space="preserve"> </w:t>
            </w:r>
            <w:proofErr w:type="spellStart"/>
            <w:r w:rsidRPr="005908DA">
              <w:rPr>
                <w:rFonts w:ascii="Verdana" w:eastAsia="Times New Roman" w:hAnsi="Verdana" w:cs="Calibri"/>
                <w:b/>
                <w:bCs/>
                <w:color w:val="365F91"/>
                <w:sz w:val="18"/>
                <w:szCs w:val="18"/>
                <w:lang w:val="en-CY" w:eastAsia="en-CY" w:bidi="he-IL"/>
              </w:rPr>
              <w:t>ένδυσης</w:t>
            </w:r>
            <w:proofErr w:type="spellEnd"/>
            <w:r w:rsidRPr="005908DA">
              <w:rPr>
                <w:rFonts w:ascii="Verdana" w:eastAsia="Times New Roman" w:hAnsi="Verdana" w:cs="Calibri"/>
                <w:b/>
                <w:bCs/>
                <w:color w:val="365F91"/>
                <w:sz w:val="18"/>
                <w:szCs w:val="18"/>
                <w:lang w:val="en-CY" w:eastAsia="en-CY" w:bidi="he-IL"/>
              </w:rPr>
              <w:t xml:space="preserve"> και υπ</w:t>
            </w:r>
            <w:proofErr w:type="spellStart"/>
            <w:r w:rsidRPr="005908DA">
              <w:rPr>
                <w:rFonts w:ascii="Verdana" w:eastAsia="Times New Roman" w:hAnsi="Verdana" w:cs="Calibri"/>
                <w:b/>
                <w:bCs/>
                <w:color w:val="365F91"/>
                <w:sz w:val="18"/>
                <w:szCs w:val="18"/>
                <w:lang w:val="en-CY" w:eastAsia="en-CY" w:bidi="he-IL"/>
              </w:rPr>
              <w:t>όδησης</w:t>
            </w:r>
            <w:proofErr w:type="spellEnd"/>
          </w:p>
        </w:tc>
        <w:tc>
          <w:tcPr>
            <w:tcW w:w="1107" w:type="dxa"/>
            <w:tcBorders>
              <w:top w:val="nil"/>
              <w:left w:val="double" w:sz="4" w:space="0" w:color="2F5496"/>
              <w:bottom w:val="nil"/>
              <w:right w:val="nil"/>
            </w:tcBorders>
            <w:shd w:val="clear" w:color="000000" w:fill="FFFFFF"/>
            <w:vAlign w:val="center"/>
            <w:hideMark/>
          </w:tcPr>
          <w:p w14:paraId="1BCE4AC1"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2.639</w:t>
            </w:r>
          </w:p>
        </w:tc>
        <w:tc>
          <w:tcPr>
            <w:tcW w:w="1106" w:type="dxa"/>
            <w:tcBorders>
              <w:top w:val="nil"/>
              <w:left w:val="nil"/>
              <w:bottom w:val="nil"/>
              <w:right w:val="nil"/>
            </w:tcBorders>
            <w:shd w:val="clear" w:color="000000" w:fill="FFFFFF"/>
            <w:vAlign w:val="center"/>
            <w:hideMark/>
          </w:tcPr>
          <w:p w14:paraId="54168C01"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1.807</w:t>
            </w:r>
          </w:p>
        </w:tc>
        <w:tc>
          <w:tcPr>
            <w:tcW w:w="1106" w:type="dxa"/>
            <w:tcBorders>
              <w:top w:val="nil"/>
              <w:left w:val="nil"/>
              <w:bottom w:val="nil"/>
              <w:right w:val="double" w:sz="4" w:space="0" w:color="2F5496"/>
            </w:tcBorders>
            <w:shd w:val="clear" w:color="000000" w:fill="FFFFFF"/>
            <w:vAlign w:val="center"/>
            <w:hideMark/>
          </w:tcPr>
          <w:p w14:paraId="0005DD8E"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2.276</w:t>
            </w:r>
          </w:p>
        </w:tc>
        <w:tc>
          <w:tcPr>
            <w:tcW w:w="1418" w:type="dxa"/>
            <w:tcBorders>
              <w:top w:val="nil"/>
              <w:left w:val="double" w:sz="4" w:space="0" w:color="2F5496"/>
              <w:bottom w:val="nil"/>
              <w:right w:val="nil"/>
            </w:tcBorders>
            <w:shd w:val="clear" w:color="000000" w:fill="FFFFFF"/>
            <w:noWrap/>
            <w:vAlign w:val="center"/>
            <w:hideMark/>
          </w:tcPr>
          <w:p w14:paraId="7C11463B"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26,0</w:t>
            </w:r>
          </w:p>
        </w:tc>
      </w:tr>
      <w:tr w:rsidR="00FF7292" w:rsidRPr="005908DA" w14:paraId="344F0D12" w14:textId="77777777" w:rsidTr="00D02CA1">
        <w:trPr>
          <w:trHeight w:val="680"/>
          <w:jc w:val="center"/>
        </w:trPr>
        <w:tc>
          <w:tcPr>
            <w:tcW w:w="4965" w:type="dxa"/>
            <w:tcBorders>
              <w:top w:val="nil"/>
              <w:left w:val="nil"/>
              <w:bottom w:val="nil"/>
              <w:right w:val="double" w:sz="4" w:space="0" w:color="2F5496"/>
            </w:tcBorders>
            <w:shd w:val="clear" w:color="000000" w:fill="FFFFFF"/>
            <w:vAlign w:val="center"/>
            <w:hideMark/>
          </w:tcPr>
          <w:p w14:paraId="148CDA21" w14:textId="77777777" w:rsidR="00FF7292" w:rsidRPr="005908DA" w:rsidRDefault="00FF7292" w:rsidP="00D02CA1">
            <w:pP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Στέγαση, ύδρευση, ηλεκτρισμός, φυσικό αέριο (γκάζι) και άλλα καύσιμα</w:t>
            </w:r>
          </w:p>
        </w:tc>
        <w:tc>
          <w:tcPr>
            <w:tcW w:w="1107" w:type="dxa"/>
            <w:tcBorders>
              <w:top w:val="nil"/>
              <w:left w:val="double" w:sz="4" w:space="0" w:color="2F5496"/>
              <w:bottom w:val="nil"/>
              <w:right w:val="nil"/>
            </w:tcBorders>
            <w:shd w:val="clear" w:color="000000" w:fill="FFFFFF"/>
            <w:vAlign w:val="center"/>
            <w:hideMark/>
          </w:tcPr>
          <w:p w14:paraId="7A98EDDD"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10.236</w:t>
            </w:r>
          </w:p>
        </w:tc>
        <w:tc>
          <w:tcPr>
            <w:tcW w:w="1106" w:type="dxa"/>
            <w:tcBorders>
              <w:top w:val="nil"/>
              <w:left w:val="nil"/>
              <w:bottom w:val="nil"/>
              <w:right w:val="nil"/>
            </w:tcBorders>
            <w:shd w:val="clear" w:color="000000" w:fill="FFFFFF"/>
            <w:vAlign w:val="center"/>
            <w:hideMark/>
          </w:tcPr>
          <w:p w14:paraId="57EA3B3C"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7.967</w:t>
            </w:r>
          </w:p>
        </w:tc>
        <w:tc>
          <w:tcPr>
            <w:tcW w:w="1106" w:type="dxa"/>
            <w:tcBorders>
              <w:top w:val="nil"/>
              <w:left w:val="nil"/>
              <w:bottom w:val="nil"/>
              <w:right w:val="double" w:sz="4" w:space="0" w:color="2F5496"/>
            </w:tcBorders>
            <w:shd w:val="clear" w:color="000000" w:fill="FFFFFF"/>
            <w:vAlign w:val="center"/>
            <w:hideMark/>
          </w:tcPr>
          <w:p w14:paraId="4FEF41B1"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11.884</w:t>
            </w:r>
          </w:p>
        </w:tc>
        <w:tc>
          <w:tcPr>
            <w:tcW w:w="1418" w:type="dxa"/>
            <w:tcBorders>
              <w:top w:val="nil"/>
              <w:left w:val="double" w:sz="4" w:space="0" w:color="2F5496"/>
              <w:bottom w:val="nil"/>
              <w:right w:val="nil"/>
            </w:tcBorders>
            <w:shd w:val="clear" w:color="000000" w:fill="FFFFFF"/>
            <w:noWrap/>
            <w:vAlign w:val="center"/>
            <w:hideMark/>
          </w:tcPr>
          <w:p w14:paraId="28B7F56D"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49,2</w:t>
            </w:r>
          </w:p>
        </w:tc>
      </w:tr>
      <w:tr w:rsidR="00FF7292" w:rsidRPr="005908DA" w14:paraId="1AD77A48" w14:textId="77777777" w:rsidTr="00D02CA1">
        <w:trPr>
          <w:trHeight w:val="799"/>
          <w:jc w:val="center"/>
        </w:trPr>
        <w:tc>
          <w:tcPr>
            <w:tcW w:w="4965" w:type="dxa"/>
            <w:tcBorders>
              <w:top w:val="nil"/>
              <w:left w:val="nil"/>
              <w:bottom w:val="nil"/>
              <w:right w:val="double" w:sz="4" w:space="0" w:color="2F5496"/>
            </w:tcBorders>
            <w:shd w:val="clear" w:color="000000" w:fill="FFFFFF"/>
            <w:vAlign w:val="center"/>
            <w:hideMark/>
          </w:tcPr>
          <w:p w14:paraId="57B54766" w14:textId="77777777" w:rsidR="00FF7292" w:rsidRPr="005908DA" w:rsidRDefault="00FF7292" w:rsidP="00D02CA1">
            <w:pP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Επίπλωση και διακόσμηση, οικιακός εξοπλισμός και συνήθης συντήρηση κατοικιών</w:t>
            </w:r>
          </w:p>
        </w:tc>
        <w:tc>
          <w:tcPr>
            <w:tcW w:w="1107" w:type="dxa"/>
            <w:tcBorders>
              <w:top w:val="nil"/>
              <w:left w:val="double" w:sz="4" w:space="0" w:color="2F5496"/>
              <w:bottom w:val="nil"/>
              <w:right w:val="nil"/>
            </w:tcBorders>
            <w:shd w:val="clear" w:color="000000" w:fill="FFFFFF"/>
            <w:vAlign w:val="center"/>
            <w:hideMark/>
          </w:tcPr>
          <w:p w14:paraId="6081086B"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2.207</w:t>
            </w:r>
          </w:p>
        </w:tc>
        <w:tc>
          <w:tcPr>
            <w:tcW w:w="1106" w:type="dxa"/>
            <w:tcBorders>
              <w:top w:val="nil"/>
              <w:left w:val="nil"/>
              <w:bottom w:val="nil"/>
              <w:right w:val="nil"/>
            </w:tcBorders>
            <w:shd w:val="clear" w:color="000000" w:fill="FFFFFF"/>
            <w:vAlign w:val="center"/>
            <w:hideMark/>
          </w:tcPr>
          <w:p w14:paraId="512CCE15"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1.615</w:t>
            </w:r>
          </w:p>
        </w:tc>
        <w:tc>
          <w:tcPr>
            <w:tcW w:w="1106" w:type="dxa"/>
            <w:tcBorders>
              <w:top w:val="nil"/>
              <w:left w:val="nil"/>
              <w:bottom w:val="nil"/>
              <w:right w:val="double" w:sz="4" w:space="0" w:color="2F5496"/>
            </w:tcBorders>
            <w:shd w:val="clear" w:color="000000" w:fill="FFFFFF"/>
            <w:vAlign w:val="center"/>
            <w:hideMark/>
          </w:tcPr>
          <w:p w14:paraId="3EEAD3F8"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2.185</w:t>
            </w:r>
          </w:p>
        </w:tc>
        <w:tc>
          <w:tcPr>
            <w:tcW w:w="1418" w:type="dxa"/>
            <w:tcBorders>
              <w:top w:val="nil"/>
              <w:left w:val="double" w:sz="4" w:space="0" w:color="2F5496"/>
              <w:bottom w:val="nil"/>
              <w:right w:val="nil"/>
            </w:tcBorders>
            <w:shd w:val="clear" w:color="000000" w:fill="FFFFFF"/>
            <w:noWrap/>
            <w:vAlign w:val="center"/>
            <w:hideMark/>
          </w:tcPr>
          <w:p w14:paraId="51D2B0DA"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35,3</w:t>
            </w:r>
          </w:p>
        </w:tc>
      </w:tr>
      <w:tr w:rsidR="00FF7292" w:rsidRPr="005908DA" w14:paraId="7B5130CE" w14:textId="77777777" w:rsidTr="00D02CA1">
        <w:trPr>
          <w:trHeight w:val="624"/>
          <w:jc w:val="center"/>
        </w:trPr>
        <w:tc>
          <w:tcPr>
            <w:tcW w:w="4965" w:type="dxa"/>
            <w:tcBorders>
              <w:top w:val="nil"/>
              <w:left w:val="nil"/>
              <w:bottom w:val="nil"/>
              <w:right w:val="double" w:sz="4" w:space="0" w:color="2F5496"/>
            </w:tcBorders>
            <w:shd w:val="clear" w:color="000000" w:fill="FFFFFF"/>
            <w:vAlign w:val="center"/>
            <w:hideMark/>
          </w:tcPr>
          <w:p w14:paraId="577AE2E3"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Υγεί</w:t>
            </w:r>
            <w:proofErr w:type="spellEnd"/>
            <w:r w:rsidRPr="005908DA">
              <w:rPr>
                <w:rFonts w:ascii="Verdana" w:eastAsia="Times New Roman" w:hAnsi="Verdana" w:cs="Calibri"/>
                <w:b/>
                <w:bCs/>
                <w:color w:val="365F91"/>
                <w:sz w:val="18"/>
                <w:szCs w:val="18"/>
                <w:lang w:val="en-CY" w:eastAsia="en-CY" w:bidi="he-IL"/>
              </w:rPr>
              <w:t>α</w:t>
            </w:r>
          </w:p>
        </w:tc>
        <w:tc>
          <w:tcPr>
            <w:tcW w:w="1107" w:type="dxa"/>
            <w:tcBorders>
              <w:top w:val="nil"/>
              <w:left w:val="double" w:sz="4" w:space="0" w:color="2F5496"/>
              <w:bottom w:val="nil"/>
              <w:right w:val="nil"/>
            </w:tcBorders>
            <w:shd w:val="clear" w:color="000000" w:fill="FFFFFF"/>
            <w:vAlign w:val="center"/>
            <w:hideMark/>
          </w:tcPr>
          <w:p w14:paraId="205F0A4A"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2.061</w:t>
            </w:r>
          </w:p>
        </w:tc>
        <w:tc>
          <w:tcPr>
            <w:tcW w:w="1106" w:type="dxa"/>
            <w:tcBorders>
              <w:top w:val="nil"/>
              <w:left w:val="nil"/>
              <w:bottom w:val="nil"/>
              <w:right w:val="nil"/>
            </w:tcBorders>
            <w:shd w:val="clear" w:color="000000" w:fill="FFFFFF"/>
            <w:vAlign w:val="center"/>
            <w:hideMark/>
          </w:tcPr>
          <w:p w14:paraId="791A7AF7"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1.614</w:t>
            </w:r>
          </w:p>
        </w:tc>
        <w:tc>
          <w:tcPr>
            <w:tcW w:w="1106" w:type="dxa"/>
            <w:tcBorders>
              <w:top w:val="nil"/>
              <w:left w:val="nil"/>
              <w:bottom w:val="nil"/>
              <w:right w:val="double" w:sz="4" w:space="0" w:color="2F5496"/>
            </w:tcBorders>
            <w:shd w:val="clear" w:color="000000" w:fill="FFFFFF"/>
            <w:vAlign w:val="center"/>
            <w:hideMark/>
          </w:tcPr>
          <w:p w14:paraId="07EC5DE1"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1.188</w:t>
            </w:r>
          </w:p>
        </w:tc>
        <w:tc>
          <w:tcPr>
            <w:tcW w:w="1418" w:type="dxa"/>
            <w:tcBorders>
              <w:top w:val="nil"/>
              <w:left w:val="double" w:sz="4" w:space="0" w:color="2F5496"/>
              <w:bottom w:val="nil"/>
              <w:right w:val="nil"/>
            </w:tcBorders>
            <w:shd w:val="clear" w:color="000000" w:fill="FFFFFF"/>
            <w:noWrap/>
            <w:vAlign w:val="center"/>
            <w:hideMark/>
          </w:tcPr>
          <w:p w14:paraId="11DA35DE"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-26,4</w:t>
            </w:r>
          </w:p>
        </w:tc>
      </w:tr>
      <w:tr w:rsidR="00FF7292" w:rsidRPr="005908DA" w14:paraId="0EB972CD" w14:textId="77777777" w:rsidTr="00D02CA1">
        <w:trPr>
          <w:trHeight w:val="907"/>
          <w:jc w:val="center"/>
        </w:trPr>
        <w:tc>
          <w:tcPr>
            <w:tcW w:w="4965" w:type="dxa"/>
            <w:tcBorders>
              <w:top w:val="nil"/>
              <w:left w:val="nil"/>
              <w:bottom w:val="nil"/>
              <w:right w:val="double" w:sz="4" w:space="0" w:color="2F5496"/>
            </w:tcBorders>
            <w:shd w:val="clear" w:color="000000" w:fill="FFFFFF"/>
            <w:vAlign w:val="center"/>
            <w:hideMark/>
          </w:tcPr>
          <w:p w14:paraId="74CA40A6"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Μετ</w:t>
            </w:r>
            <w:proofErr w:type="spellEnd"/>
            <w:r w:rsidRPr="005908DA">
              <w:rPr>
                <w:rFonts w:ascii="Verdana" w:eastAsia="Times New Roman" w:hAnsi="Verdana" w:cs="Calibri"/>
                <w:b/>
                <w:bCs/>
                <w:color w:val="365F91"/>
                <w:sz w:val="18"/>
                <w:szCs w:val="18"/>
                <w:lang w:val="en-CY" w:eastAsia="en-CY" w:bidi="he-IL"/>
              </w:rPr>
              <w:t>αφορές</w:t>
            </w:r>
          </w:p>
        </w:tc>
        <w:tc>
          <w:tcPr>
            <w:tcW w:w="1107" w:type="dxa"/>
            <w:tcBorders>
              <w:top w:val="nil"/>
              <w:left w:val="double" w:sz="4" w:space="0" w:color="2F5496"/>
              <w:bottom w:val="nil"/>
              <w:right w:val="nil"/>
            </w:tcBorders>
            <w:shd w:val="clear" w:color="000000" w:fill="FFFFFF"/>
            <w:vAlign w:val="center"/>
            <w:hideMark/>
          </w:tcPr>
          <w:p w14:paraId="0E1F1D37"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5.351</w:t>
            </w:r>
          </w:p>
        </w:tc>
        <w:tc>
          <w:tcPr>
            <w:tcW w:w="1106" w:type="dxa"/>
            <w:tcBorders>
              <w:top w:val="nil"/>
              <w:left w:val="nil"/>
              <w:bottom w:val="nil"/>
              <w:right w:val="nil"/>
            </w:tcBorders>
            <w:shd w:val="clear" w:color="000000" w:fill="FFFFFF"/>
            <w:vAlign w:val="center"/>
            <w:hideMark/>
          </w:tcPr>
          <w:p w14:paraId="5AB072AA"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3.748</w:t>
            </w:r>
          </w:p>
        </w:tc>
        <w:tc>
          <w:tcPr>
            <w:tcW w:w="1106" w:type="dxa"/>
            <w:tcBorders>
              <w:top w:val="nil"/>
              <w:left w:val="nil"/>
              <w:bottom w:val="nil"/>
              <w:right w:val="double" w:sz="4" w:space="0" w:color="2F5496"/>
            </w:tcBorders>
            <w:shd w:val="clear" w:color="000000" w:fill="FFFFFF"/>
            <w:vAlign w:val="center"/>
            <w:hideMark/>
          </w:tcPr>
          <w:p w14:paraId="3E2BB9A0"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5.004</w:t>
            </w:r>
          </w:p>
        </w:tc>
        <w:tc>
          <w:tcPr>
            <w:tcW w:w="1418" w:type="dxa"/>
            <w:tcBorders>
              <w:top w:val="nil"/>
              <w:left w:val="double" w:sz="4" w:space="0" w:color="2F5496"/>
              <w:bottom w:val="nil"/>
              <w:right w:val="nil"/>
            </w:tcBorders>
            <w:shd w:val="clear" w:color="000000" w:fill="FFFFFF"/>
            <w:noWrap/>
            <w:vAlign w:val="center"/>
            <w:hideMark/>
          </w:tcPr>
          <w:p w14:paraId="2E7D0F1C"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33,5</w:t>
            </w:r>
          </w:p>
        </w:tc>
      </w:tr>
      <w:tr w:rsidR="00FF7292" w:rsidRPr="005908DA" w14:paraId="4A5A90A8" w14:textId="77777777" w:rsidTr="00D02CA1">
        <w:trPr>
          <w:trHeight w:val="567"/>
          <w:jc w:val="center"/>
        </w:trPr>
        <w:tc>
          <w:tcPr>
            <w:tcW w:w="4965" w:type="dxa"/>
            <w:tcBorders>
              <w:top w:val="nil"/>
              <w:left w:val="nil"/>
              <w:bottom w:val="nil"/>
              <w:right w:val="double" w:sz="4" w:space="0" w:color="2F5496"/>
            </w:tcBorders>
            <w:shd w:val="clear" w:color="000000" w:fill="FFFFFF"/>
            <w:vAlign w:val="center"/>
            <w:hideMark/>
          </w:tcPr>
          <w:p w14:paraId="7B75DCD7" w14:textId="77777777" w:rsidR="00FF7292" w:rsidRPr="005908DA" w:rsidRDefault="00FF7292" w:rsidP="00D02CA1">
            <w:pPr>
              <w:rPr>
                <w:rFonts w:ascii="Verdana" w:eastAsia="Times New Roman" w:hAnsi="Verdana" w:cs="Calibri"/>
                <w:b/>
                <w:bCs/>
                <w:color w:val="365F91"/>
                <w:sz w:val="18"/>
                <w:szCs w:val="18"/>
                <w:lang w:val="en-CY" w:eastAsia="en-CY" w:bidi="he-IL"/>
              </w:rPr>
            </w:pPr>
            <w:r w:rsidRPr="005908DA">
              <w:rPr>
                <w:rFonts w:ascii="Verdana" w:hAnsi="Verdana"/>
                <w:noProof/>
                <w:sz w:val="18"/>
                <w:szCs w:val="18"/>
              </w:rPr>
              <mc:AlternateContent>
                <mc:Choice Requires="wps">
                  <w:drawing>
                    <wp:anchor distT="0" distB="0" distL="114300" distR="114300" simplePos="0" relativeHeight="251661312" behindDoc="0" locked="0" layoutInCell="1" allowOverlap="1" wp14:anchorId="58DC6FC4" wp14:editId="1BB8848D">
                      <wp:simplePos x="0" y="0"/>
                      <wp:positionH relativeFrom="column">
                        <wp:posOffset>2809875</wp:posOffset>
                      </wp:positionH>
                      <wp:positionV relativeFrom="paragraph">
                        <wp:posOffset>48895</wp:posOffset>
                      </wp:positionV>
                      <wp:extent cx="349885" cy="854075"/>
                      <wp:effectExtent l="7620" t="13970" r="13970" b="8255"/>
                      <wp:wrapNone/>
                      <wp:docPr id="583328699"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854075"/>
                              </a:xfrm>
                              <a:prstGeom prst="rightBrace">
                                <a:avLst>
                                  <a:gd name="adj1" fmla="val 13324"/>
                                  <a:gd name="adj2" fmla="val 50000"/>
                                </a:avLst>
                              </a:prstGeom>
                              <a:noFill/>
                              <a:ln w="6350" algn="ctr">
                                <a:solidFill>
                                  <a:srgbClr val="2F54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51C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21.25pt;margin-top:3.85pt;width:27.55pt;height: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" adj="1179" strokecolor="#2f5496" strokeweight=".5pt">
                      <v:stroke joinstyle="miter"/>
                    </v:shape>
                  </w:pict>
                </mc:Fallback>
              </mc:AlternateContent>
            </w:r>
            <w:proofErr w:type="spellStart"/>
            <w:r w:rsidRPr="005908DA">
              <w:rPr>
                <w:rFonts w:ascii="Verdana" w:eastAsia="Times New Roman" w:hAnsi="Verdana" w:cs="Calibri"/>
                <w:b/>
                <w:bCs/>
                <w:color w:val="365F91"/>
                <w:sz w:val="18"/>
                <w:szCs w:val="18"/>
                <w:lang w:val="en-CY" w:eastAsia="en-CY" w:bidi="he-IL"/>
              </w:rPr>
              <w:t>Πληροφορί</w:t>
            </w:r>
            <w:proofErr w:type="spellEnd"/>
            <w:r w:rsidRPr="005908DA">
              <w:rPr>
                <w:rFonts w:ascii="Verdana" w:eastAsia="Times New Roman" w:hAnsi="Verdana" w:cs="Calibri"/>
                <w:b/>
                <w:bCs/>
                <w:color w:val="365F91"/>
                <w:sz w:val="18"/>
                <w:szCs w:val="18"/>
                <w:lang w:val="en-CY" w:eastAsia="en-CY" w:bidi="he-IL"/>
              </w:rPr>
              <w:t xml:space="preserve">α και </w:t>
            </w:r>
            <w:proofErr w:type="gramStart"/>
            <w:r w:rsidRPr="005908DA">
              <w:rPr>
                <w:rFonts w:ascii="Verdana" w:eastAsia="Times New Roman" w:hAnsi="Verdana" w:cs="Calibri"/>
                <w:b/>
                <w:bCs/>
                <w:color w:val="365F91"/>
                <w:sz w:val="18"/>
                <w:szCs w:val="18"/>
                <w:lang w:val="en-CY" w:eastAsia="en-CY" w:bidi="he-IL"/>
              </w:rPr>
              <w:t>επ</w:t>
            </w:r>
            <w:proofErr w:type="spellStart"/>
            <w:r w:rsidRPr="005908DA">
              <w:rPr>
                <w:rFonts w:ascii="Verdana" w:eastAsia="Times New Roman" w:hAnsi="Verdana" w:cs="Calibri"/>
                <w:b/>
                <w:bCs/>
                <w:color w:val="365F91"/>
                <w:sz w:val="18"/>
                <w:szCs w:val="18"/>
                <w:lang w:val="en-CY" w:eastAsia="en-CY" w:bidi="he-IL"/>
              </w:rPr>
              <w:t>ικοινωνίες</w:t>
            </w:r>
            <w:proofErr w:type="spellEnd"/>
            <w:r w:rsidRPr="005908DA">
              <w:rPr>
                <w:rFonts w:ascii="Verdana" w:eastAsia="Times New Roman" w:hAnsi="Verdana" w:cs="Calibri"/>
                <w:b/>
                <w:bCs/>
                <w:color w:val="365F91"/>
                <w:sz w:val="18"/>
                <w:szCs w:val="18"/>
                <w:vertAlign w:val="superscript"/>
                <w:lang w:val="en-CY" w:eastAsia="en-CY" w:bidi="he-IL"/>
              </w:rPr>
              <w:t>(</w:t>
            </w:r>
            <w:proofErr w:type="gramEnd"/>
            <w:r w:rsidRPr="005908DA">
              <w:rPr>
                <w:rFonts w:ascii="Verdana" w:eastAsia="Times New Roman" w:hAnsi="Verdana" w:cs="Calibri"/>
                <w:b/>
                <w:bCs/>
                <w:color w:val="365F91"/>
                <w:sz w:val="18"/>
                <w:szCs w:val="18"/>
                <w:vertAlign w:val="superscript"/>
                <w:lang w:val="en-CY" w:eastAsia="en-CY" w:bidi="he-IL"/>
              </w:rPr>
              <w:t>1)</w:t>
            </w:r>
            <w:r w:rsidRPr="005908DA">
              <w:rPr>
                <w:rFonts w:ascii="Verdana" w:eastAsia="Times New Roman" w:hAnsi="Verdana" w:cs="Calibri"/>
                <w:b/>
                <w:bCs/>
                <w:color w:val="365F91"/>
                <w:sz w:val="18"/>
                <w:szCs w:val="18"/>
                <w:lang w:val="en-CY" w:eastAsia="en-CY" w:bidi="he-IL"/>
              </w:rPr>
              <w:t xml:space="preserve"> </w:t>
            </w:r>
          </w:p>
        </w:tc>
        <w:tc>
          <w:tcPr>
            <w:tcW w:w="1107" w:type="dxa"/>
            <w:vMerge w:val="restart"/>
            <w:tcBorders>
              <w:top w:val="nil"/>
              <w:left w:val="double" w:sz="4" w:space="0" w:color="2F5496"/>
              <w:bottom w:val="nil"/>
              <w:right w:val="nil"/>
            </w:tcBorders>
            <w:shd w:val="clear" w:color="000000" w:fill="FFFFFF"/>
            <w:vAlign w:val="center"/>
            <w:hideMark/>
          </w:tcPr>
          <w:p w14:paraId="73A6110C"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3.446</w:t>
            </w:r>
          </w:p>
        </w:tc>
        <w:tc>
          <w:tcPr>
            <w:tcW w:w="1106" w:type="dxa"/>
            <w:vMerge w:val="restart"/>
            <w:tcBorders>
              <w:top w:val="nil"/>
              <w:left w:val="nil"/>
              <w:bottom w:val="nil"/>
              <w:right w:val="nil"/>
            </w:tcBorders>
            <w:shd w:val="clear" w:color="000000" w:fill="FFFFFF"/>
            <w:vAlign w:val="center"/>
            <w:hideMark/>
          </w:tcPr>
          <w:p w14:paraId="44E8FDC2"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2.638</w:t>
            </w:r>
          </w:p>
        </w:tc>
        <w:tc>
          <w:tcPr>
            <w:tcW w:w="1106" w:type="dxa"/>
            <w:tcBorders>
              <w:top w:val="nil"/>
              <w:left w:val="nil"/>
              <w:bottom w:val="nil"/>
              <w:right w:val="double" w:sz="4" w:space="0" w:color="2F5496"/>
            </w:tcBorders>
            <w:shd w:val="clear" w:color="000000" w:fill="FFFFFF"/>
            <w:vAlign w:val="center"/>
            <w:hideMark/>
          </w:tcPr>
          <w:p w14:paraId="395BD3D1"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hAnsi="Verdana"/>
                <w:noProof/>
                <w:sz w:val="18"/>
                <w:szCs w:val="18"/>
              </w:rPr>
              <mc:AlternateContent>
                <mc:Choice Requires="wps">
                  <w:drawing>
                    <wp:anchor distT="0" distB="0" distL="114300" distR="114300" simplePos="0" relativeHeight="251662336" behindDoc="0" locked="0" layoutInCell="1" allowOverlap="1" wp14:anchorId="10C1E09B" wp14:editId="78D24371">
                      <wp:simplePos x="0" y="0"/>
                      <wp:positionH relativeFrom="column">
                        <wp:posOffset>604520</wp:posOffset>
                      </wp:positionH>
                      <wp:positionV relativeFrom="paragraph">
                        <wp:posOffset>1270</wp:posOffset>
                      </wp:positionV>
                      <wp:extent cx="238125" cy="834390"/>
                      <wp:effectExtent l="10795" t="13970" r="8255" b="8890"/>
                      <wp:wrapNone/>
                      <wp:docPr id="893397799"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34390"/>
                              </a:xfrm>
                              <a:prstGeom prst="rightBrace">
                                <a:avLst>
                                  <a:gd name="adj1" fmla="val 16482"/>
                                  <a:gd name="adj2" fmla="val 50000"/>
                                </a:avLst>
                              </a:prstGeom>
                              <a:noFill/>
                              <a:ln w="6350" algn="ctr">
                                <a:solidFill>
                                  <a:srgbClr val="2F54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C71ED" id="Right Brace 2" o:spid="_x0000_s1026" type="#_x0000_t88" style="position:absolute;margin-left:47.6pt;margin-top:.1pt;width:18.75pt;height:6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" adj="1016" strokecolor="#2f5496" strokeweight=".5pt">
                      <v:stroke joinstyle="miter"/>
                    </v:shape>
                  </w:pict>
                </mc:Fallback>
              </mc:AlternateContent>
            </w:r>
            <w:r w:rsidRPr="005908DA">
              <w:rPr>
                <w:rFonts w:ascii="Verdana" w:eastAsia="Times New Roman" w:hAnsi="Verdana" w:cs="Calibri"/>
                <w:color w:val="365F91"/>
                <w:sz w:val="18"/>
                <w:szCs w:val="18"/>
                <w:lang w:val="en-CY" w:eastAsia="en-CY" w:bidi="he-IL"/>
              </w:rPr>
              <w:t>1.468</w:t>
            </w:r>
          </w:p>
        </w:tc>
        <w:tc>
          <w:tcPr>
            <w:tcW w:w="1418" w:type="dxa"/>
            <w:vMerge w:val="restart"/>
            <w:tcBorders>
              <w:top w:val="nil"/>
              <w:left w:val="double" w:sz="4" w:space="0" w:color="2F5496"/>
              <w:bottom w:val="nil"/>
              <w:right w:val="nil"/>
            </w:tcBorders>
            <w:shd w:val="clear" w:color="000000" w:fill="FFFFFF"/>
            <w:noWrap/>
            <w:vAlign w:val="center"/>
            <w:hideMark/>
          </w:tcPr>
          <w:p w14:paraId="12D9D8B0"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26,5</w:t>
            </w:r>
          </w:p>
        </w:tc>
      </w:tr>
      <w:tr w:rsidR="00FF7292" w:rsidRPr="005908DA" w14:paraId="0DAF506A" w14:textId="77777777" w:rsidTr="00D02CA1">
        <w:trPr>
          <w:trHeight w:val="799"/>
          <w:jc w:val="center"/>
        </w:trPr>
        <w:tc>
          <w:tcPr>
            <w:tcW w:w="4965" w:type="dxa"/>
            <w:tcBorders>
              <w:top w:val="nil"/>
              <w:left w:val="nil"/>
              <w:bottom w:val="nil"/>
              <w:right w:val="double" w:sz="4" w:space="0" w:color="2F5496"/>
            </w:tcBorders>
            <w:shd w:val="clear" w:color="000000" w:fill="FFFFFF"/>
            <w:vAlign w:val="center"/>
            <w:hideMark/>
          </w:tcPr>
          <w:p w14:paraId="0F6C6A21"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Αν</w:t>
            </w:r>
            <w:proofErr w:type="spellEnd"/>
            <w:r w:rsidRPr="005908DA">
              <w:rPr>
                <w:rFonts w:ascii="Verdana" w:eastAsia="Times New Roman" w:hAnsi="Verdana" w:cs="Calibri"/>
                <w:b/>
                <w:bCs/>
                <w:color w:val="365F91"/>
                <w:sz w:val="18"/>
                <w:szCs w:val="18"/>
                <w:lang w:val="en-CY" w:eastAsia="en-CY" w:bidi="he-IL"/>
              </w:rPr>
              <w:t>αψυχή, α</w:t>
            </w:r>
            <w:proofErr w:type="spellStart"/>
            <w:r w:rsidRPr="005908DA">
              <w:rPr>
                <w:rFonts w:ascii="Verdana" w:eastAsia="Times New Roman" w:hAnsi="Verdana" w:cs="Calibri"/>
                <w:b/>
                <w:bCs/>
                <w:color w:val="365F91"/>
                <w:sz w:val="18"/>
                <w:szCs w:val="18"/>
                <w:lang w:val="en-CY" w:eastAsia="en-CY" w:bidi="he-IL"/>
              </w:rPr>
              <w:t>θλητισμός</w:t>
            </w:r>
            <w:proofErr w:type="spellEnd"/>
            <w:r w:rsidRPr="005908DA">
              <w:rPr>
                <w:rFonts w:ascii="Verdana" w:eastAsia="Times New Roman" w:hAnsi="Verdana" w:cs="Calibri"/>
                <w:b/>
                <w:bCs/>
                <w:color w:val="365F91"/>
                <w:sz w:val="18"/>
                <w:szCs w:val="18"/>
                <w:lang w:val="en-CY" w:eastAsia="en-CY" w:bidi="he-IL"/>
              </w:rPr>
              <w:t xml:space="preserve"> και </w:t>
            </w:r>
            <w:proofErr w:type="gramStart"/>
            <w:r w:rsidRPr="005908DA">
              <w:rPr>
                <w:rFonts w:ascii="Verdana" w:eastAsia="Times New Roman" w:hAnsi="Verdana" w:cs="Calibri"/>
                <w:b/>
                <w:bCs/>
                <w:color w:val="365F91"/>
                <w:sz w:val="18"/>
                <w:szCs w:val="18"/>
                <w:lang w:val="en-CY" w:eastAsia="en-CY" w:bidi="he-IL"/>
              </w:rPr>
              <w:t>π</w:t>
            </w:r>
            <w:proofErr w:type="spellStart"/>
            <w:r w:rsidRPr="005908DA">
              <w:rPr>
                <w:rFonts w:ascii="Verdana" w:eastAsia="Times New Roman" w:hAnsi="Verdana" w:cs="Calibri"/>
                <w:b/>
                <w:bCs/>
                <w:color w:val="365F91"/>
                <w:sz w:val="18"/>
                <w:szCs w:val="18"/>
                <w:lang w:val="en-CY" w:eastAsia="en-CY" w:bidi="he-IL"/>
              </w:rPr>
              <w:t>ολιτισμός</w:t>
            </w:r>
            <w:proofErr w:type="spellEnd"/>
            <w:r w:rsidRPr="005908DA">
              <w:rPr>
                <w:rFonts w:ascii="Verdana" w:eastAsia="Times New Roman" w:hAnsi="Verdana" w:cs="Calibri"/>
                <w:b/>
                <w:bCs/>
                <w:color w:val="365F91"/>
                <w:sz w:val="18"/>
                <w:szCs w:val="18"/>
                <w:vertAlign w:val="superscript"/>
                <w:lang w:val="en-CY" w:eastAsia="en-CY" w:bidi="he-IL"/>
              </w:rPr>
              <w:t>(</w:t>
            </w:r>
            <w:proofErr w:type="gramEnd"/>
            <w:r w:rsidRPr="005908DA">
              <w:rPr>
                <w:rFonts w:ascii="Verdana" w:eastAsia="Times New Roman" w:hAnsi="Verdana" w:cs="Calibri"/>
                <w:b/>
                <w:bCs/>
                <w:color w:val="365F91"/>
                <w:sz w:val="18"/>
                <w:szCs w:val="18"/>
                <w:vertAlign w:val="superscript"/>
                <w:lang w:val="en-CY" w:eastAsia="en-CY" w:bidi="he-IL"/>
              </w:rPr>
              <w:t>1)</w:t>
            </w:r>
          </w:p>
        </w:tc>
        <w:tc>
          <w:tcPr>
            <w:tcW w:w="1107" w:type="dxa"/>
            <w:vMerge/>
            <w:tcBorders>
              <w:top w:val="nil"/>
              <w:left w:val="double" w:sz="4" w:space="0" w:color="2F5496"/>
              <w:bottom w:val="nil"/>
              <w:right w:val="nil"/>
            </w:tcBorders>
            <w:vAlign w:val="center"/>
            <w:hideMark/>
          </w:tcPr>
          <w:p w14:paraId="4D303972"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p>
        </w:tc>
        <w:tc>
          <w:tcPr>
            <w:tcW w:w="1106" w:type="dxa"/>
            <w:vMerge/>
            <w:tcBorders>
              <w:top w:val="nil"/>
              <w:left w:val="nil"/>
              <w:bottom w:val="nil"/>
              <w:right w:val="nil"/>
            </w:tcBorders>
            <w:vAlign w:val="center"/>
            <w:hideMark/>
          </w:tcPr>
          <w:p w14:paraId="4E18B2DD"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p>
        </w:tc>
        <w:tc>
          <w:tcPr>
            <w:tcW w:w="1106" w:type="dxa"/>
            <w:tcBorders>
              <w:top w:val="nil"/>
              <w:left w:val="nil"/>
              <w:bottom w:val="nil"/>
              <w:right w:val="double" w:sz="4" w:space="0" w:color="2F5496"/>
            </w:tcBorders>
            <w:shd w:val="clear" w:color="000000" w:fill="FFFFFF"/>
            <w:vAlign w:val="center"/>
            <w:hideMark/>
          </w:tcPr>
          <w:p w14:paraId="2492AA12"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1.870</w:t>
            </w:r>
          </w:p>
        </w:tc>
        <w:tc>
          <w:tcPr>
            <w:tcW w:w="1418" w:type="dxa"/>
            <w:vMerge/>
            <w:tcBorders>
              <w:top w:val="nil"/>
              <w:left w:val="double" w:sz="4" w:space="0" w:color="2F5496"/>
              <w:bottom w:val="nil"/>
              <w:right w:val="nil"/>
            </w:tcBorders>
            <w:vAlign w:val="center"/>
            <w:hideMark/>
          </w:tcPr>
          <w:p w14:paraId="29932997"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p>
        </w:tc>
      </w:tr>
      <w:tr w:rsidR="00FF7292" w:rsidRPr="005908DA" w14:paraId="7AA4E11E" w14:textId="77777777" w:rsidTr="00D02CA1">
        <w:trPr>
          <w:trHeight w:val="737"/>
          <w:jc w:val="center"/>
        </w:trPr>
        <w:tc>
          <w:tcPr>
            <w:tcW w:w="4965" w:type="dxa"/>
            <w:tcBorders>
              <w:top w:val="nil"/>
              <w:left w:val="nil"/>
              <w:bottom w:val="nil"/>
              <w:right w:val="double" w:sz="4" w:space="0" w:color="2F5496"/>
            </w:tcBorders>
            <w:shd w:val="clear" w:color="000000" w:fill="FFFFFF"/>
            <w:vAlign w:val="center"/>
            <w:hideMark/>
          </w:tcPr>
          <w:p w14:paraId="19AC9BB9"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Εκ</w:t>
            </w:r>
            <w:proofErr w:type="spellEnd"/>
            <w:r w:rsidRPr="005908DA">
              <w:rPr>
                <w:rFonts w:ascii="Verdana" w:eastAsia="Times New Roman" w:hAnsi="Verdana" w:cs="Calibri"/>
                <w:b/>
                <w:bCs/>
                <w:color w:val="365F91"/>
                <w:sz w:val="18"/>
                <w:szCs w:val="18"/>
                <w:lang w:val="en-CY" w:eastAsia="en-CY" w:bidi="he-IL"/>
              </w:rPr>
              <w:t>παίδευση</w:t>
            </w:r>
          </w:p>
        </w:tc>
        <w:tc>
          <w:tcPr>
            <w:tcW w:w="1107" w:type="dxa"/>
            <w:tcBorders>
              <w:top w:val="nil"/>
              <w:left w:val="double" w:sz="4" w:space="0" w:color="2F5496"/>
              <w:bottom w:val="nil"/>
              <w:right w:val="nil"/>
            </w:tcBorders>
            <w:shd w:val="clear" w:color="000000" w:fill="FFFFFF"/>
            <w:vAlign w:val="center"/>
            <w:hideMark/>
          </w:tcPr>
          <w:p w14:paraId="0DDEB7F1"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1.314</w:t>
            </w:r>
          </w:p>
        </w:tc>
        <w:tc>
          <w:tcPr>
            <w:tcW w:w="1106" w:type="dxa"/>
            <w:tcBorders>
              <w:top w:val="nil"/>
              <w:left w:val="nil"/>
              <w:bottom w:val="nil"/>
              <w:right w:val="nil"/>
            </w:tcBorders>
            <w:shd w:val="clear" w:color="000000" w:fill="FFFFFF"/>
            <w:vAlign w:val="center"/>
            <w:hideMark/>
          </w:tcPr>
          <w:p w14:paraId="344340B7"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1.408</w:t>
            </w:r>
          </w:p>
        </w:tc>
        <w:tc>
          <w:tcPr>
            <w:tcW w:w="1106" w:type="dxa"/>
            <w:tcBorders>
              <w:top w:val="nil"/>
              <w:left w:val="nil"/>
              <w:bottom w:val="nil"/>
              <w:right w:val="double" w:sz="4" w:space="0" w:color="2F5496"/>
            </w:tcBorders>
            <w:shd w:val="clear" w:color="000000" w:fill="FFFFFF"/>
            <w:vAlign w:val="center"/>
            <w:hideMark/>
          </w:tcPr>
          <w:p w14:paraId="13166DBF"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1.596</w:t>
            </w:r>
          </w:p>
        </w:tc>
        <w:tc>
          <w:tcPr>
            <w:tcW w:w="1418" w:type="dxa"/>
            <w:tcBorders>
              <w:top w:val="nil"/>
              <w:left w:val="double" w:sz="4" w:space="0" w:color="2F5496"/>
              <w:bottom w:val="nil"/>
              <w:right w:val="nil"/>
            </w:tcBorders>
            <w:shd w:val="clear" w:color="000000" w:fill="FFFFFF"/>
            <w:noWrap/>
            <w:vAlign w:val="center"/>
            <w:hideMark/>
          </w:tcPr>
          <w:p w14:paraId="5E7CF3E1"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13,4</w:t>
            </w:r>
          </w:p>
        </w:tc>
      </w:tr>
      <w:tr w:rsidR="00FF7292" w:rsidRPr="005908DA" w14:paraId="3695B3F6" w14:textId="77777777" w:rsidTr="00D02CA1">
        <w:trPr>
          <w:trHeight w:val="680"/>
          <w:jc w:val="center"/>
        </w:trPr>
        <w:tc>
          <w:tcPr>
            <w:tcW w:w="4965" w:type="dxa"/>
            <w:tcBorders>
              <w:top w:val="nil"/>
              <w:left w:val="nil"/>
              <w:bottom w:val="nil"/>
              <w:right w:val="double" w:sz="4" w:space="0" w:color="2F5496"/>
            </w:tcBorders>
            <w:shd w:val="clear" w:color="000000" w:fill="FFFFFF"/>
            <w:vAlign w:val="center"/>
            <w:hideMark/>
          </w:tcPr>
          <w:p w14:paraId="225D28B2"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Εστι</w:t>
            </w:r>
            <w:proofErr w:type="spellEnd"/>
            <w:r w:rsidRPr="005908DA">
              <w:rPr>
                <w:rFonts w:ascii="Verdana" w:eastAsia="Times New Roman" w:hAnsi="Verdana" w:cs="Calibri"/>
                <w:b/>
                <w:bCs/>
                <w:color w:val="365F91"/>
                <w:sz w:val="18"/>
                <w:szCs w:val="18"/>
                <w:lang w:val="en-CY" w:eastAsia="en-CY" w:bidi="he-IL"/>
              </w:rPr>
              <w:t>ατόρια και υπ</w:t>
            </w:r>
            <w:proofErr w:type="spellStart"/>
            <w:r w:rsidRPr="005908DA">
              <w:rPr>
                <w:rFonts w:ascii="Verdana" w:eastAsia="Times New Roman" w:hAnsi="Verdana" w:cs="Calibri"/>
                <w:b/>
                <w:bCs/>
                <w:color w:val="365F91"/>
                <w:sz w:val="18"/>
                <w:szCs w:val="18"/>
                <w:lang w:val="en-CY" w:eastAsia="en-CY" w:bidi="he-IL"/>
              </w:rPr>
              <w:t>ηρεσίες</w:t>
            </w:r>
            <w:proofErr w:type="spellEnd"/>
            <w:r w:rsidRPr="005908DA">
              <w:rPr>
                <w:rFonts w:ascii="Verdana" w:eastAsia="Times New Roman" w:hAnsi="Verdana" w:cs="Calibri"/>
                <w:b/>
                <w:bCs/>
                <w:color w:val="365F91"/>
                <w:sz w:val="18"/>
                <w:szCs w:val="18"/>
                <w:lang w:val="en-CY" w:eastAsia="en-CY" w:bidi="he-IL"/>
              </w:rPr>
              <w:t xml:space="preserve"> </w:t>
            </w:r>
            <w:proofErr w:type="spellStart"/>
            <w:r w:rsidRPr="005908DA">
              <w:rPr>
                <w:rFonts w:ascii="Verdana" w:eastAsia="Times New Roman" w:hAnsi="Verdana" w:cs="Calibri"/>
                <w:b/>
                <w:bCs/>
                <w:color w:val="365F91"/>
                <w:sz w:val="18"/>
                <w:szCs w:val="18"/>
                <w:lang w:val="en-CY" w:eastAsia="en-CY" w:bidi="he-IL"/>
              </w:rPr>
              <w:t>δι</w:t>
            </w:r>
            <w:proofErr w:type="spellEnd"/>
            <w:r w:rsidRPr="005908DA">
              <w:rPr>
                <w:rFonts w:ascii="Verdana" w:eastAsia="Times New Roman" w:hAnsi="Verdana" w:cs="Calibri"/>
                <w:b/>
                <w:bCs/>
                <w:color w:val="365F91"/>
                <w:sz w:val="18"/>
                <w:szCs w:val="18"/>
                <w:lang w:val="en-CY" w:eastAsia="en-CY" w:bidi="he-IL"/>
              </w:rPr>
              <w:t>αμονής</w:t>
            </w:r>
          </w:p>
        </w:tc>
        <w:tc>
          <w:tcPr>
            <w:tcW w:w="1107" w:type="dxa"/>
            <w:tcBorders>
              <w:top w:val="nil"/>
              <w:left w:val="double" w:sz="4" w:space="0" w:color="2F5496"/>
              <w:bottom w:val="nil"/>
              <w:right w:val="nil"/>
            </w:tcBorders>
            <w:shd w:val="clear" w:color="000000" w:fill="FFFFFF"/>
            <w:vAlign w:val="center"/>
            <w:hideMark/>
          </w:tcPr>
          <w:p w14:paraId="6AEF049C"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3.290</w:t>
            </w:r>
          </w:p>
        </w:tc>
        <w:tc>
          <w:tcPr>
            <w:tcW w:w="1106" w:type="dxa"/>
            <w:tcBorders>
              <w:top w:val="nil"/>
              <w:left w:val="nil"/>
              <w:bottom w:val="nil"/>
              <w:right w:val="nil"/>
            </w:tcBorders>
            <w:shd w:val="clear" w:color="000000" w:fill="FFFFFF"/>
            <w:vAlign w:val="center"/>
            <w:hideMark/>
          </w:tcPr>
          <w:p w14:paraId="6E90CD9B"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2.786</w:t>
            </w:r>
          </w:p>
        </w:tc>
        <w:tc>
          <w:tcPr>
            <w:tcW w:w="1106" w:type="dxa"/>
            <w:tcBorders>
              <w:top w:val="nil"/>
              <w:left w:val="nil"/>
              <w:bottom w:val="nil"/>
              <w:right w:val="double" w:sz="4" w:space="0" w:color="2F5496"/>
            </w:tcBorders>
            <w:shd w:val="clear" w:color="000000" w:fill="FFFFFF"/>
            <w:vAlign w:val="center"/>
            <w:hideMark/>
          </w:tcPr>
          <w:p w14:paraId="442C93BE"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4.777</w:t>
            </w:r>
          </w:p>
        </w:tc>
        <w:tc>
          <w:tcPr>
            <w:tcW w:w="1418" w:type="dxa"/>
            <w:tcBorders>
              <w:top w:val="nil"/>
              <w:left w:val="double" w:sz="4" w:space="0" w:color="2F5496"/>
              <w:bottom w:val="nil"/>
              <w:right w:val="nil"/>
            </w:tcBorders>
            <w:shd w:val="clear" w:color="000000" w:fill="FFFFFF"/>
            <w:noWrap/>
            <w:vAlign w:val="center"/>
            <w:hideMark/>
          </w:tcPr>
          <w:p w14:paraId="7D2CB12B"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71,5</w:t>
            </w:r>
          </w:p>
        </w:tc>
      </w:tr>
      <w:tr w:rsidR="00FF7292" w:rsidRPr="005908DA" w14:paraId="4D28CA44" w14:textId="77777777" w:rsidTr="00D02CA1">
        <w:trPr>
          <w:trHeight w:val="680"/>
          <w:jc w:val="center"/>
        </w:trPr>
        <w:tc>
          <w:tcPr>
            <w:tcW w:w="4965" w:type="dxa"/>
            <w:tcBorders>
              <w:top w:val="nil"/>
              <w:left w:val="nil"/>
              <w:bottom w:val="nil"/>
              <w:right w:val="double" w:sz="4" w:space="0" w:color="2F5496"/>
            </w:tcBorders>
            <w:shd w:val="clear" w:color="000000" w:fill="FFFFFF"/>
            <w:vAlign w:val="center"/>
            <w:hideMark/>
          </w:tcPr>
          <w:p w14:paraId="2825A93A"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Ασφάλειες</w:t>
            </w:r>
            <w:proofErr w:type="spellEnd"/>
            <w:r w:rsidRPr="005908DA">
              <w:rPr>
                <w:rFonts w:ascii="Verdana" w:eastAsia="Times New Roman" w:hAnsi="Verdana" w:cs="Calibri"/>
                <w:b/>
                <w:bCs/>
                <w:color w:val="365F91"/>
                <w:sz w:val="18"/>
                <w:szCs w:val="18"/>
                <w:lang w:val="en-CY" w:eastAsia="en-CY" w:bidi="he-IL"/>
              </w:rPr>
              <w:t xml:space="preserve"> και </w:t>
            </w:r>
            <w:proofErr w:type="spellStart"/>
            <w:r w:rsidRPr="005908DA">
              <w:rPr>
                <w:rFonts w:ascii="Verdana" w:eastAsia="Times New Roman" w:hAnsi="Verdana" w:cs="Calibri"/>
                <w:b/>
                <w:bCs/>
                <w:color w:val="365F91"/>
                <w:sz w:val="18"/>
                <w:szCs w:val="18"/>
                <w:lang w:val="en-CY" w:eastAsia="en-CY" w:bidi="he-IL"/>
              </w:rPr>
              <w:t>χρημ</w:t>
            </w:r>
            <w:proofErr w:type="spellEnd"/>
            <w:r w:rsidRPr="005908DA">
              <w:rPr>
                <w:rFonts w:ascii="Verdana" w:eastAsia="Times New Roman" w:hAnsi="Verdana" w:cs="Calibri"/>
                <w:b/>
                <w:bCs/>
                <w:color w:val="365F91"/>
                <w:sz w:val="18"/>
                <w:szCs w:val="18"/>
                <w:lang w:val="en-CY" w:eastAsia="en-CY" w:bidi="he-IL"/>
              </w:rPr>
              <w:t>ατοπιστωτικές υπ</w:t>
            </w:r>
            <w:proofErr w:type="spellStart"/>
            <w:r w:rsidRPr="005908DA">
              <w:rPr>
                <w:rFonts w:ascii="Verdana" w:eastAsia="Times New Roman" w:hAnsi="Verdana" w:cs="Calibri"/>
                <w:b/>
                <w:bCs/>
                <w:color w:val="365F91"/>
                <w:sz w:val="18"/>
                <w:szCs w:val="18"/>
                <w:lang w:val="en-CY" w:eastAsia="en-CY" w:bidi="he-IL"/>
              </w:rPr>
              <w:t>ηρεσίες</w:t>
            </w:r>
            <w:proofErr w:type="spellEnd"/>
          </w:p>
        </w:tc>
        <w:tc>
          <w:tcPr>
            <w:tcW w:w="1107" w:type="dxa"/>
            <w:tcBorders>
              <w:top w:val="nil"/>
              <w:left w:val="double" w:sz="4" w:space="0" w:color="2F5496"/>
              <w:bottom w:val="nil"/>
              <w:right w:val="nil"/>
            </w:tcBorders>
            <w:shd w:val="clear" w:color="000000" w:fill="FFFFFF"/>
            <w:vAlign w:val="center"/>
            <w:hideMark/>
          </w:tcPr>
          <w:p w14:paraId="47D9ED23"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721</w:t>
            </w:r>
          </w:p>
        </w:tc>
        <w:tc>
          <w:tcPr>
            <w:tcW w:w="1106" w:type="dxa"/>
            <w:tcBorders>
              <w:top w:val="nil"/>
              <w:left w:val="nil"/>
              <w:bottom w:val="nil"/>
              <w:right w:val="nil"/>
            </w:tcBorders>
            <w:shd w:val="clear" w:color="000000" w:fill="FFFFFF"/>
            <w:vAlign w:val="center"/>
            <w:hideMark/>
          </w:tcPr>
          <w:p w14:paraId="0E6B341B"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921</w:t>
            </w:r>
          </w:p>
        </w:tc>
        <w:tc>
          <w:tcPr>
            <w:tcW w:w="1106" w:type="dxa"/>
            <w:tcBorders>
              <w:top w:val="nil"/>
              <w:left w:val="nil"/>
              <w:bottom w:val="nil"/>
              <w:right w:val="double" w:sz="4" w:space="0" w:color="2F5496"/>
            </w:tcBorders>
            <w:shd w:val="clear" w:color="000000" w:fill="FFFFFF"/>
            <w:vAlign w:val="center"/>
            <w:hideMark/>
          </w:tcPr>
          <w:p w14:paraId="41BAA1DC"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2.086</w:t>
            </w:r>
          </w:p>
        </w:tc>
        <w:tc>
          <w:tcPr>
            <w:tcW w:w="1418" w:type="dxa"/>
            <w:tcBorders>
              <w:top w:val="nil"/>
              <w:left w:val="double" w:sz="4" w:space="0" w:color="2F5496"/>
              <w:bottom w:val="nil"/>
              <w:right w:val="nil"/>
            </w:tcBorders>
            <w:shd w:val="clear" w:color="000000" w:fill="FFFFFF"/>
            <w:noWrap/>
            <w:vAlign w:val="center"/>
            <w:hideMark/>
          </w:tcPr>
          <w:p w14:paraId="2FE05BA6"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126,5</w:t>
            </w:r>
          </w:p>
        </w:tc>
      </w:tr>
      <w:tr w:rsidR="00FF7292" w:rsidRPr="005908DA" w14:paraId="0AB2BEEC" w14:textId="77777777" w:rsidTr="00D02CA1">
        <w:trPr>
          <w:trHeight w:val="799"/>
          <w:jc w:val="center"/>
        </w:trPr>
        <w:tc>
          <w:tcPr>
            <w:tcW w:w="4965" w:type="dxa"/>
            <w:tcBorders>
              <w:top w:val="nil"/>
              <w:left w:val="nil"/>
              <w:bottom w:val="single" w:sz="4" w:space="0" w:color="2F5496"/>
              <w:right w:val="double" w:sz="4" w:space="0" w:color="2F5496"/>
            </w:tcBorders>
            <w:shd w:val="clear" w:color="000000" w:fill="FFFFFF"/>
            <w:vAlign w:val="center"/>
            <w:hideMark/>
          </w:tcPr>
          <w:p w14:paraId="30E4802D" w14:textId="77777777" w:rsidR="00FF7292" w:rsidRPr="005908DA" w:rsidRDefault="00FF7292" w:rsidP="00D02CA1">
            <w:pP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Προσωπική φροντίδα, κοινωνική προστασία και διάφορα αγαθά και υπηρεσίες</w:t>
            </w:r>
          </w:p>
        </w:tc>
        <w:tc>
          <w:tcPr>
            <w:tcW w:w="1107" w:type="dxa"/>
            <w:tcBorders>
              <w:top w:val="nil"/>
              <w:left w:val="double" w:sz="4" w:space="0" w:color="2F5496"/>
              <w:bottom w:val="single" w:sz="4" w:space="0" w:color="2F5496"/>
              <w:right w:val="nil"/>
            </w:tcBorders>
            <w:shd w:val="clear" w:color="000000" w:fill="FFFFFF"/>
            <w:vAlign w:val="center"/>
            <w:hideMark/>
          </w:tcPr>
          <w:p w14:paraId="49160049"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2.041</w:t>
            </w:r>
          </w:p>
        </w:tc>
        <w:tc>
          <w:tcPr>
            <w:tcW w:w="1106" w:type="dxa"/>
            <w:tcBorders>
              <w:top w:val="nil"/>
              <w:left w:val="nil"/>
              <w:bottom w:val="single" w:sz="4" w:space="0" w:color="2F5496"/>
              <w:right w:val="nil"/>
            </w:tcBorders>
            <w:shd w:val="clear" w:color="000000" w:fill="FFFFFF"/>
            <w:vAlign w:val="center"/>
            <w:hideMark/>
          </w:tcPr>
          <w:p w14:paraId="6C15C45D"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1.420</w:t>
            </w:r>
          </w:p>
        </w:tc>
        <w:tc>
          <w:tcPr>
            <w:tcW w:w="1106" w:type="dxa"/>
            <w:tcBorders>
              <w:top w:val="nil"/>
              <w:left w:val="nil"/>
              <w:bottom w:val="single" w:sz="4" w:space="0" w:color="2F5496"/>
              <w:right w:val="double" w:sz="4" w:space="0" w:color="2F5496"/>
            </w:tcBorders>
            <w:shd w:val="clear" w:color="000000" w:fill="FFFFFF"/>
            <w:vAlign w:val="center"/>
            <w:hideMark/>
          </w:tcPr>
          <w:p w14:paraId="1A1B0771" w14:textId="77777777" w:rsidR="00FF7292" w:rsidRPr="005908DA" w:rsidRDefault="00FF7292" w:rsidP="00D02CA1">
            <w:pPr>
              <w:ind w:right="170"/>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2.075</w:t>
            </w:r>
          </w:p>
        </w:tc>
        <w:tc>
          <w:tcPr>
            <w:tcW w:w="1418" w:type="dxa"/>
            <w:tcBorders>
              <w:top w:val="nil"/>
              <w:left w:val="double" w:sz="4" w:space="0" w:color="2F5496"/>
              <w:bottom w:val="single" w:sz="4" w:space="0" w:color="2F5496"/>
              <w:right w:val="nil"/>
            </w:tcBorders>
            <w:shd w:val="clear" w:color="000000" w:fill="FFFFFF"/>
            <w:noWrap/>
            <w:vAlign w:val="center"/>
            <w:hideMark/>
          </w:tcPr>
          <w:p w14:paraId="19F94402" w14:textId="77777777" w:rsidR="00FF7292" w:rsidRPr="005908DA" w:rsidRDefault="00FF7292" w:rsidP="00D02CA1">
            <w:pPr>
              <w:ind w:right="227"/>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46,1</w:t>
            </w:r>
          </w:p>
        </w:tc>
      </w:tr>
    </w:tbl>
    <w:p w14:paraId="06530E13" w14:textId="77777777" w:rsidR="00FF7292" w:rsidRDefault="00FF7292" w:rsidP="00FF7292">
      <w:pPr>
        <w:jc w:val="both"/>
        <w:rPr>
          <w:rFonts w:ascii="Verdana" w:eastAsia="Malgun Gothic" w:hAnsi="Verdana" w:cs="Arial"/>
          <w:sz w:val="16"/>
          <w:szCs w:val="16"/>
          <w:lang w:val="el-GR"/>
        </w:rPr>
      </w:pPr>
      <w:r w:rsidRPr="005908DA">
        <w:rPr>
          <w:rFonts w:ascii="Verdana" w:eastAsia="Malgun Gothic" w:hAnsi="Verdana" w:cs="Arial"/>
          <w:sz w:val="16"/>
          <w:szCs w:val="16"/>
          <w:lang w:val="el-GR"/>
        </w:rPr>
        <w:t>Σημείωση</w:t>
      </w:r>
      <w:r>
        <w:rPr>
          <w:rFonts w:ascii="Verdana" w:eastAsia="Malgun Gothic" w:hAnsi="Verdana" w:cs="Arial"/>
          <w:sz w:val="16"/>
          <w:szCs w:val="16"/>
          <w:lang w:val="el-GR"/>
        </w:rPr>
        <w:t xml:space="preserve"> </w:t>
      </w:r>
      <w:r w:rsidRPr="005908DA">
        <w:rPr>
          <w:rFonts w:ascii="Verdana" w:eastAsia="Malgun Gothic" w:hAnsi="Verdana" w:cs="Arial"/>
          <w:sz w:val="16"/>
          <w:szCs w:val="16"/>
          <w:lang w:val="el-GR"/>
        </w:rPr>
        <w:t>(1):</w:t>
      </w:r>
      <w:r>
        <w:rPr>
          <w:rFonts w:ascii="Verdana" w:eastAsia="Malgun Gothic" w:hAnsi="Verdana" w:cs="Arial"/>
          <w:sz w:val="16"/>
          <w:szCs w:val="16"/>
          <w:lang w:val="el-GR"/>
        </w:rPr>
        <w:t xml:space="preserve"> </w:t>
      </w:r>
      <w:r w:rsidRPr="005908DA">
        <w:rPr>
          <w:rFonts w:ascii="Verdana" w:eastAsia="Malgun Gothic" w:hAnsi="Verdana" w:cs="Arial"/>
          <w:sz w:val="16"/>
          <w:szCs w:val="16"/>
          <w:lang w:val="el-GR"/>
        </w:rPr>
        <w:t xml:space="preserve">Οι κατηγορίες «Πληροφορία και επικοινωνίες» και «Αναψυχή, αθλητισμός και πολιτισμός» παρουσιάζονται ως δύο ξεχωριστές κατηγορίες για πρώτη φορά το 2023. Για τη διασφάλιση της συγκρισιμότητας των δεδομένων μεταξύ διαφορετικών ετών διεξαγωγής της Έρευνας Οικογενειακών Προϋπολογισμών, στους Πίνακες 1 και 2, οι δύο αυτές κατηγορίες έχουν συγχωνευθεί σε μία </w:t>
      </w:r>
      <w:r w:rsidRPr="001502BA">
        <w:rPr>
          <w:rFonts w:ascii="Verdana" w:eastAsia="Malgun Gothic" w:hAnsi="Verdana" w:cs="Arial"/>
          <w:sz w:val="16"/>
          <w:szCs w:val="16"/>
          <w:lang w:val="el-GR"/>
        </w:rPr>
        <w:t>ενιαία κατηγορία για τα έτη 2009 και</w:t>
      </w:r>
      <w:r w:rsidRPr="005908DA">
        <w:rPr>
          <w:rFonts w:ascii="Verdana" w:eastAsia="Malgun Gothic" w:hAnsi="Verdana" w:cs="Arial"/>
          <w:sz w:val="16"/>
          <w:szCs w:val="16"/>
          <w:lang w:val="el-GR"/>
        </w:rPr>
        <w:t xml:space="preserve"> 2015/2016.</w:t>
      </w:r>
    </w:p>
    <w:p w14:paraId="3B4F9411" w14:textId="77777777" w:rsidR="00FF7292" w:rsidRDefault="00FF7292" w:rsidP="00FF7292">
      <w:pPr>
        <w:jc w:val="both"/>
        <w:rPr>
          <w:rFonts w:ascii="Verdana" w:eastAsia="Malgun Gothic" w:hAnsi="Verdana" w:cs="Arial"/>
          <w:sz w:val="18"/>
          <w:szCs w:val="18"/>
          <w:lang w:val="el-GR"/>
        </w:rPr>
      </w:pPr>
    </w:p>
    <w:p w14:paraId="76F02D9C" w14:textId="77777777" w:rsidR="00FF7292" w:rsidRDefault="00FF7292" w:rsidP="00FF7292">
      <w:pPr>
        <w:jc w:val="both"/>
        <w:rPr>
          <w:rFonts w:ascii="Verdana" w:eastAsia="Malgun Gothic" w:hAnsi="Verdana" w:cs="Arial"/>
          <w:sz w:val="18"/>
          <w:szCs w:val="18"/>
          <w:lang w:val="el-GR"/>
        </w:rPr>
      </w:pPr>
    </w:p>
    <w:p w14:paraId="7712A6EA" w14:textId="77777777" w:rsidR="00FF7292" w:rsidRPr="00D9399C" w:rsidRDefault="00FF7292" w:rsidP="00FF7292">
      <w:pPr>
        <w:jc w:val="both"/>
        <w:rPr>
          <w:rFonts w:ascii="Verdana" w:eastAsia="Malgun Gothic" w:hAnsi="Verdana" w:cs="Arial"/>
          <w:sz w:val="18"/>
          <w:szCs w:val="18"/>
          <w:lang w:val="el-GR"/>
        </w:rPr>
      </w:pPr>
    </w:p>
    <w:p w14:paraId="219A58EB" w14:textId="77777777" w:rsidR="00FF7292" w:rsidRPr="005908DA" w:rsidRDefault="00FF7292" w:rsidP="00FF7292">
      <w:pPr>
        <w:jc w:val="both"/>
        <w:rPr>
          <w:rFonts w:ascii="Verdana" w:eastAsia="Malgun Gothic" w:hAnsi="Verdana" w:cs="Arial"/>
          <w:sz w:val="18"/>
          <w:szCs w:val="18"/>
          <w:lang w:val="el-GR"/>
        </w:rPr>
      </w:pPr>
    </w:p>
    <w:p w14:paraId="3951F73A" w14:textId="77777777" w:rsidR="00FF7292" w:rsidRPr="005908DA" w:rsidRDefault="00FF7292" w:rsidP="00FF7292">
      <w:pPr>
        <w:jc w:val="both"/>
        <w:rPr>
          <w:rFonts w:ascii="Verdana" w:eastAsia="Malgun Gothic" w:hAnsi="Verdana" w:cs="Arial"/>
          <w:sz w:val="18"/>
          <w:szCs w:val="18"/>
          <w:lang w:val="el-GR"/>
        </w:rPr>
      </w:pPr>
    </w:p>
    <w:p w14:paraId="18864D54" w14:textId="77777777" w:rsidR="00FF7292" w:rsidRDefault="00FF7292" w:rsidP="00FF7292">
      <w:pPr>
        <w:jc w:val="both"/>
        <w:rPr>
          <w:rFonts w:ascii="Verdana" w:eastAsia="Malgun Gothic" w:hAnsi="Verdana" w:cs="Arial"/>
          <w:sz w:val="18"/>
          <w:szCs w:val="18"/>
          <w:lang w:val="el-GR"/>
        </w:rPr>
      </w:pPr>
    </w:p>
    <w:p w14:paraId="73516083" w14:textId="77777777" w:rsidR="00FF7292" w:rsidRDefault="00FF7292" w:rsidP="00FF7292">
      <w:pPr>
        <w:jc w:val="both"/>
        <w:rPr>
          <w:rFonts w:ascii="Verdana" w:eastAsia="Malgun Gothic" w:hAnsi="Verdana" w:cs="Arial"/>
          <w:sz w:val="18"/>
          <w:szCs w:val="18"/>
          <w:lang w:val="el-GR"/>
        </w:rPr>
      </w:pPr>
    </w:p>
    <w:p w14:paraId="13F068FE" w14:textId="77777777" w:rsidR="00FF7292" w:rsidRDefault="00FF7292" w:rsidP="00FF7292">
      <w:pPr>
        <w:jc w:val="both"/>
        <w:rPr>
          <w:rFonts w:ascii="Verdana" w:eastAsia="Malgun Gothic" w:hAnsi="Verdana" w:cs="Arial"/>
          <w:sz w:val="18"/>
          <w:szCs w:val="18"/>
          <w:lang w:val="el-GR"/>
        </w:rPr>
      </w:pPr>
    </w:p>
    <w:p w14:paraId="5DFFE889" w14:textId="77777777" w:rsidR="00703204" w:rsidRDefault="00703204" w:rsidP="00FF7292">
      <w:pPr>
        <w:jc w:val="both"/>
        <w:rPr>
          <w:rFonts w:ascii="Verdana" w:eastAsia="Malgun Gothic" w:hAnsi="Verdana" w:cs="Arial"/>
          <w:sz w:val="18"/>
          <w:szCs w:val="18"/>
          <w:lang w:val="el-GR"/>
        </w:rPr>
      </w:pPr>
    </w:p>
    <w:p w14:paraId="24738F31" w14:textId="77777777" w:rsidR="00703204" w:rsidRPr="005908DA" w:rsidRDefault="00703204" w:rsidP="00FF7292">
      <w:pPr>
        <w:jc w:val="both"/>
        <w:rPr>
          <w:rFonts w:ascii="Verdana" w:eastAsia="Malgun Gothic" w:hAnsi="Verdana" w:cs="Arial"/>
          <w:sz w:val="18"/>
          <w:szCs w:val="18"/>
          <w:lang w:val="el-GR"/>
        </w:rPr>
      </w:pPr>
    </w:p>
    <w:tbl>
      <w:tblPr>
        <w:tblW w:w="11303" w:type="dxa"/>
        <w:jc w:val="center"/>
        <w:tblLook w:val="04A0" w:firstRow="1" w:lastRow="0" w:firstColumn="1" w:lastColumn="0" w:noHBand="0" w:noVBand="1"/>
      </w:tblPr>
      <w:tblGrid>
        <w:gridCol w:w="2125"/>
        <w:gridCol w:w="948"/>
        <w:gridCol w:w="921"/>
        <w:gridCol w:w="1130"/>
        <w:gridCol w:w="948"/>
        <w:gridCol w:w="921"/>
        <w:gridCol w:w="1130"/>
        <w:gridCol w:w="1097"/>
        <w:gridCol w:w="953"/>
        <w:gridCol w:w="1130"/>
      </w:tblGrid>
      <w:tr w:rsidR="00FF7292" w:rsidRPr="005908DA" w14:paraId="1916AFE9" w14:textId="77777777" w:rsidTr="00D02CA1">
        <w:trPr>
          <w:trHeight w:val="284"/>
          <w:jc w:val="center"/>
        </w:trPr>
        <w:tc>
          <w:tcPr>
            <w:tcW w:w="2125" w:type="dxa"/>
            <w:tcBorders>
              <w:bottom w:val="single" w:sz="4" w:space="0" w:color="2F5496"/>
            </w:tcBorders>
            <w:shd w:val="clear" w:color="000000" w:fill="FFFFFF"/>
            <w:vAlign w:val="center"/>
          </w:tcPr>
          <w:p w14:paraId="08F8A53A" w14:textId="77777777" w:rsidR="00FF7292" w:rsidRPr="005908DA" w:rsidRDefault="00FF7292" w:rsidP="00D02CA1">
            <w:pP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lastRenderedPageBreak/>
              <w:t>Πίνακας 2</w:t>
            </w:r>
          </w:p>
        </w:tc>
        <w:tc>
          <w:tcPr>
            <w:tcW w:w="2999" w:type="dxa"/>
            <w:gridSpan w:val="3"/>
            <w:tcBorders>
              <w:bottom w:val="single" w:sz="4" w:space="0" w:color="2F5496"/>
            </w:tcBorders>
            <w:shd w:val="clear" w:color="000000" w:fill="FFFFFF"/>
            <w:vAlign w:val="center"/>
          </w:tcPr>
          <w:p w14:paraId="45E76A73"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p>
        </w:tc>
        <w:tc>
          <w:tcPr>
            <w:tcW w:w="2999" w:type="dxa"/>
            <w:gridSpan w:val="3"/>
            <w:tcBorders>
              <w:bottom w:val="single" w:sz="4" w:space="0" w:color="2F5496"/>
            </w:tcBorders>
            <w:shd w:val="clear" w:color="000000" w:fill="FFFFFF"/>
            <w:vAlign w:val="center"/>
          </w:tcPr>
          <w:p w14:paraId="59EBA973"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p>
        </w:tc>
        <w:tc>
          <w:tcPr>
            <w:tcW w:w="3180" w:type="dxa"/>
            <w:gridSpan w:val="3"/>
            <w:tcBorders>
              <w:bottom w:val="single" w:sz="4" w:space="0" w:color="2F5496"/>
            </w:tcBorders>
            <w:shd w:val="clear" w:color="000000" w:fill="FFFFFF"/>
            <w:noWrap/>
            <w:vAlign w:val="center"/>
          </w:tcPr>
          <w:p w14:paraId="40D07B4A"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p>
        </w:tc>
      </w:tr>
      <w:tr w:rsidR="00FF7292" w:rsidRPr="005908DA" w14:paraId="55F430C7" w14:textId="77777777" w:rsidTr="00D02CA1">
        <w:trPr>
          <w:trHeight w:val="720"/>
          <w:jc w:val="center"/>
        </w:trPr>
        <w:tc>
          <w:tcPr>
            <w:tcW w:w="2125" w:type="dxa"/>
            <w:vMerge w:val="restart"/>
            <w:tcBorders>
              <w:top w:val="single" w:sz="4" w:space="0" w:color="2F5496"/>
              <w:right w:val="double" w:sz="4" w:space="0" w:color="2F5496"/>
            </w:tcBorders>
            <w:shd w:val="clear" w:color="000000" w:fill="FFFFFF"/>
            <w:vAlign w:val="center"/>
            <w:hideMark/>
          </w:tcPr>
          <w:p w14:paraId="166731F3" w14:textId="77777777" w:rsidR="00FF7292" w:rsidRPr="005908DA" w:rsidRDefault="00FF7292" w:rsidP="00D02CA1">
            <w:pPr>
              <w:jc w:val="cente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Κύριες Κατηγορίες Αγαθών και Υπηρεσιών</w:t>
            </w:r>
          </w:p>
          <w:p w14:paraId="0FF3E284" w14:textId="77777777" w:rsidR="00FF7292" w:rsidRPr="005908DA" w:rsidRDefault="00FF7292" w:rsidP="00D02CA1">
            <w:pPr>
              <w:jc w:val="center"/>
              <w:rPr>
                <w:rFonts w:ascii="Verdana" w:eastAsia="Times New Roman" w:hAnsi="Verdana" w:cs="Calibri"/>
                <w:b/>
                <w:bCs/>
                <w:color w:val="365F91"/>
                <w:sz w:val="18"/>
                <w:szCs w:val="18"/>
                <w:lang w:val="el-GR" w:eastAsia="en-CY" w:bidi="he-IL"/>
              </w:rPr>
            </w:pPr>
          </w:p>
        </w:tc>
        <w:tc>
          <w:tcPr>
            <w:tcW w:w="2999" w:type="dxa"/>
            <w:gridSpan w:val="3"/>
            <w:tcBorders>
              <w:top w:val="single" w:sz="4" w:space="0" w:color="2F5496"/>
              <w:left w:val="double" w:sz="4" w:space="0" w:color="2F5496"/>
              <w:bottom w:val="single" w:sz="4" w:space="0" w:color="2F5496"/>
              <w:right w:val="double" w:sz="4" w:space="0" w:color="2F5496"/>
            </w:tcBorders>
            <w:shd w:val="clear" w:color="000000" w:fill="FFFFFF"/>
            <w:vAlign w:val="center"/>
            <w:hideMark/>
          </w:tcPr>
          <w:p w14:paraId="1A458E03"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 xml:space="preserve">2015-2016                                                      </w:t>
            </w:r>
            <w:proofErr w:type="gramStart"/>
            <w:r w:rsidRPr="005908DA">
              <w:rPr>
                <w:rFonts w:ascii="Verdana" w:eastAsia="Times New Roman" w:hAnsi="Verdana" w:cs="Calibri"/>
                <w:b/>
                <w:bCs/>
                <w:color w:val="365F91"/>
                <w:sz w:val="18"/>
                <w:szCs w:val="18"/>
                <w:lang w:val="en-CY" w:eastAsia="en-CY" w:bidi="he-IL"/>
              </w:rPr>
              <w:t xml:space="preserve">   (</w:t>
            </w:r>
            <w:proofErr w:type="gramEnd"/>
            <w:r w:rsidRPr="005908DA">
              <w:rPr>
                <w:rFonts w:ascii="Verdana" w:eastAsia="Times New Roman" w:hAnsi="Verdana" w:cs="Calibri"/>
                <w:b/>
                <w:bCs/>
                <w:color w:val="365F91"/>
                <w:sz w:val="18"/>
                <w:szCs w:val="18"/>
                <w:lang w:val="en-CY" w:eastAsia="en-CY" w:bidi="he-IL"/>
              </w:rPr>
              <w:t>€)</w:t>
            </w:r>
          </w:p>
          <w:p w14:paraId="7965DB6F"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p>
        </w:tc>
        <w:tc>
          <w:tcPr>
            <w:tcW w:w="2999" w:type="dxa"/>
            <w:gridSpan w:val="3"/>
            <w:tcBorders>
              <w:top w:val="single" w:sz="4" w:space="0" w:color="2F5496"/>
              <w:left w:val="double" w:sz="4" w:space="0" w:color="2F5496"/>
              <w:bottom w:val="single" w:sz="4" w:space="0" w:color="2F5496"/>
              <w:right w:val="double" w:sz="4" w:space="0" w:color="2F5496"/>
            </w:tcBorders>
            <w:shd w:val="clear" w:color="000000" w:fill="FFFFFF"/>
            <w:vAlign w:val="center"/>
            <w:hideMark/>
          </w:tcPr>
          <w:p w14:paraId="53A02311"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 xml:space="preserve">2023                                                      </w:t>
            </w:r>
            <w:proofErr w:type="gramStart"/>
            <w:r w:rsidRPr="005908DA">
              <w:rPr>
                <w:rFonts w:ascii="Verdana" w:eastAsia="Times New Roman" w:hAnsi="Verdana" w:cs="Calibri"/>
                <w:b/>
                <w:bCs/>
                <w:color w:val="365F91"/>
                <w:sz w:val="18"/>
                <w:szCs w:val="18"/>
                <w:lang w:val="en-CY" w:eastAsia="en-CY" w:bidi="he-IL"/>
              </w:rPr>
              <w:t xml:space="preserve">   (</w:t>
            </w:r>
            <w:proofErr w:type="gramEnd"/>
            <w:r w:rsidRPr="005908DA">
              <w:rPr>
                <w:rFonts w:ascii="Verdana" w:eastAsia="Times New Roman" w:hAnsi="Verdana" w:cs="Calibri"/>
                <w:b/>
                <w:bCs/>
                <w:color w:val="365F91"/>
                <w:sz w:val="18"/>
                <w:szCs w:val="18"/>
                <w:lang w:val="en-CY" w:eastAsia="en-CY" w:bidi="he-IL"/>
              </w:rPr>
              <w:t>€)</w:t>
            </w:r>
          </w:p>
          <w:p w14:paraId="416E12D3"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p>
        </w:tc>
        <w:tc>
          <w:tcPr>
            <w:tcW w:w="3180" w:type="dxa"/>
            <w:gridSpan w:val="3"/>
            <w:tcBorders>
              <w:top w:val="single" w:sz="4" w:space="0" w:color="2F5496"/>
              <w:left w:val="double" w:sz="4" w:space="0" w:color="2F5496"/>
              <w:bottom w:val="single" w:sz="4" w:space="0" w:color="2F5496"/>
            </w:tcBorders>
            <w:shd w:val="clear" w:color="000000" w:fill="FFFFFF"/>
            <w:noWrap/>
            <w:vAlign w:val="center"/>
            <w:hideMark/>
          </w:tcPr>
          <w:p w14:paraId="36D505B7" w14:textId="77777777" w:rsidR="00FF7292" w:rsidRDefault="00FF7292" w:rsidP="00D02CA1">
            <w:pPr>
              <w:jc w:val="center"/>
              <w:rPr>
                <w:rFonts w:ascii="Verdana" w:eastAsia="Times New Roman" w:hAnsi="Verdana" w:cs="Calibri"/>
                <w:b/>
                <w:bCs/>
                <w:color w:val="365F91"/>
                <w:sz w:val="18"/>
                <w:szCs w:val="18"/>
                <w:lang w:val="el-GR" w:eastAsia="en-CY" w:bidi="he-IL"/>
              </w:rPr>
            </w:pPr>
            <w:proofErr w:type="spellStart"/>
            <w:r w:rsidRPr="005908DA">
              <w:rPr>
                <w:rFonts w:ascii="Verdana" w:eastAsia="Times New Roman" w:hAnsi="Verdana" w:cs="Calibri"/>
                <w:b/>
                <w:bCs/>
                <w:color w:val="365F91"/>
                <w:sz w:val="18"/>
                <w:szCs w:val="18"/>
                <w:lang w:val="en-CY" w:eastAsia="en-CY" w:bidi="he-IL"/>
              </w:rPr>
              <w:t>Μετ</w:t>
            </w:r>
            <w:proofErr w:type="spellEnd"/>
            <w:r w:rsidRPr="005908DA">
              <w:rPr>
                <w:rFonts w:ascii="Verdana" w:eastAsia="Times New Roman" w:hAnsi="Verdana" w:cs="Calibri"/>
                <w:b/>
                <w:bCs/>
                <w:color w:val="365F91"/>
                <w:sz w:val="18"/>
                <w:szCs w:val="18"/>
                <w:lang w:val="en-CY" w:eastAsia="en-CY" w:bidi="he-IL"/>
              </w:rPr>
              <w:t>αβολή</w:t>
            </w:r>
            <w:r w:rsidRPr="005908DA">
              <w:rPr>
                <w:rFonts w:ascii="Verdana" w:eastAsia="Times New Roman" w:hAnsi="Verdana" w:cs="Calibri"/>
                <w:b/>
                <w:bCs/>
                <w:color w:val="365F91"/>
                <w:sz w:val="18"/>
                <w:szCs w:val="18"/>
                <w:lang w:val="el-GR" w:eastAsia="en-CY" w:bidi="he-IL"/>
              </w:rPr>
              <w:t xml:space="preserve"> </w:t>
            </w:r>
          </w:p>
          <w:p w14:paraId="254907E3" w14:textId="77777777" w:rsidR="00FF7292" w:rsidRDefault="00FF7292" w:rsidP="00D02CA1">
            <w:pPr>
              <w:jc w:val="cente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n-CY" w:eastAsia="en-CY" w:bidi="he-IL"/>
              </w:rPr>
              <w:t xml:space="preserve">2023/2015-2016 </w:t>
            </w:r>
          </w:p>
          <w:p w14:paraId="7DC05119" w14:textId="77777777" w:rsidR="00FF7292" w:rsidRPr="00C831BA" w:rsidRDefault="00FF7292" w:rsidP="00D02CA1">
            <w:pPr>
              <w:jc w:val="cente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n-CY" w:eastAsia="en-CY" w:bidi="he-IL"/>
              </w:rPr>
              <w:t>(%)</w:t>
            </w:r>
          </w:p>
        </w:tc>
      </w:tr>
      <w:tr w:rsidR="00FF7292" w:rsidRPr="005908DA" w14:paraId="142D7D19" w14:textId="77777777" w:rsidTr="00D02CA1">
        <w:trPr>
          <w:trHeight w:val="453"/>
          <w:jc w:val="center"/>
        </w:trPr>
        <w:tc>
          <w:tcPr>
            <w:tcW w:w="2125" w:type="dxa"/>
            <w:vMerge/>
            <w:tcBorders>
              <w:bottom w:val="single" w:sz="4" w:space="0" w:color="2F5496"/>
              <w:right w:val="double" w:sz="4" w:space="0" w:color="2F5496"/>
            </w:tcBorders>
            <w:shd w:val="clear" w:color="000000" w:fill="FFFFFF"/>
            <w:vAlign w:val="center"/>
            <w:hideMark/>
          </w:tcPr>
          <w:p w14:paraId="14003682"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p>
        </w:tc>
        <w:tc>
          <w:tcPr>
            <w:tcW w:w="948" w:type="dxa"/>
            <w:tcBorders>
              <w:top w:val="single" w:sz="4" w:space="0" w:color="2F5496"/>
              <w:left w:val="double" w:sz="4" w:space="0" w:color="2F5496"/>
              <w:bottom w:val="single" w:sz="4" w:space="0" w:color="2F5496"/>
            </w:tcBorders>
            <w:shd w:val="clear" w:color="000000" w:fill="FFFFFF"/>
            <w:vAlign w:val="center"/>
            <w:hideMark/>
          </w:tcPr>
          <w:p w14:paraId="6737E880"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Σύνολο</w:t>
            </w:r>
          </w:p>
        </w:tc>
        <w:tc>
          <w:tcPr>
            <w:tcW w:w="921" w:type="dxa"/>
            <w:tcBorders>
              <w:top w:val="single" w:sz="4" w:space="0" w:color="2F5496"/>
              <w:bottom w:val="single" w:sz="4" w:space="0" w:color="2F5496"/>
            </w:tcBorders>
            <w:shd w:val="clear" w:color="000000" w:fill="FFFFFF"/>
            <w:vAlign w:val="center"/>
            <w:hideMark/>
          </w:tcPr>
          <w:p w14:paraId="66DF5715"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Αστική</w:t>
            </w:r>
            <w:proofErr w:type="spellEnd"/>
          </w:p>
        </w:tc>
        <w:tc>
          <w:tcPr>
            <w:tcW w:w="1130" w:type="dxa"/>
            <w:tcBorders>
              <w:top w:val="single" w:sz="4" w:space="0" w:color="2F5496"/>
              <w:bottom w:val="single" w:sz="4" w:space="0" w:color="2F5496"/>
              <w:right w:val="double" w:sz="4" w:space="0" w:color="2F5496"/>
            </w:tcBorders>
            <w:shd w:val="clear" w:color="000000" w:fill="FFFFFF"/>
            <w:vAlign w:val="center"/>
            <w:hideMark/>
          </w:tcPr>
          <w:p w14:paraId="211C9FA4"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Αγροτική</w:t>
            </w:r>
            <w:proofErr w:type="spellEnd"/>
          </w:p>
        </w:tc>
        <w:tc>
          <w:tcPr>
            <w:tcW w:w="948" w:type="dxa"/>
            <w:tcBorders>
              <w:top w:val="single" w:sz="4" w:space="0" w:color="2F5496"/>
              <w:left w:val="double" w:sz="4" w:space="0" w:color="2F5496"/>
              <w:bottom w:val="single" w:sz="4" w:space="0" w:color="2F5496"/>
            </w:tcBorders>
            <w:shd w:val="clear" w:color="000000" w:fill="FFFFFF"/>
            <w:vAlign w:val="center"/>
            <w:hideMark/>
          </w:tcPr>
          <w:p w14:paraId="62251657"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Σύνολο</w:t>
            </w:r>
          </w:p>
        </w:tc>
        <w:tc>
          <w:tcPr>
            <w:tcW w:w="921" w:type="dxa"/>
            <w:tcBorders>
              <w:top w:val="single" w:sz="4" w:space="0" w:color="2F5496"/>
              <w:bottom w:val="single" w:sz="4" w:space="0" w:color="2F5496"/>
            </w:tcBorders>
            <w:shd w:val="clear" w:color="000000" w:fill="FFFFFF"/>
            <w:vAlign w:val="center"/>
            <w:hideMark/>
          </w:tcPr>
          <w:p w14:paraId="43D6F78C"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Αστική</w:t>
            </w:r>
            <w:proofErr w:type="spellEnd"/>
          </w:p>
        </w:tc>
        <w:tc>
          <w:tcPr>
            <w:tcW w:w="1130" w:type="dxa"/>
            <w:tcBorders>
              <w:top w:val="single" w:sz="4" w:space="0" w:color="2F5496"/>
              <w:bottom w:val="single" w:sz="4" w:space="0" w:color="2F5496"/>
              <w:right w:val="double" w:sz="4" w:space="0" w:color="2F5496"/>
            </w:tcBorders>
            <w:shd w:val="clear" w:color="000000" w:fill="FFFFFF"/>
            <w:vAlign w:val="center"/>
            <w:hideMark/>
          </w:tcPr>
          <w:p w14:paraId="28E39DF0"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Αγροτική</w:t>
            </w:r>
            <w:proofErr w:type="spellEnd"/>
          </w:p>
        </w:tc>
        <w:tc>
          <w:tcPr>
            <w:tcW w:w="1097" w:type="dxa"/>
            <w:tcBorders>
              <w:top w:val="single" w:sz="4" w:space="0" w:color="2F5496"/>
              <w:left w:val="double" w:sz="4" w:space="0" w:color="2F5496"/>
              <w:bottom w:val="single" w:sz="4" w:space="0" w:color="2F5496"/>
            </w:tcBorders>
            <w:shd w:val="clear" w:color="000000" w:fill="FFFFFF"/>
            <w:noWrap/>
            <w:vAlign w:val="center"/>
            <w:hideMark/>
          </w:tcPr>
          <w:p w14:paraId="3F2EBF21"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Σύνολο</w:t>
            </w:r>
          </w:p>
        </w:tc>
        <w:tc>
          <w:tcPr>
            <w:tcW w:w="953" w:type="dxa"/>
            <w:tcBorders>
              <w:top w:val="single" w:sz="4" w:space="0" w:color="2F5496"/>
              <w:bottom w:val="single" w:sz="4" w:space="0" w:color="2F5496"/>
            </w:tcBorders>
            <w:shd w:val="clear" w:color="000000" w:fill="FFFFFF"/>
            <w:noWrap/>
            <w:vAlign w:val="center"/>
            <w:hideMark/>
          </w:tcPr>
          <w:p w14:paraId="7F671EA4"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Αστική</w:t>
            </w:r>
            <w:proofErr w:type="spellEnd"/>
          </w:p>
        </w:tc>
        <w:tc>
          <w:tcPr>
            <w:tcW w:w="1130" w:type="dxa"/>
            <w:tcBorders>
              <w:top w:val="single" w:sz="4" w:space="0" w:color="2F5496"/>
              <w:bottom w:val="single" w:sz="4" w:space="0" w:color="2F5496"/>
            </w:tcBorders>
            <w:shd w:val="clear" w:color="000000" w:fill="FFFFFF"/>
            <w:noWrap/>
            <w:vAlign w:val="center"/>
            <w:hideMark/>
          </w:tcPr>
          <w:p w14:paraId="320F689F"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Αγροτική</w:t>
            </w:r>
            <w:proofErr w:type="spellEnd"/>
          </w:p>
        </w:tc>
      </w:tr>
      <w:tr w:rsidR="00FF7292" w:rsidRPr="005908DA" w14:paraId="71738A8D" w14:textId="77777777" w:rsidTr="00D02CA1">
        <w:trPr>
          <w:trHeight w:val="564"/>
          <w:jc w:val="center"/>
        </w:trPr>
        <w:tc>
          <w:tcPr>
            <w:tcW w:w="2125" w:type="dxa"/>
            <w:tcBorders>
              <w:top w:val="single" w:sz="4" w:space="0" w:color="2F5496"/>
              <w:bottom w:val="single" w:sz="4" w:space="0" w:color="2F5496"/>
              <w:right w:val="double" w:sz="4" w:space="0" w:color="2F5496"/>
            </w:tcBorders>
            <w:shd w:val="clear" w:color="000000" w:fill="FFFFFF"/>
            <w:vAlign w:val="center"/>
            <w:hideMark/>
          </w:tcPr>
          <w:p w14:paraId="3024D9B0" w14:textId="77777777" w:rsidR="00FF7292" w:rsidRPr="005908DA" w:rsidRDefault="00FF7292" w:rsidP="00D02CA1">
            <w:pPr>
              <w:jc w:val="center"/>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Σύνολο</w:t>
            </w:r>
          </w:p>
        </w:tc>
        <w:tc>
          <w:tcPr>
            <w:tcW w:w="948" w:type="dxa"/>
            <w:tcBorders>
              <w:top w:val="single" w:sz="4" w:space="0" w:color="2F5496"/>
              <w:left w:val="double" w:sz="4" w:space="0" w:color="2F5496"/>
              <w:bottom w:val="single" w:sz="4" w:space="0" w:color="2F5496"/>
            </w:tcBorders>
            <w:shd w:val="clear" w:color="000000" w:fill="FFFFFF"/>
            <w:vAlign w:val="center"/>
            <w:hideMark/>
          </w:tcPr>
          <w:p w14:paraId="10BFF1DB" w14:textId="77777777" w:rsidR="00FF7292" w:rsidRPr="005908DA" w:rsidRDefault="00FF7292" w:rsidP="00D02CA1">
            <w:pPr>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31.206</w:t>
            </w:r>
          </w:p>
        </w:tc>
        <w:tc>
          <w:tcPr>
            <w:tcW w:w="921" w:type="dxa"/>
            <w:tcBorders>
              <w:top w:val="single" w:sz="4" w:space="0" w:color="2F5496"/>
              <w:bottom w:val="single" w:sz="4" w:space="0" w:color="2F5496"/>
            </w:tcBorders>
            <w:shd w:val="clear" w:color="000000" w:fill="FFFFFF"/>
            <w:vAlign w:val="center"/>
            <w:hideMark/>
          </w:tcPr>
          <w:p w14:paraId="2EAE2BE3" w14:textId="77777777" w:rsidR="00FF7292" w:rsidRPr="005908DA" w:rsidRDefault="00FF7292" w:rsidP="00D02CA1">
            <w:pPr>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31.884</w:t>
            </w:r>
          </w:p>
        </w:tc>
        <w:tc>
          <w:tcPr>
            <w:tcW w:w="1130" w:type="dxa"/>
            <w:tcBorders>
              <w:top w:val="single" w:sz="4" w:space="0" w:color="2F5496"/>
              <w:bottom w:val="single" w:sz="4" w:space="0" w:color="2F5496"/>
              <w:right w:val="double" w:sz="4" w:space="0" w:color="2F5496"/>
            </w:tcBorders>
            <w:shd w:val="clear" w:color="000000" w:fill="FFFFFF"/>
            <w:vAlign w:val="center"/>
            <w:hideMark/>
          </w:tcPr>
          <w:p w14:paraId="6AD66852" w14:textId="77777777" w:rsidR="00FF7292" w:rsidRPr="005908DA" w:rsidRDefault="00FF7292" w:rsidP="00D02CA1">
            <w:pPr>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29.740</w:t>
            </w:r>
          </w:p>
        </w:tc>
        <w:tc>
          <w:tcPr>
            <w:tcW w:w="948" w:type="dxa"/>
            <w:tcBorders>
              <w:top w:val="single" w:sz="4" w:space="0" w:color="2F5496"/>
              <w:left w:val="double" w:sz="4" w:space="0" w:color="2F5496"/>
              <w:bottom w:val="single" w:sz="4" w:space="0" w:color="2F5496"/>
            </w:tcBorders>
            <w:shd w:val="clear" w:color="000000" w:fill="FFFFFF"/>
            <w:vAlign w:val="center"/>
            <w:hideMark/>
          </w:tcPr>
          <w:p w14:paraId="3E6D0F38" w14:textId="77777777" w:rsidR="00FF7292" w:rsidRPr="005908DA" w:rsidRDefault="00FF7292" w:rsidP="00D02CA1">
            <w:pPr>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43.263</w:t>
            </w:r>
          </w:p>
        </w:tc>
        <w:tc>
          <w:tcPr>
            <w:tcW w:w="921" w:type="dxa"/>
            <w:tcBorders>
              <w:top w:val="single" w:sz="4" w:space="0" w:color="2F5496"/>
              <w:bottom w:val="single" w:sz="4" w:space="0" w:color="2F5496"/>
            </w:tcBorders>
            <w:shd w:val="clear" w:color="000000" w:fill="FFFFFF"/>
            <w:vAlign w:val="center"/>
            <w:hideMark/>
          </w:tcPr>
          <w:p w14:paraId="78EDB3E1" w14:textId="77777777" w:rsidR="00FF7292" w:rsidRPr="005908DA" w:rsidRDefault="00FF7292" w:rsidP="00D02CA1">
            <w:pPr>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44.548</w:t>
            </w:r>
          </w:p>
        </w:tc>
        <w:tc>
          <w:tcPr>
            <w:tcW w:w="1130" w:type="dxa"/>
            <w:tcBorders>
              <w:top w:val="single" w:sz="4" w:space="0" w:color="2F5496"/>
              <w:bottom w:val="single" w:sz="4" w:space="0" w:color="2F5496"/>
              <w:right w:val="double" w:sz="4" w:space="0" w:color="2F5496"/>
            </w:tcBorders>
            <w:shd w:val="clear" w:color="000000" w:fill="FFFFFF"/>
            <w:vAlign w:val="center"/>
            <w:hideMark/>
          </w:tcPr>
          <w:p w14:paraId="521AA517" w14:textId="77777777" w:rsidR="00FF7292" w:rsidRPr="005908DA" w:rsidRDefault="00FF7292" w:rsidP="00D02CA1">
            <w:pPr>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40.505</w:t>
            </w:r>
          </w:p>
        </w:tc>
        <w:tc>
          <w:tcPr>
            <w:tcW w:w="1097" w:type="dxa"/>
            <w:tcBorders>
              <w:top w:val="single" w:sz="4" w:space="0" w:color="2F5496"/>
              <w:left w:val="double" w:sz="4" w:space="0" w:color="2F5496"/>
              <w:bottom w:val="single" w:sz="4" w:space="0" w:color="2F5496"/>
            </w:tcBorders>
            <w:shd w:val="clear" w:color="000000" w:fill="FFFFFF"/>
            <w:noWrap/>
            <w:vAlign w:val="center"/>
            <w:hideMark/>
          </w:tcPr>
          <w:p w14:paraId="633C41FD" w14:textId="77777777" w:rsidR="00FF7292" w:rsidRPr="005908DA" w:rsidRDefault="00FF7292" w:rsidP="00D02CA1">
            <w:pPr>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38,6</w:t>
            </w:r>
          </w:p>
        </w:tc>
        <w:tc>
          <w:tcPr>
            <w:tcW w:w="953" w:type="dxa"/>
            <w:tcBorders>
              <w:top w:val="single" w:sz="4" w:space="0" w:color="2F5496"/>
              <w:bottom w:val="single" w:sz="4" w:space="0" w:color="2F5496"/>
            </w:tcBorders>
            <w:shd w:val="clear" w:color="000000" w:fill="FFFFFF"/>
            <w:noWrap/>
            <w:vAlign w:val="center"/>
            <w:hideMark/>
          </w:tcPr>
          <w:p w14:paraId="19BC7090" w14:textId="77777777" w:rsidR="00FF7292" w:rsidRPr="005908DA" w:rsidRDefault="00FF7292" w:rsidP="00D02CA1">
            <w:pPr>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39,7</w:t>
            </w:r>
          </w:p>
        </w:tc>
        <w:tc>
          <w:tcPr>
            <w:tcW w:w="1130" w:type="dxa"/>
            <w:tcBorders>
              <w:top w:val="single" w:sz="4" w:space="0" w:color="2F5496"/>
              <w:bottom w:val="single" w:sz="4" w:space="0" w:color="2F5496"/>
            </w:tcBorders>
            <w:shd w:val="clear" w:color="000000" w:fill="FFFFFF"/>
            <w:noWrap/>
            <w:vAlign w:val="center"/>
            <w:hideMark/>
          </w:tcPr>
          <w:p w14:paraId="6D36FC22" w14:textId="77777777" w:rsidR="00FF7292" w:rsidRPr="005908DA" w:rsidRDefault="00FF7292" w:rsidP="00D02CA1">
            <w:pPr>
              <w:jc w:val="right"/>
              <w:rPr>
                <w:rFonts w:ascii="Verdana" w:eastAsia="Times New Roman" w:hAnsi="Verdana" w:cs="Calibri"/>
                <w:b/>
                <w:bCs/>
                <w:color w:val="365F91"/>
                <w:sz w:val="18"/>
                <w:szCs w:val="18"/>
                <w:lang w:val="en-CY" w:eastAsia="en-CY" w:bidi="he-IL"/>
              </w:rPr>
            </w:pPr>
            <w:r w:rsidRPr="005908DA">
              <w:rPr>
                <w:rFonts w:ascii="Verdana" w:eastAsia="Times New Roman" w:hAnsi="Verdana" w:cs="Calibri"/>
                <w:b/>
                <w:bCs/>
                <w:color w:val="365F91"/>
                <w:sz w:val="18"/>
                <w:szCs w:val="18"/>
                <w:lang w:val="en-CY" w:eastAsia="en-CY" w:bidi="he-IL"/>
              </w:rPr>
              <w:t>36,2</w:t>
            </w:r>
          </w:p>
        </w:tc>
      </w:tr>
      <w:tr w:rsidR="00FF7292" w:rsidRPr="005908DA" w14:paraId="3D5904D3" w14:textId="77777777" w:rsidTr="00D02CA1">
        <w:trPr>
          <w:trHeight w:val="564"/>
          <w:jc w:val="center"/>
        </w:trPr>
        <w:tc>
          <w:tcPr>
            <w:tcW w:w="2125" w:type="dxa"/>
            <w:tcBorders>
              <w:top w:val="single" w:sz="4" w:space="0" w:color="2F5496"/>
              <w:right w:val="double" w:sz="4" w:space="0" w:color="2F5496"/>
            </w:tcBorders>
            <w:shd w:val="clear" w:color="000000" w:fill="FFFFFF"/>
            <w:vAlign w:val="center"/>
            <w:hideMark/>
          </w:tcPr>
          <w:p w14:paraId="78973A21" w14:textId="77777777" w:rsidR="00FF7292" w:rsidRPr="00FF7292" w:rsidRDefault="00FF7292" w:rsidP="00D02CA1">
            <w:pP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 xml:space="preserve">Είδη διατροφής και μη αλκοολούχα ποτά </w:t>
            </w:r>
          </w:p>
          <w:p w14:paraId="5C9E0E61" w14:textId="77777777" w:rsidR="00FF7292" w:rsidRPr="00FF7292" w:rsidRDefault="00FF7292" w:rsidP="00D02CA1">
            <w:pPr>
              <w:rPr>
                <w:rFonts w:ascii="Verdana" w:eastAsia="Times New Roman" w:hAnsi="Verdana" w:cs="Calibri"/>
                <w:b/>
                <w:bCs/>
                <w:color w:val="365F91"/>
                <w:sz w:val="18"/>
                <w:szCs w:val="18"/>
                <w:lang w:val="el-GR" w:eastAsia="en-CY" w:bidi="he-IL"/>
              </w:rPr>
            </w:pPr>
          </w:p>
          <w:p w14:paraId="369A8BF6" w14:textId="77777777" w:rsidR="00FF7292" w:rsidRPr="00FF7292" w:rsidRDefault="00FF7292" w:rsidP="00D02CA1">
            <w:pPr>
              <w:rPr>
                <w:rFonts w:ascii="Verdana" w:eastAsia="Times New Roman" w:hAnsi="Verdana" w:cs="Calibri"/>
                <w:b/>
                <w:bCs/>
                <w:color w:val="365F91"/>
                <w:sz w:val="18"/>
                <w:szCs w:val="18"/>
                <w:lang w:val="el-GR" w:eastAsia="en-CY" w:bidi="he-IL"/>
              </w:rPr>
            </w:pPr>
          </w:p>
        </w:tc>
        <w:tc>
          <w:tcPr>
            <w:tcW w:w="948" w:type="dxa"/>
            <w:tcBorders>
              <w:top w:val="single" w:sz="4" w:space="0" w:color="2F5496"/>
              <w:left w:val="double" w:sz="4" w:space="0" w:color="2F5496"/>
            </w:tcBorders>
            <w:shd w:val="clear" w:color="000000" w:fill="FFFFFF"/>
            <w:vAlign w:val="center"/>
            <w:hideMark/>
          </w:tcPr>
          <w:p w14:paraId="61F8255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4.781</w:t>
            </w:r>
          </w:p>
        </w:tc>
        <w:tc>
          <w:tcPr>
            <w:tcW w:w="921" w:type="dxa"/>
            <w:tcBorders>
              <w:top w:val="single" w:sz="4" w:space="0" w:color="2F5496"/>
            </w:tcBorders>
            <w:shd w:val="clear" w:color="000000" w:fill="FFFFFF"/>
            <w:vAlign w:val="center"/>
            <w:hideMark/>
          </w:tcPr>
          <w:p w14:paraId="07BD9E07"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4.669</w:t>
            </w:r>
          </w:p>
        </w:tc>
        <w:tc>
          <w:tcPr>
            <w:tcW w:w="1130" w:type="dxa"/>
            <w:tcBorders>
              <w:top w:val="single" w:sz="4" w:space="0" w:color="2F5496"/>
              <w:right w:val="double" w:sz="4" w:space="0" w:color="2F5496"/>
            </w:tcBorders>
            <w:shd w:val="clear" w:color="000000" w:fill="FFFFFF"/>
            <w:vAlign w:val="center"/>
            <w:hideMark/>
          </w:tcPr>
          <w:p w14:paraId="10642C17"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5.022</w:t>
            </w:r>
          </w:p>
        </w:tc>
        <w:tc>
          <w:tcPr>
            <w:tcW w:w="948" w:type="dxa"/>
            <w:tcBorders>
              <w:top w:val="single" w:sz="4" w:space="0" w:color="2F5496"/>
              <w:left w:val="double" w:sz="4" w:space="0" w:color="2F5496"/>
            </w:tcBorders>
            <w:shd w:val="clear" w:color="000000" w:fill="FFFFFF"/>
            <w:vAlign w:val="center"/>
            <w:hideMark/>
          </w:tcPr>
          <w:p w14:paraId="6DFC3503"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6.254</w:t>
            </w:r>
          </w:p>
        </w:tc>
        <w:tc>
          <w:tcPr>
            <w:tcW w:w="921" w:type="dxa"/>
            <w:tcBorders>
              <w:top w:val="single" w:sz="4" w:space="0" w:color="2F5496"/>
            </w:tcBorders>
            <w:shd w:val="clear" w:color="000000" w:fill="FFFFFF"/>
            <w:vAlign w:val="center"/>
            <w:hideMark/>
          </w:tcPr>
          <w:p w14:paraId="7F8A98F1"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6.153</w:t>
            </w:r>
          </w:p>
        </w:tc>
        <w:tc>
          <w:tcPr>
            <w:tcW w:w="1130" w:type="dxa"/>
            <w:tcBorders>
              <w:top w:val="single" w:sz="4" w:space="0" w:color="2F5496"/>
              <w:right w:val="double" w:sz="4" w:space="0" w:color="2F5496"/>
            </w:tcBorders>
            <w:shd w:val="clear" w:color="000000" w:fill="FFFFFF"/>
            <w:vAlign w:val="center"/>
            <w:hideMark/>
          </w:tcPr>
          <w:p w14:paraId="031A4247"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6.471</w:t>
            </w:r>
          </w:p>
        </w:tc>
        <w:tc>
          <w:tcPr>
            <w:tcW w:w="1097" w:type="dxa"/>
            <w:tcBorders>
              <w:top w:val="single" w:sz="4" w:space="0" w:color="2F5496"/>
              <w:left w:val="double" w:sz="4" w:space="0" w:color="2F5496"/>
            </w:tcBorders>
            <w:shd w:val="clear" w:color="000000" w:fill="FFFFFF"/>
            <w:noWrap/>
            <w:vAlign w:val="center"/>
            <w:hideMark/>
          </w:tcPr>
          <w:p w14:paraId="216D407D"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30,8</w:t>
            </w:r>
          </w:p>
        </w:tc>
        <w:tc>
          <w:tcPr>
            <w:tcW w:w="953" w:type="dxa"/>
            <w:tcBorders>
              <w:top w:val="single" w:sz="4" w:space="0" w:color="2F5496"/>
            </w:tcBorders>
            <w:shd w:val="clear" w:color="000000" w:fill="FFFFFF"/>
            <w:noWrap/>
            <w:vAlign w:val="center"/>
            <w:hideMark/>
          </w:tcPr>
          <w:p w14:paraId="774FB2B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31,8</w:t>
            </w:r>
          </w:p>
        </w:tc>
        <w:tc>
          <w:tcPr>
            <w:tcW w:w="1130" w:type="dxa"/>
            <w:tcBorders>
              <w:top w:val="single" w:sz="4" w:space="0" w:color="2F5496"/>
            </w:tcBorders>
            <w:shd w:val="clear" w:color="000000" w:fill="FFFFFF"/>
            <w:noWrap/>
            <w:vAlign w:val="center"/>
            <w:hideMark/>
          </w:tcPr>
          <w:p w14:paraId="4787BC8B"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28,9</w:t>
            </w:r>
          </w:p>
        </w:tc>
      </w:tr>
      <w:tr w:rsidR="00FF7292" w:rsidRPr="005908DA" w14:paraId="00301F8D" w14:textId="77777777" w:rsidTr="00D02CA1">
        <w:trPr>
          <w:trHeight w:val="564"/>
          <w:jc w:val="center"/>
        </w:trPr>
        <w:tc>
          <w:tcPr>
            <w:tcW w:w="2125" w:type="dxa"/>
            <w:tcBorders>
              <w:right w:val="double" w:sz="4" w:space="0" w:color="2F5496"/>
            </w:tcBorders>
            <w:shd w:val="clear" w:color="000000" w:fill="FFFFFF"/>
            <w:vAlign w:val="center"/>
            <w:hideMark/>
          </w:tcPr>
          <w:p w14:paraId="1B1AF4D0"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Αλκοολούχ</w:t>
            </w:r>
            <w:proofErr w:type="spellEnd"/>
            <w:r w:rsidRPr="005908DA">
              <w:rPr>
                <w:rFonts w:ascii="Verdana" w:eastAsia="Times New Roman" w:hAnsi="Verdana" w:cs="Calibri"/>
                <w:b/>
                <w:bCs/>
                <w:color w:val="365F91"/>
                <w:sz w:val="18"/>
                <w:szCs w:val="18"/>
                <w:lang w:val="en-CY" w:eastAsia="en-CY" w:bidi="he-IL"/>
              </w:rPr>
              <w:t>α π</w:t>
            </w:r>
            <w:proofErr w:type="spellStart"/>
            <w:r w:rsidRPr="005908DA">
              <w:rPr>
                <w:rFonts w:ascii="Verdana" w:eastAsia="Times New Roman" w:hAnsi="Verdana" w:cs="Calibri"/>
                <w:b/>
                <w:bCs/>
                <w:color w:val="365F91"/>
                <w:sz w:val="18"/>
                <w:szCs w:val="18"/>
                <w:lang w:val="en-CY" w:eastAsia="en-CY" w:bidi="he-IL"/>
              </w:rPr>
              <w:t>οτά</w:t>
            </w:r>
            <w:proofErr w:type="spellEnd"/>
            <w:r w:rsidRPr="005908DA">
              <w:rPr>
                <w:rFonts w:ascii="Verdana" w:eastAsia="Times New Roman" w:hAnsi="Verdana" w:cs="Calibri"/>
                <w:b/>
                <w:bCs/>
                <w:color w:val="365F91"/>
                <w:sz w:val="18"/>
                <w:szCs w:val="18"/>
                <w:lang w:val="en-CY" w:eastAsia="en-CY" w:bidi="he-IL"/>
              </w:rPr>
              <w:t xml:space="preserve"> και καπ</w:t>
            </w:r>
            <w:proofErr w:type="spellStart"/>
            <w:r w:rsidRPr="005908DA">
              <w:rPr>
                <w:rFonts w:ascii="Verdana" w:eastAsia="Times New Roman" w:hAnsi="Verdana" w:cs="Calibri"/>
                <w:b/>
                <w:bCs/>
                <w:color w:val="365F91"/>
                <w:sz w:val="18"/>
                <w:szCs w:val="18"/>
                <w:lang w:val="en-CY" w:eastAsia="en-CY" w:bidi="he-IL"/>
              </w:rPr>
              <w:t>νός</w:t>
            </w:r>
            <w:proofErr w:type="spellEnd"/>
            <w:r w:rsidRPr="005908DA">
              <w:rPr>
                <w:rFonts w:ascii="Verdana" w:eastAsia="Times New Roman" w:hAnsi="Verdana" w:cs="Calibri"/>
                <w:b/>
                <w:bCs/>
                <w:color w:val="365F91"/>
                <w:sz w:val="18"/>
                <w:szCs w:val="18"/>
                <w:lang w:val="en-CY" w:eastAsia="en-CY" w:bidi="he-IL"/>
              </w:rPr>
              <w:t xml:space="preserve"> </w:t>
            </w:r>
          </w:p>
          <w:p w14:paraId="742E8116" w14:textId="77777777" w:rsidR="00FF7292" w:rsidRPr="005908DA" w:rsidRDefault="00FF7292" w:rsidP="00D02CA1">
            <w:pPr>
              <w:rPr>
                <w:rFonts w:ascii="Verdana" w:eastAsia="Times New Roman" w:hAnsi="Verdana" w:cs="Calibri"/>
                <w:b/>
                <w:bCs/>
                <w:color w:val="365F91"/>
                <w:sz w:val="18"/>
                <w:szCs w:val="18"/>
                <w:lang w:val="en-CY" w:eastAsia="en-CY" w:bidi="he-IL"/>
              </w:rPr>
            </w:pPr>
          </w:p>
          <w:p w14:paraId="371B2BAB"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948" w:type="dxa"/>
            <w:tcBorders>
              <w:left w:val="double" w:sz="4" w:space="0" w:color="2F5496"/>
            </w:tcBorders>
            <w:shd w:val="clear" w:color="000000" w:fill="FFFFFF"/>
            <w:vAlign w:val="center"/>
            <w:hideMark/>
          </w:tcPr>
          <w:p w14:paraId="28671092"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502</w:t>
            </w:r>
          </w:p>
        </w:tc>
        <w:tc>
          <w:tcPr>
            <w:tcW w:w="921" w:type="dxa"/>
            <w:shd w:val="clear" w:color="000000" w:fill="FFFFFF"/>
            <w:vAlign w:val="center"/>
            <w:hideMark/>
          </w:tcPr>
          <w:p w14:paraId="14F37587"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498</w:t>
            </w:r>
          </w:p>
        </w:tc>
        <w:tc>
          <w:tcPr>
            <w:tcW w:w="1130" w:type="dxa"/>
            <w:tcBorders>
              <w:right w:val="double" w:sz="4" w:space="0" w:color="2F5496"/>
            </w:tcBorders>
            <w:shd w:val="clear" w:color="000000" w:fill="FFFFFF"/>
            <w:vAlign w:val="center"/>
            <w:hideMark/>
          </w:tcPr>
          <w:p w14:paraId="5AF0704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511</w:t>
            </w:r>
          </w:p>
        </w:tc>
        <w:tc>
          <w:tcPr>
            <w:tcW w:w="948" w:type="dxa"/>
            <w:tcBorders>
              <w:left w:val="double" w:sz="4" w:space="0" w:color="2F5496"/>
            </w:tcBorders>
            <w:shd w:val="clear" w:color="000000" w:fill="FFFFFF"/>
            <w:vAlign w:val="center"/>
            <w:hideMark/>
          </w:tcPr>
          <w:p w14:paraId="550FD1B2"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598</w:t>
            </w:r>
          </w:p>
        </w:tc>
        <w:tc>
          <w:tcPr>
            <w:tcW w:w="921" w:type="dxa"/>
            <w:shd w:val="clear" w:color="000000" w:fill="FFFFFF"/>
            <w:vAlign w:val="center"/>
            <w:hideMark/>
          </w:tcPr>
          <w:p w14:paraId="5AEC703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574</w:t>
            </w:r>
          </w:p>
        </w:tc>
        <w:tc>
          <w:tcPr>
            <w:tcW w:w="1130" w:type="dxa"/>
            <w:tcBorders>
              <w:right w:val="double" w:sz="4" w:space="0" w:color="2F5496"/>
            </w:tcBorders>
            <w:shd w:val="clear" w:color="000000" w:fill="FFFFFF"/>
            <w:vAlign w:val="center"/>
            <w:hideMark/>
          </w:tcPr>
          <w:p w14:paraId="3B99733A"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652</w:t>
            </w:r>
          </w:p>
        </w:tc>
        <w:tc>
          <w:tcPr>
            <w:tcW w:w="1097" w:type="dxa"/>
            <w:tcBorders>
              <w:left w:val="double" w:sz="4" w:space="0" w:color="2F5496"/>
            </w:tcBorders>
            <w:shd w:val="clear" w:color="000000" w:fill="FFFFFF"/>
            <w:noWrap/>
            <w:vAlign w:val="center"/>
            <w:hideMark/>
          </w:tcPr>
          <w:p w14:paraId="08E646F9"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19,1</w:t>
            </w:r>
          </w:p>
        </w:tc>
        <w:tc>
          <w:tcPr>
            <w:tcW w:w="953" w:type="dxa"/>
            <w:shd w:val="clear" w:color="000000" w:fill="FFFFFF"/>
            <w:noWrap/>
            <w:vAlign w:val="center"/>
            <w:hideMark/>
          </w:tcPr>
          <w:p w14:paraId="053D7C3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15,3</w:t>
            </w:r>
          </w:p>
        </w:tc>
        <w:tc>
          <w:tcPr>
            <w:tcW w:w="1130" w:type="dxa"/>
            <w:shd w:val="clear" w:color="000000" w:fill="FFFFFF"/>
            <w:noWrap/>
            <w:vAlign w:val="center"/>
            <w:hideMark/>
          </w:tcPr>
          <w:p w14:paraId="22D27DC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27,6</w:t>
            </w:r>
          </w:p>
        </w:tc>
      </w:tr>
      <w:tr w:rsidR="00FF7292" w:rsidRPr="005908DA" w14:paraId="54904BA0" w14:textId="77777777" w:rsidTr="00D02CA1">
        <w:trPr>
          <w:trHeight w:val="660"/>
          <w:jc w:val="center"/>
        </w:trPr>
        <w:tc>
          <w:tcPr>
            <w:tcW w:w="2125" w:type="dxa"/>
            <w:tcBorders>
              <w:right w:val="double" w:sz="4" w:space="0" w:color="2F5496"/>
            </w:tcBorders>
            <w:shd w:val="clear" w:color="000000" w:fill="FFFFFF"/>
            <w:vAlign w:val="center"/>
            <w:hideMark/>
          </w:tcPr>
          <w:p w14:paraId="5137190C"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Είδη</w:t>
            </w:r>
            <w:proofErr w:type="spellEnd"/>
            <w:r w:rsidRPr="005908DA">
              <w:rPr>
                <w:rFonts w:ascii="Verdana" w:eastAsia="Times New Roman" w:hAnsi="Verdana" w:cs="Calibri"/>
                <w:b/>
                <w:bCs/>
                <w:color w:val="365F91"/>
                <w:sz w:val="18"/>
                <w:szCs w:val="18"/>
                <w:lang w:val="en-CY" w:eastAsia="en-CY" w:bidi="he-IL"/>
              </w:rPr>
              <w:t xml:space="preserve"> </w:t>
            </w:r>
            <w:proofErr w:type="spellStart"/>
            <w:r w:rsidRPr="005908DA">
              <w:rPr>
                <w:rFonts w:ascii="Verdana" w:eastAsia="Times New Roman" w:hAnsi="Verdana" w:cs="Calibri"/>
                <w:b/>
                <w:bCs/>
                <w:color w:val="365F91"/>
                <w:sz w:val="18"/>
                <w:szCs w:val="18"/>
                <w:lang w:val="en-CY" w:eastAsia="en-CY" w:bidi="he-IL"/>
              </w:rPr>
              <w:t>ένδυσης</w:t>
            </w:r>
            <w:proofErr w:type="spellEnd"/>
            <w:r w:rsidRPr="005908DA">
              <w:rPr>
                <w:rFonts w:ascii="Verdana" w:eastAsia="Times New Roman" w:hAnsi="Verdana" w:cs="Calibri"/>
                <w:b/>
                <w:bCs/>
                <w:color w:val="365F91"/>
                <w:sz w:val="18"/>
                <w:szCs w:val="18"/>
                <w:lang w:val="en-CY" w:eastAsia="en-CY" w:bidi="he-IL"/>
              </w:rPr>
              <w:t xml:space="preserve"> και υπ</w:t>
            </w:r>
            <w:proofErr w:type="spellStart"/>
            <w:r w:rsidRPr="005908DA">
              <w:rPr>
                <w:rFonts w:ascii="Verdana" w:eastAsia="Times New Roman" w:hAnsi="Verdana" w:cs="Calibri"/>
                <w:b/>
                <w:bCs/>
                <w:color w:val="365F91"/>
                <w:sz w:val="18"/>
                <w:szCs w:val="18"/>
                <w:lang w:val="en-CY" w:eastAsia="en-CY" w:bidi="he-IL"/>
              </w:rPr>
              <w:t>όδησης</w:t>
            </w:r>
            <w:proofErr w:type="spellEnd"/>
          </w:p>
          <w:p w14:paraId="49C8BD5F" w14:textId="77777777" w:rsidR="00FF7292" w:rsidRPr="005908DA" w:rsidRDefault="00FF7292" w:rsidP="00D02CA1">
            <w:pPr>
              <w:rPr>
                <w:rFonts w:ascii="Verdana" w:eastAsia="Times New Roman" w:hAnsi="Verdana" w:cs="Calibri"/>
                <w:b/>
                <w:bCs/>
                <w:color w:val="365F91"/>
                <w:sz w:val="18"/>
                <w:szCs w:val="18"/>
                <w:lang w:val="en-CY" w:eastAsia="en-CY" w:bidi="he-IL"/>
              </w:rPr>
            </w:pPr>
          </w:p>
          <w:p w14:paraId="3515CFD6"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948" w:type="dxa"/>
            <w:tcBorders>
              <w:left w:val="double" w:sz="4" w:space="0" w:color="2F5496"/>
            </w:tcBorders>
            <w:shd w:val="clear" w:color="000000" w:fill="FFFFFF"/>
            <w:vAlign w:val="center"/>
            <w:hideMark/>
          </w:tcPr>
          <w:p w14:paraId="20D314EB"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1.807</w:t>
            </w:r>
          </w:p>
        </w:tc>
        <w:tc>
          <w:tcPr>
            <w:tcW w:w="921" w:type="dxa"/>
            <w:shd w:val="clear" w:color="000000" w:fill="FFFFFF"/>
            <w:vAlign w:val="center"/>
            <w:hideMark/>
          </w:tcPr>
          <w:p w14:paraId="5CD63C7B"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1.875</w:t>
            </w:r>
          </w:p>
        </w:tc>
        <w:tc>
          <w:tcPr>
            <w:tcW w:w="1130" w:type="dxa"/>
            <w:tcBorders>
              <w:right w:val="double" w:sz="4" w:space="0" w:color="2F5496"/>
            </w:tcBorders>
            <w:shd w:val="clear" w:color="000000" w:fill="FFFFFF"/>
            <w:vAlign w:val="center"/>
            <w:hideMark/>
          </w:tcPr>
          <w:p w14:paraId="21DB34F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1.660</w:t>
            </w:r>
          </w:p>
        </w:tc>
        <w:tc>
          <w:tcPr>
            <w:tcW w:w="948" w:type="dxa"/>
            <w:tcBorders>
              <w:left w:val="double" w:sz="4" w:space="0" w:color="2F5496"/>
            </w:tcBorders>
            <w:shd w:val="clear" w:color="000000" w:fill="FFFFFF"/>
            <w:vAlign w:val="center"/>
            <w:hideMark/>
          </w:tcPr>
          <w:p w14:paraId="718BD25A"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2.276</w:t>
            </w:r>
          </w:p>
        </w:tc>
        <w:tc>
          <w:tcPr>
            <w:tcW w:w="921" w:type="dxa"/>
            <w:shd w:val="clear" w:color="000000" w:fill="FFFFFF"/>
            <w:vAlign w:val="center"/>
            <w:hideMark/>
          </w:tcPr>
          <w:p w14:paraId="1C11B2BF"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2.307</w:t>
            </w:r>
          </w:p>
        </w:tc>
        <w:tc>
          <w:tcPr>
            <w:tcW w:w="1130" w:type="dxa"/>
            <w:tcBorders>
              <w:right w:val="double" w:sz="4" w:space="0" w:color="2F5496"/>
            </w:tcBorders>
            <w:shd w:val="clear" w:color="000000" w:fill="FFFFFF"/>
            <w:vAlign w:val="center"/>
            <w:hideMark/>
          </w:tcPr>
          <w:p w14:paraId="6E02FA2A"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2.208</w:t>
            </w:r>
          </w:p>
        </w:tc>
        <w:tc>
          <w:tcPr>
            <w:tcW w:w="1097" w:type="dxa"/>
            <w:tcBorders>
              <w:left w:val="double" w:sz="4" w:space="0" w:color="2F5496"/>
            </w:tcBorders>
            <w:shd w:val="clear" w:color="000000" w:fill="FFFFFF"/>
            <w:noWrap/>
            <w:vAlign w:val="center"/>
            <w:hideMark/>
          </w:tcPr>
          <w:p w14:paraId="0344009E"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26,0</w:t>
            </w:r>
          </w:p>
        </w:tc>
        <w:tc>
          <w:tcPr>
            <w:tcW w:w="953" w:type="dxa"/>
            <w:shd w:val="clear" w:color="000000" w:fill="FFFFFF"/>
            <w:noWrap/>
            <w:vAlign w:val="center"/>
            <w:hideMark/>
          </w:tcPr>
          <w:p w14:paraId="62D85B7A"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23,0</w:t>
            </w:r>
          </w:p>
        </w:tc>
        <w:tc>
          <w:tcPr>
            <w:tcW w:w="1130" w:type="dxa"/>
            <w:shd w:val="clear" w:color="000000" w:fill="FFFFFF"/>
            <w:noWrap/>
            <w:vAlign w:val="center"/>
            <w:hideMark/>
          </w:tcPr>
          <w:p w14:paraId="213A4C5D"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33,0</w:t>
            </w:r>
          </w:p>
        </w:tc>
      </w:tr>
      <w:tr w:rsidR="00FF7292" w:rsidRPr="005908DA" w14:paraId="6CC6932D" w14:textId="77777777" w:rsidTr="00D02CA1">
        <w:trPr>
          <w:trHeight w:val="752"/>
          <w:jc w:val="center"/>
        </w:trPr>
        <w:tc>
          <w:tcPr>
            <w:tcW w:w="2125" w:type="dxa"/>
            <w:tcBorders>
              <w:right w:val="double" w:sz="4" w:space="0" w:color="2F5496"/>
            </w:tcBorders>
            <w:shd w:val="clear" w:color="000000" w:fill="FFFFFF"/>
            <w:vAlign w:val="center"/>
            <w:hideMark/>
          </w:tcPr>
          <w:p w14:paraId="3EB209AC" w14:textId="77777777" w:rsidR="00FF7292" w:rsidRPr="00FF7292" w:rsidRDefault="00FF7292" w:rsidP="00D02CA1">
            <w:pP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Στέγαση, ύδρευση, ηλεκτρισμός, φυσικό αέριο (γκάζι) και άλλα καύσιμα</w:t>
            </w:r>
          </w:p>
          <w:p w14:paraId="4F29EF70" w14:textId="77777777" w:rsidR="00FF7292" w:rsidRPr="00FF7292" w:rsidRDefault="00FF7292" w:rsidP="00D02CA1">
            <w:pPr>
              <w:rPr>
                <w:rFonts w:ascii="Verdana" w:eastAsia="Times New Roman" w:hAnsi="Verdana" w:cs="Calibri"/>
                <w:b/>
                <w:bCs/>
                <w:color w:val="365F91"/>
                <w:sz w:val="18"/>
                <w:szCs w:val="18"/>
                <w:lang w:val="el-GR" w:eastAsia="en-CY" w:bidi="he-IL"/>
              </w:rPr>
            </w:pPr>
          </w:p>
          <w:p w14:paraId="16D3815E" w14:textId="77777777" w:rsidR="00FF7292" w:rsidRPr="00FF7292" w:rsidRDefault="00FF7292" w:rsidP="00D02CA1">
            <w:pPr>
              <w:rPr>
                <w:rFonts w:ascii="Verdana" w:eastAsia="Times New Roman" w:hAnsi="Verdana" w:cs="Calibri"/>
                <w:b/>
                <w:bCs/>
                <w:color w:val="365F91"/>
                <w:sz w:val="18"/>
                <w:szCs w:val="18"/>
                <w:lang w:val="el-GR" w:eastAsia="en-CY" w:bidi="he-IL"/>
              </w:rPr>
            </w:pPr>
          </w:p>
        </w:tc>
        <w:tc>
          <w:tcPr>
            <w:tcW w:w="948" w:type="dxa"/>
            <w:tcBorders>
              <w:left w:val="double" w:sz="4" w:space="0" w:color="2F5496"/>
            </w:tcBorders>
            <w:shd w:val="clear" w:color="000000" w:fill="FFFFFF"/>
            <w:vAlign w:val="center"/>
            <w:hideMark/>
          </w:tcPr>
          <w:p w14:paraId="4B16B94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7.967</w:t>
            </w:r>
          </w:p>
        </w:tc>
        <w:tc>
          <w:tcPr>
            <w:tcW w:w="921" w:type="dxa"/>
            <w:shd w:val="clear" w:color="000000" w:fill="FFFFFF"/>
            <w:vAlign w:val="center"/>
            <w:hideMark/>
          </w:tcPr>
          <w:p w14:paraId="41CED99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8.169</w:t>
            </w:r>
          </w:p>
        </w:tc>
        <w:tc>
          <w:tcPr>
            <w:tcW w:w="1130" w:type="dxa"/>
            <w:tcBorders>
              <w:right w:val="double" w:sz="4" w:space="0" w:color="2F5496"/>
            </w:tcBorders>
            <w:shd w:val="clear" w:color="000000" w:fill="FFFFFF"/>
            <w:vAlign w:val="center"/>
            <w:hideMark/>
          </w:tcPr>
          <w:p w14:paraId="377E7F46"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7.530</w:t>
            </w:r>
          </w:p>
        </w:tc>
        <w:tc>
          <w:tcPr>
            <w:tcW w:w="948" w:type="dxa"/>
            <w:tcBorders>
              <w:left w:val="double" w:sz="4" w:space="0" w:color="2F5496"/>
            </w:tcBorders>
            <w:shd w:val="clear" w:color="000000" w:fill="FFFFFF"/>
            <w:vAlign w:val="center"/>
            <w:hideMark/>
          </w:tcPr>
          <w:p w14:paraId="0AE57F3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11.884</w:t>
            </w:r>
          </w:p>
        </w:tc>
        <w:tc>
          <w:tcPr>
            <w:tcW w:w="921" w:type="dxa"/>
            <w:shd w:val="clear" w:color="000000" w:fill="FFFFFF"/>
            <w:vAlign w:val="center"/>
            <w:hideMark/>
          </w:tcPr>
          <w:p w14:paraId="214E323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12.734</w:t>
            </w:r>
          </w:p>
        </w:tc>
        <w:tc>
          <w:tcPr>
            <w:tcW w:w="1130" w:type="dxa"/>
            <w:tcBorders>
              <w:right w:val="double" w:sz="4" w:space="0" w:color="2F5496"/>
            </w:tcBorders>
            <w:shd w:val="clear" w:color="000000" w:fill="FFFFFF"/>
            <w:vAlign w:val="center"/>
            <w:hideMark/>
          </w:tcPr>
          <w:p w14:paraId="4FE8CAD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10.061</w:t>
            </w:r>
          </w:p>
        </w:tc>
        <w:tc>
          <w:tcPr>
            <w:tcW w:w="1097" w:type="dxa"/>
            <w:tcBorders>
              <w:left w:val="double" w:sz="4" w:space="0" w:color="2F5496"/>
            </w:tcBorders>
            <w:shd w:val="clear" w:color="000000" w:fill="FFFFFF"/>
            <w:noWrap/>
            <w:vAlign w:val="center"/>
            <w:hideMark/>
          </w:tcPr>
          <w:p w14:paraId="30BA345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49,2</w:t>
            </w:r>
          </w:p>
        </w:tc>
        <w:tc>
          <w:tcPr>
            <w:tcW w:w="953" w:type="dxa"/>
            <w:shd w:val="clear" w:color="000000" w:fill="FFFFFF"/>
            <w:noWrap/>
            <w:vAlign w:val="center"/>
            <w:hideMark/>
          </w:tcPr>
          <w:p w14:paraId="72766A61"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55,9</w:t>
            </w:r>
          </w:p>
        </w:tc>
        <w:tc>
          <w:tcPr>
            <w:tcW w:w="1130" w:type="dxa"/>
            <w:shd w:val="clear" w:color="000000" w:fill="FFFFFF"/>
            <w:noWrap/>
            <w:vAlign w:val="center"/>
            <w:hideMark/>
          </w:tcPr>
          <w:p w14:paraId="43DC12B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33,6</w:t>
            </w:r>
          </w:p>
        </w:tc>
      </w:tr>
      <w:tr w:rsidR="00FF7292" w:rsidRPr="005908DA" w14:paraId="266826A1" w14:textId="77777777" w:rsidTr="00D02CA1">
        <w:trPr>
          <w:trHeight w:val="564"/>
          <w:jc w:val="center"/>
        </w:trPr>
        <w:tc>
          <w:tcPr>
            <w:tcW w:w="2125" w:type="dxa"/>
            <w:tcBorders>
              <w:right w:val="double" w:sz="4" w:space="0" w:color="2F5496"/>
            </w:tcBorders>
            <w:shd w:val="clear" w:color="000000" w:fill="FFFFFF"/>
            <w:vAlign w:val="center"/>
            <w:hideMark/>
          </w:tcPr>
          <w:p w14:paraId="190914FE" w14:textId="77777777" w:rsidR="00FF7292" w:rsidRPr="00FF7292" w:rsidRDefault="00FF7292" w:rsidP="00D02CA1">
            <w:pP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Επίπλωση και διακόσμηση, οικιακός εξοπλισμός και συνήθης συντήρηση κατοικιών</w:t>
            </w:r>
          </w:p>
          <w:p w14:paraId="0C7720A1" w14:textId="77777777" w:rsidR="00FF7292" w:rsidRPr="00FF7292" w:rsidRDefault="00FF7292" w:rsidP="00D02CA1">
            <w:pPr>
              <w:rPr>
                <w:rFonts w:ascii="Verdana" w:eastAsia="Times New Roman" w:hAnsi="Verdana" w:cs="Calibri"/>
                <w:b/>
                <w:bCs/>
                <w:color w:val="365F91"/>
                <w:sz w:val="18"/>
                <w:szCs w:val="18"/>
                <w:lang w:val="el-GR" w:eastAsia="en-CY" w:bidi="he-IL"/>
              </w:rPr>
            </w:pPr>
          </w:p>
        </w:tc>
        <w:tc>
          <w:tcPr>
            <w:tcW w:w="948" w:type="dxa"/>
            <w:tcBorders>
              <w:left w:val="double" w:sz="4" w:space="0" w:color="2F5496"/>
            </w:tcBorders>
            <w:shd w:val="clear" w:color="000000" w:fill="FFFFFF"/>
            <w:vAlign w:val="center"/>
            <w:hideMark/>
          </w:tcPr>
          <w:p w14:paraId="512B777C"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1.615</w:t>
            </w:r>
          </w:p>
        </w:tc>
        <w:tc>
          <w:tcPr>
            <w:tcW w:w="921" w:type="dxa"/>
            <w:shd w:val="clear" w:color="000000" w:fill="FFFFFF"/>
            <w:vAlign w:val="center"/>
            <w:hideMark/>
          </w:tcPr>
          <w:p w14:paraId="0B93B65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1.677</w:t>
            </w:r>
          </w:p>
        </w:tc>
        <w:tc>
          <w:tcPr>
            <w:tcW w:w="1130" w:type="dxa"/>
            <w:tcBorders>
              <w:right w:val="double" w:sz="4" w:space="0" w:color="2F5496"/>
            </w:tcBorders>
            <w:shd w:val="clear" w:color="000000" w:fill="FFFFFF"/>
            <w:vAlign w:val="center"/>
            <w:hideMark/>
          </w:tcPr>
          <w:p w14:paraId="3CC665AB"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1.481</w:t>
            </w:r>
          </w:p>
        </w:tc>
        <w:tc>
          <w:tcPr>
            <w:tcW w:w="948" w:type="dxa"/>
            <w:tcBorders>
              <w:left w:val="double" w:sz="4" w:space="0" w:color="2F5496"/>
            </w:tcBorders>
            <w:shd w:val="clear" w:color="000000" w:fill="FFFFFF"/>
            <w:vAlign w:val="center"/>
            <w:hideMark/>
          </w:tcPr>
          <w:p w14:paraId="223730F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2.185</w:t>
            </w:r>
          </w:p>
        </w:tc>
        <w:tc>
          <w:tcPr>
            <w:tcW w:w="921" w:type="dxa"/>
            <w:shd w:val="clear" w:color="000000" w:fill="FFFFFF"/>
            <w:vAlign w:val="center"/>
            <w:hideMark/>
          </w:tcPr>
          <w:p w14:paraId="3A5DE6B2"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2.214</w:t>
            </w:r>
          </w:p>
        </w:tc>
        <w:tc>
          <w:tcPr>
            <w:tcW w:w="1130" w:type="dxa"/>
            <w:tcBorders>
              <w:right w:val="double" w:sz="4" w:space="0" w:color="2F5496"/>
            </w:tcBorders>
            <w:shd w:val="clear" w:color="000000" w:fill="FFFFFF"/>
            <w:vAlign w:val="center"/>
            <w:hideMark/>
          </w:tcPr>
          <w:p w14:paraId="3F67FD47"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2.125</w:t>
            </w:r>
          </w:p>
        </w:tc>
        <w:tc>
          <w:tcPr>
            <w:tcW w:w="1097" w:type="dxa"/>
            <w:tcBorders>
              <w:left w:val="double" w:sz="4" w:space="0" w:color="2F5496"/>
            </w:tcBorders>
            <w:shd w:val="clear" w:color="000000" w:fill="FFFFFF"/>
            <w:noWrap/>
            <w:vAlign w:val="center"/>
            <w:hideMark/>
          </w:tcPr>
          <w:p w14:paraId="136C52A1"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35,3</w:t>
            </w:r>
          </w:p>
        </w:tc>
        <w:tc>
          <w:tcPr>
            <w:tcW w:w="953" w:type="dxa"/>
            <w:shd w:val="clear" w:color="000000" w:fill="FFFFFF"/>
            <w:noWrap/>
            <w:vAlign w:val="center"/>
            <w:hideMark/>
          </w:tcPr>
          <w:p w14:paraId="3DAAA90E"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32,0</w:t>
            </w:r>
          </w:p>
        </w:tc>
        <w:tc>
          <w:tcPr>
            <w:tcW w:w="1130" w:type="dxa"/>
            <w:shd w:val="clear" w:color="000000" w:fill="FFFFFF"/>
            <w:noWrap/>
            <w:vAlign w:val="center"/>
            <w:hideMark/>
          </w:tcPr>
          <w:p w14:paraId="57244B43"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43,5</w:t>
            </w:r>
          </w:p>
        </w:tc>
      </w:tr>
      <w:tr w:rsidR="00FF7292" w:rsidRPr="005908DA" w14:paraId="455E66F6" w14:textId="77777777" w:rsidTr="00D02CA1">
        <w:trPr>
          <w:trHeight w:val="564"/>
          <w:jc w:val="center"/>
        </w:trPr>
        <w:tc>
          <w:tcPr>
            <w:tcW w:w="2125" w:type="dxa"/>
            <w:tcBorders>
              <w:right w:val="double" w:sz="4" w:space="0" w:color="2F5496"/>
            </w:tcBorders>
            <w:shd w:val="clear" w:color="000000" w:fill="FFFFFF"/>
            <w:vAlign w:val="center"/>
            <w:hideMark/>
          </w:tcPr>
          <w:p w14:paraId="049EA770"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Υγεί</w:t>
            </w:r>
            <w:proofErr w:type="spellEnd"/>
            <w:r w:rsidRPr="005908DA">
              <w:rPr>
                <w:rFonts w:ascii="Verdana" w:eastAsia="Times New Roman" w:hAnsi="Verdana" w:cs="Calibri"/>
                <w:b/>
                <w:bCs/>
                <w:color w:val="365F91"/>
                <w:sz w:val="18"/>
                <w:szCs w:val="18"/>
                <w:lang w:val="en-CY" w:eastAsia="en-CY" w:bidi="he-IL"/>
              </w:rPr>
              <w:t>α</w:t>
            </w:r>
          </w:p>
        </w:tc>
        <w:tc>
          <w:tcPr>
            <w:tcW w:w="948" w:type="dxa"/>
            <w:tcBorders>
              <w:left w:val="double" w:sz="4" w:space="0" w:color="2F5496"/>
            </w:tcBorders>
            <w:shd w:val="clear" w:color="000000" w:fill="FFFFFF"/>
            <w:vAlign w:val="center"/>
            <w:hideMark/>
          </w:tcPr>
          <w:p w14:paraId="558A28F6"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1.614</w:t>
            </w:r>
          </w:p>
        </w:tc>
        <w:tc>
          <w:tcPr>
            <w:tcW w:w="921" w:type="dxa"/>
            <w:shd w:val="clear" w:color="000000" w:fill="FFFFFF"/>
            <w:vAlign w:val="center"/>
            <w:hideMark/>
          </w:tcPr>
          <w:p w14:paraId="305244D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1.634</w:t>
            </w:r>
          </w:p>
        </w:tc>
        <w:tc>
          <w:tcPr>
            <w:tcW w:w="1130" w:type="dxa"/>
            <w:tcBorders>
              <w:right w:val="double" w:sz="4" w:space="0" w:color="2F5496"/>
            </w:tcBorders>
            <w:shd w:val="clear" w:color="000000" w:fill="FFFFFF"/>
            <w:vAlign w:val="center"/>
            <w:hideMark/>
          </w:tcPr>
          <w:p w14:paraId="5F273C3A"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1.571</w:t>
            </w:r>
          </w:p>
        </w:tc>
        <w:tc>
          <w:tcPr>
            <w:tcW w:w="948" w:type="dxa"/>
            <w:tcBorders>
              <w:left w:val="double" w:sz="4" w:space="0" w:color="2F5496"/>
            </w:tcBorders>
            <w:shd w:val="clear" w:color="000000" w:fill="FFFFFF"/>
            <w:vAlign w:val="center"/>
            <w:hideMark/>
          </w:tcPr>
          <w:p w14:paraId="7F3E5449"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1.188</w:t>
            </w:r>
          </w:p>
        </w:tc>
        <w:tc>
          <w:tcPr>
            <w:tcW w:w="921" w:type="dxa"/>
            <w:shd w:val="clear" w:color="000000" w:fill="FFFFFF"/>
            <w:vAlign w:val="center"/>
            <w:hideMark/>
          </w:tcPr>
          <w:p w14:paraId="15345ED9"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1.238</w:t>
            </w:r>
          </w:p>
        </w:tc>
        <w:tc>
          <w:tcPr>
            <w:tcW w:w="1130" w:type="dxa"/>
            <w:tcBorders>
              <w:right w:val="double" w:sz="4" w:space="0" w:color="2F5496"/>
            </w:tcBorders>
            <w:shd w:val="clear" w:color="000000" w:fill="FFFFFF"/>
            <w:vAlign w:val="center"/>
            <w:hideMark/>
          </w:tcPr>
          <w:p w14:paraId="152754B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1.079</w:t>
            </w:r>
          </w:p>
        </w:tc>
        <w:tc>
          <w:tcPr>
            <w:tcW w:w="1097" w:type="dxa"/>
            <w:tcBorders>
              <w:left w:val="double" w:sz="4" w:space="0" w:color="2F5496"/>
            </w:tcBorders>
            <w:shd w:val="clear" w:color="000000" w:fill="FFFFFF"/>
            <w:noWrap/>
            <w:vAlign w:val="center"/>
            <w:hideMark/>
          </w:tcPr>
          <w:p w14:paraId="20E9DEED"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-26,4</w:t>
            </w:r>
          </w:p>
        </w:tc>
        <w:tc>
          <w:tcPr>
            <w:tcW w:w="953" w:type="dxa"/>
            <w:shd w:val="clear" w:color="000000" w:fill="FFFFFF"/>
            <w:noWrap/>
            <w:vAlign w:val="center"/>
            <w:hideMark/>
          </w:tcPr>
          <w:p w14:paraId="4719F9E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-24,2</w:t>
            </w:r>
          </w:p>
        </w:tc>
        <w:tc>
          <w:tcPr>
            <w:tcW w:w="1130" w:type="dxa"/>
            <w:shd w:val="clear" w:color="000000" w:fill="FFFFFF"/>
            <w:noWrap/>
            <w:vAlign w:val="center"/>
            <w:hideMark/>
          </w:tcPr>
          <w:p w14:paraId="4A94B130"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-31,3</w:t>
            </w:r>
          </w:p>
        </w:tc>
      </w:tr>
      <w:tr w:rsidR="00FF7292" w:rsidRPr="005908DA" w14:paraId="38C9E913" w14:textId="77777777" w:rsidTr="00D02CA1">
        <w:trPr>
          <w:trHeight w:val="564"/>
          <w:jc w:val="center"/>
        </w:trPr>
        <w:tc>
          <w:tcPr>
            <w:tcW w:w="2125" w:type="dxa"/>
            <w:tcBorders>
              <w:right w:val="double" w:sz="4" w:space="0" w:color="2F5496"/>
            </w:tcBorders>
            <w:shd w:val="clear" w:color="000000" w:fill="FFFFFF"/>
            <w:vAlign w:val="center"/>
            <w:hideMark/>
          </w:tcPr>
          <w:p w14:paraId="51A0D41E"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Μετ</w:t>
            </w:r>
            <w:proofErr w:type="spellEnd"/>
            <w:r w:rsidRPr="005908DA">
              <w:rPr>
                <w:rFonts w:ascii="Verdana" w:eastAsia="Times New Roman" w:hAnsi="Verdana" w:cs="Calibri"/>
                <w:b/>
                <w:bCs/>
                <w:color w:val="365F91"/>
                <w:sz w:val="18"/>
                <w:szCs w:val="18"/>
                <w:lang w:val="en-CY" w:eastAsia="en-CY" w:bidi="he-IL"/>
              </w:rPr>
              <w:t>αφορές</w:t>
            </w:r>
          </w:p>
        </w:tc>
        <w:tc>
          <w:tcPr>
            <w:tcW w:w="948" w:type="dxa"/>
            <w:tcBorders>
              <w:left w:val="double" w:sz="4" w:space="0" w:color="2F5496"/>
            </w:tcBorders>
            <w:shd w:val="clear" w:color="000000" w:fill="FFFFFF"/>
            <w:vAlign w:val="center"/>
            <w:hideMark/>
          </w:tcPr>
          <w:p w14:paraId="21F65A31"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3.748</w:t>
            </w:r>
          </w:p>
        </w:tc>
        <w:tc>
          <w:tcPr>
            <w:tcW w:w="921" w:type="dxa"/>
            <w:shd w:val="clear" w:color="000000" w:fill="FFFFFF"/>
            <w:vAlign w:val="center"/>
            <w:hideMark/>
          </w:tcPr>
          <w:p w14:paraId="02EED4BC"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3.818</w:t>
            </w:r>
          </w:p>
        </w:tc>
        <w:tc>
          <w:tcPr>
            <w:tcW w:w="1130" w:type="dxa"/>
            <w:tcBorders>
              <w:right w:val="double" w:sz="4" w:space="0" w:color="2F5496"/>
            </w:tcBorders>
            <w:shd w:val="clear" w:color="000000" w:fill="FFFFFF"/>
            <w:vAlign w:val="center"/>
            <w:hideMark/>
          </w:tcPr>
          <w:p w14:paraId="1F63D5FD"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3.597</w:t>
            </w:r>
          </w:p>
        </w:tc>
        <w:tc>
          <w:tcPr>
            <w:tcW w:w="948" w:type="dxa"/>
            <w:tcBorders>
              <w:left w:val="double" w:sz="4" w:space="0" w:color="2F5496"/>
            </w:tcBorders>
            <w:shd w:val="clear" w:color="000000" w:fill="FFFFFF"/>
            <w:vAlign w:val="center"/>
            <w:hideMark/>
          </w:tcPr>
          <w:p w14:paraId="54150C66"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5.004</w:t>
            </w:r>
          </w:p>
        </w:tc>
        <w:tc>
          <w:tcPr>
            <w:tcW w:w="921" w:type="dxa"/>
            <w:shd w:val="clear" w:color="000000" w:fill="FFFFFF"/>
            <w:vAlign w:val="center"/>
            <w:hideMark/>
          </w:tcPr>
          <w:p w14:paraId="46898C7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4.914</w:t>
            </w:r>
          </w:p>
        </w:tc>
        <w:tc>
          <w:tcPr>
            <w:tcW w:w="1130" w:type="dxa"/>
            <w:tcBorders>
              <w:right w:val="double" w:sz="4" w:space="0" w:color="2F5496"/>
            </w:tcBorders>
            <w:shd w:val="clear" w:color="000000" w:fill="FFFFFF"/>
            <w:vAlign w:val="center"/>
            <w:hideMark/>
          </w:tcPr>
          <w:p w14:paraId="25DE317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5.195</w:t>
            </w:r>
          </w:p>
        </w:tc>
        <w:tc>
          <w:tcPr>
            <w:tcW w:w="1097" w:type="dxa"/>
            <w:tcBorders>
              <w:left w:val="double" w:sz="4" w:space="0" w:color="2F5496"/>
            </w:tcBorders>
            <w:shd w:val="clear" w:color="000000" w:fill="FFFFFF"/>
            <w:noWrap/>
            <w:vAlign w:val="center"/>
            <w:hideMark/>
          </w:tcPr>
          <w:p w14:paraId="581C1DE2"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33,5</w:t>
            </w:r>
          </w:p>
        </w:tc>
        <w:tc>
          <w:tcPr>
            <w:tcW w:w="953" w:type="dxa"/>
            <w:shd w:val="clear" w:color="000000" w:fill="FFFFFF"/>
            <w:noWrap/>
            <w:vAlign w:val="center"/>
            <w:hideMark/>
          </w:tcPr>
          <w:p w14:paraId="49B352C6"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28,7</w:t>
            </w:r>
          </w:p>
        </w:tc>
        <w:tc>
          <w:tcPr>
            <w:tcW w:w="1130" w:type="dxa"/>
            <w:shd w:val="clear" w:color="000000" w:fill="FFFFFF"/>
            <w:noWrap/>
            <w:vAlign w:val="center"/>
            <w:hideMark/>
          </w:tcPr>
          <w:p w14:paraId="7F7B5071"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44,4</w:t>
            </w:r>
          </w:p>
        </w:tc>
      </w:tr>
      <w:tr w:rsidR="00FF7292" w:rsidRPr="005908DA" w14:paraId="22EC6ACD" w14:textId="77777777" w:rsidTr="00D02CA1">
        <w:trPr>
          <w:trHeight w:val="564"/>
          <w:jc w:val="center"/>
        </w:trPr>
        <w:tc>
          <w:tcPr>
            <w:tcW w:w="2125" w:type="dxa"/>
            <w:tcBorders>
              <w:right w:val="double" w:sz="4" w:space="0" w:color="2F5496"/>
            </w:tcBorders>
            <w:shd w:val="clear" w:color="000000" w:fill="FFFFFF"/>
            <w:vAlign w:val="center"/>
            <w:hideMark/>
          </w:tcPr>
          <w:p w14:paraId="34FF58A4" w14:textId="77777777" w:rsidR="00FF7292" w:rsidRPr="005908DA" w:rsidRDefault="00FF7292" w:rsidP="00D02CA1">
            <w:pPr>
              <w:rPr>
                <w:rFonts w:ascii="Verdana" w:eastAsia="Times New Roman" w:hAnsi="Verdana" w:cs="Calibri"/>
                <w:b/>
                <w:bCs/>
                <w:color w:val="365F91"/>
                <w:sz w:val="18"/>
                <w:szCs w:val="18"/>
                <w:lang w:val="en-CY" w:eastAsia="en-CY" w:bidi="he-IL"/>
              </w:rPr>
            </w:pPr>
            <w:r w:rsidRPr="005908DA">
              <w:rPr>
                <w:rFonts w:ascii="Verdana" w:eastAsia="Times New Roman" w:hAnsi="Verdana" w:cs="Calibri"/>
                <w:noProof/>
                <w:color w:val="365F91"/>
                <w:sz w:val="18"/>
                <w:szCs w:val="18"/>
                <w:lang w:val="en-CY" w:eastAsia="en-CY" w:bidi="he-IL"/>
              </w:rPr>
              <mc:AlternateContent>
                <mc:Choice Requires="wps">
                  <w:drawing>
                    <wp:anchor distT="0" distB="0" distL="114300" distR="114300" simplePos="0" relativeHeight="251660288" behindDoc="0" locked="0" layoutInCell="1" allowOverlap="1" wp14:anchorId="35723B8A" wp14:editId="7A62EFC7">
                      <wp:simplePos x="0" y="0"/>
                      <wp:positionH relativeFrom="column">
                        <wp:posOffset>1083310</wp:posOffset>
                      </wp:positionH>
                      <wp:positionV relativeFrom="paragraph">
                        <wp:posOffset>63500</wp:posOffset>
                      </wp:positionV>
                      <wp:extent cx="136525" cy="669290"/>
                      <wp:effectExtent l="10160" t="8890" r="5715" b="7620"/>
                      <wp:wrapNone/>
                      <wp:docPr id="3239287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669290"/>
                              </a:xfrm>
                              <a:prstGeom prst="rightBrace">
                                <a:avLst>
                                  <a:gd name="adj1" fmla="val 40853"/>
                                  <a:gd name="adj2" fmla="val 50000"/>
                                </a:avLst>
                              </a:prstGeom>
                              <a:noFill/>
                              <a:ln w="9525">
                                <a:solidFill>
                                  <a:srgbClr val="2F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0462" id="AutoShape 82" o:spid="_x0000_s1026" type="#_x0000_t88" style="position:absolute;margin-left:85.3pt;margin-top:5pt;width:10.75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" strokecolor="#2f5496"/>
                  </w:pict>
                </mc:Fallback>
              </mc:AlternateContent>
            </w:r>
            <w:proofErr w:type="spellStart"/>
            <w:r w:rsidRPr="005908DA">
              <w:rPr>
                <w:rFonts w:ascii="Verdana" w:eastAsia="Times New Roman" w:hAnsi="Verdana" w:cs="Calibri"/>
                <w:b/>
                <w:bCs/>
                <w:color w:val="365F91"/>
                <w:sz w:val="18"/>
                <w:szCs w:val="18"/>
                <w:lang w:val="en-CY" w:eastAsia="en-CY" w:bidi="he-IL"/>
              </w:rPr>
              <w:t>Πληροφορί</w:t>
            </w:r>
            <w:proofErr w:type="spellEnd"/>
            <w:r w:rsidRPr="005908DA">
              <w:rPr>
                <w:rFonts w:ascii="Verdana" w:eastAsia="Times New Roman" w:hAnsi="Verdana" w:cs="Calibri"/>
                <w:b/>
                <w:bCs/>
                <w:color w:val="365F91"/>
                <w:sz w:val="18"/>
                <w:szCs w:val="18"/>
                <w:lang w:val="en-CY" w:eastAsia="en-CY" w:bidi="he-IL"/>
              </w:rPr>
              <w:t xml:space="preserve">α και </w:t>
            </w:r>
            <w:proofErr w:type="gramStart"/>
            <w:r w:rsidRPr="005908DA">
              <w:rPr>
                <w:rFonts w:ascii="Verdana" w:eastAsia="Times New Roman" w:hAnsi="Verdana" w:cs="Calibri"/>
                <w:b/>
                <w:bCs/>
                <w:color w:val="365F91"/>
                <w:sz w:val="18"/>
                <w:szCs w:val="18"/>
                <w:lang w:val="en-CY" w:eastAsia="en-CY" w:bidi="he-IL"/>
              </w:rPr>
              <w:t>επ</w:t>
            </w:r>
            <w:proofErr w:type="spellStart"/>
            <w:r w:rsidRPr="005908DA">
              <w:rPr>
                <w:rFonts w:ascii="Verdana" w:eastAsia="Times New Roman" w:hAnsi="Verdana" w:cs="Calibri"/>
                <w:b/>
                <w:bCs/>
                <w:color w:val="365F91"/>
                <w:sz w:val="18"/>
                <w:szCs w:val="18"/>
                <w:lang w:val="en-CY" w:eastAsia="en-CY" w:bidi="he-IL"/>
              </w:rPr>
              <w:t>ικοινωνίες</w:t>
            </w:r>
            <w:proofErr w:type="spellEnd"/>
            <w:r w:rsidRPr="005908DA">
              <w:rPr>
                <w:rFonts w:ascii="Verdana" w:eastAsia="Times New Roman" w:hAnsi="Verdana" w:cs="Calibri"/>
                <w:b/>
                <w:bCs/>
                <w:color w:val="365F91"/>
                <w:sz w:val="18"/>
                <w:szCs w:val="18"/>
                <w:vertAlign w:val="superscript"/>
                <w:lang w:val="en-CY" w:eastAsia="en-CY" w:bidi="he-IL"/>
              </w:rPr>
              <w:t>(</w:t>
            </w:r>
            <w:proofErr w:type="gramEnd"/>
            <w:r w:rsidRPr="005908DA">
              <w:rPr>
                <w:rFonts w:ascii="Verdana" w:eastAsia="Times New Roman" w:hAnsi="Verdana" w:cs="Calibri"/>
                <w:b/>
                <w:bCs/>
                <w:color w:val="365F91"/>
                <w:sz w:val="18"/>
                <w:szCs w:val="18"/>
                <w:vertAlign w:val="superscript"/>
                <w:lang w:val="en-CY" w:eastAsia="en-CY" w:bidi="he-IL"/>
              </w:rPr>
              <w:t>1)</w:t>
            </w:r>
            <w:r w:rsidRPr="005908DA">
              <w:rPr>
                <w:rFonts w:ascii="Verdana" w:eastAsia="Times New Roman" w:hAnsi="Verdana" w:cs="Calibri"/>
                <w:b/>
                <w:bCs/>
                <w:color w:val="365F91"/>
                <w:sz w:val="18"/>
                <w:szCs w:val="18"/>
                <w:lang w:val="en-CY" w:eastAsia="en-CY" w:bidi="he-IL"/>
              </w:rPr>
              <w:t xml:space="preserve">  </w:t>
            </w:r>
          </w:p>
        </w:tc>
        <w:tc>
          <w:tcPr>
            <w:tcW w:w="948" w:type="dxa"/>
            <w:vMerge w:val="restart"/>
            <w:tcBorders>
              <w:left w:val="double" w:sz="4" w:space="0" w:color="2F5496"/>
            </w:tcBorders>
            <w:shd w:val="clear" w:color="000000" w:fill="FFFFFF"/>
            <w:vAlign w:val="center"/>
            <w:hideMark/>
          </w:tcPr>
          <w:p w14:paraId="42F8642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2.638</w:t>
            </w:r>
          </w:p>
          <w:p w14:paraId="4E26ADBE"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c>
          <w:tcPr>
            <w:tcW w:w="921" w:type="dxa"/>
            <w:vMerge w:val="restart"/>
            <w:shd w:val="clear" w:color="000000" w:fill="FFFFFF"/>
            <w:vAlign w:val="center"/>
            <w:hideMark/>
          </w:tcPr>
          <w:p w14:paraId="3CE424BF"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2.735</w:t>
            </w:r>
          </w:p>
          <w:p w14:paraId="17627B3F"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c>
          <w:tcPr>
            <w:tcW w:w="1130" w:type="dxa"/>
            <w:vMerge w:val="restart"/>
            <w:tcBorders>
              <w:right w:val="double" w:sz="4" w:space="0" w:color="2F5496"/>
            </w:tcBorders>
            <w:shd w:val="clear" w:color="000000" w:fill="FFFFFF"/>
            <w:vAlign w:val="center"/>
            <w:hideMark/>
          </w:tcPr>
          <w:p w14:paraId="381EDAC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2.428</w:t>
            </w:r>
          </w:p>
          <w:p w14:paraId="12BBFBA8"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c>
          <w:tcPr>
            <w:tcW w:w="948" w:type="dxa"/>
            <w:tcBorders>
              <w:left w:val="double" w:sz="4" w:space="0" w:color="2F5496"/>
            </w:tcBorders>
            <w:shd w:val="clear" w:color="000000" w:fill="FFFFFF"/>
            <w:vAlign w:val="center"/>
            <w:hideMark/>
          </w:tcPr>
          <w:p w14:paraId="50B21D11"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1.468</w:t>
            </w:r>
          </w:p>
        </w:tc>
        <w:tc>
          <w:tcPr>
            <w:tcW w:w="921" w:type="dxa"/>
            <w:shd w:val="clear" w:color="000000" w:fill="FFFFFF"/>
            <w:vAlign w:val="center"/>
            <w:hideMark/>
          </w:tcPr>
          <w:p w14:paraId="5C12087D"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1.495</w:t>
            </w:r>
          </w:p>
        </w:tc>
        <w:tc>
          <w:tcPr>
            <w:tcW w:w="1130" w:type="dxa"/>
            <w:tcBorders>
              <w:right w:val="double" w:sz="4" w:space="0" w:color="2F5496"/>
            </w:tcBorders>
            <w:shd w:val="clear" w:color="000000" w:fill="FFFFFF"/>
            <w:vAlign w:val="center"/>
            <w:hideMark/>
          </w:tcPr>
          <w:p w14:paraId="3ADC922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1.412</w:t>
            </w:r>
          </w:p>
        </w:tc>
        <w:tc>
          <w:tcPr>
            <w:tcW w:w="1097" w:type="dxa"/>
            <w:vMerge w:val="restart"/>
            <w:tcBorders>
              <w:left w:val="double" w:sz="4" w:space="0" w:color="2F5496"/>
            </w:tcBorders>
            <w:shd w:val="clear" w:color="000000" w:fill="FFFFFF"/>
            <w:noWrap/>
            <w:vAlign w:val="center"/>
            <w:hideMark/>
          </w:tcPr>
          <w:p w14:paraId="3ADFCDD7" w14:textId="77777777" w:rsidR="00FF7292" w:rsidRPr="005908DA" w:rsidRDefault="00FF7292" w:rsidP="00D02CA1">
            <w:pPr>
              <w:jc w:val="right"/>
              <w:rPr>
                <w:rFonts w:ascii="Verdana" w:eastAsia="Times New Roman" w:hAnsi="Verdana" w:cs="Calibri"/>
                <w:color w:val="0099FF"/>
                <w:sz w:val="18"/>
                <w:szCs w:val="18"/>
                <w:lang w:val="en-CY" w:eastAsia="en-CY" w:bidi="he-IL"/>
              </w:rPr>
            </w:pPr>
            <w:r w:rsidRPr="005908DA">
              <w:rPr>
                <w:rFonts w:ascii="Verdana" w:eastAsia="Times New Roman" w:hAnsi="Verdana" w:cs="Calibri"/>
                <w:noProof/>
                <w:color w:val="0099FF"/>
                <w:sz w:val="18"/>
                <w:szCs w:val="18"/>
                <w:lang w:val="en-CY" w:eastAsia="en-CY" w:bidi="he-IL"/>
              </w:rPr>
              <mc:AlternateContent>
                <mc:Choice Requires="wps">
                  <w:drawing>
                    <wp:anchor distT="0" distB="0" distL="114300" distR="114300" simplePos="0" relativeHeight="251659264" behindDoc="0" locked="0" layoutInCell="1" allowOverlap="1" wp14:anchorId="40958C8B" wp14:editId="3FD97B83">
                      <wp:simplePos x="0" y="0"/>
                      <wp:positionH relativeFrom="column">
                        <wp:posOffset>-7620</wp:posOffset>
                      </wp:positionH>
                      <wp:positionV relativeFrom="paragraph">
                        <wp:posOffset>-9525</wp:posOffset>
                      </wp:positionV>
                      <wp:extent cx="90805" cy="466090"/>
                      <wp:effectExtent l="5080" t="5715" r="8890" b="13970"/>
                      <wp:wrapNone/>
                      <wp:docPr id="146158298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090"/>
                              </a:xfrm>
                              <a:prstGeom prst="rightBrace">
                                <a:avLst>
                                  <a:gd name="adj1" fmla="val 42774"/>
                                  <a:gd name="adj2" fmla="val 50000"/>
                                </a:avLst>
                              </a:prstGeom>
                              <a:noFill/>
                              <a:ln w="9525">
                                <a:solidFill>
                                  <a:srgbClr val="2F54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6443E" id="AutoShape 81" o:spid="_x0000_s1026" type="#_x0000_t88" style="position:absolute;margin-left:-.6pt;margin-top:-.75pt;width:7.1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" strokecolor="#2f5496"/>
                  </w:pict>
                </mc:Fallback>
              </mc:AlternateContent>
            </w:r>
          </w:p>
          <w:p w14:paraId="1069D428" w14:textId="219CC128" w:rsidR="00FF7292" w:rsidRPr="005908DA" w:rsidRDefault="00FF7292" w:rsidP="00FF7292">
            <w:pPr>
              <w:spacing w:before="60"/>
              <w:jc w:val="right"/>
              <w:rPr>
                <w:rFonts w:ascii="Verdana" w:eastAsia="Times New Roman" w:hAnsi="Verdana" w:cs="Calibri"/>
                <w:color w:val="365F91"/>
                <w:sz w:val="18"/>
                <w:szCs w:val="18"/>
                <w:lang w:val="en-CY" w:eastAsia="en-CY" w:bidi="he-IL"/>
              </w:rPr>
            </w:pPr>
            <w:r w:rsidRPr="00FF7292">
              <w:rPr>
                <w:rFonts w:ascii="Verdana" w:eastAsia="Times New Roman" w:hAnsi="Verdana" w:cs="Calibri"/>
                <w:color w:val="365F91"/>
                <w:sz w:val="18"/>
                <w:szCs w:val="18"/>
                <w:lang w:val="en-CY" w:eastAsia="en-CY" w:bidi="he-IL"/>
              </w:rPr>
              <w:t>2</w:t>
            </w:r>
            <w:r w:rsidRPr="005908DA">
              <w:rPr>
                <w:rFonts w:ascii="Verdana" w:eastAsia="Times New Roman" w:hAnsi="Verdana" w:cs="Calibri"/>
                <w:color w:val="365F91"/>
                <w:sz w:val="18"/>
                <w:szCs w:val="18"/>
                <w:lang w:val="en-CY" w:eastAsia="en-CY" w:bidi="he-IL"/>
              </w:rPr>
              <w:t>6,5</w:t>
            </w:r>
          </w:p>
        </w:tc>
        <w:tc>
          <w:tcPr>
            <w:tcW w:w="953" w:type="dxa"/>
            <w:vMerge w:val="restart"/>
            <w:shd w:val="clear" w:color="000000" w:fill="FFFFFF"/>
            <w:noWrap/>
            <w:vAlign w:val="center"/>
            <w:hideMark/>
          </w:tcPr>
          <w:p w14:paraId="46FCAE97" w14:textId="29EF2672" w:rsidR="00FF7292" w:rsidRPr="00FF7292" w:rsidRDefault="00FF7292" w:rsidP="00D02CA1">
            <w:pPr>
              <w:jc w:val="right"/>
              <w:rPr>
                <w:rFonts w:ascii="Verdana" w:eastAsia="Times New Roman" w:hAnsi="Verdana" w:cs="Calibri"/>
                <w:color w:val="365F91"/>
                <w:sz w:val="18"/>
                <w:szCs w:val="18"/>
                <w:lang w:val="el-GR" w:eastAsia="en-CY" w:bidi="he-IL"/>
              </w:rPr>
            </w:pPr>
            <w:r w:rsidRPr="005908DA">
              <w:rPr>
                <w:rFonts w:ascii="Verdana" w:eastAsia="Times New Roman" w:hAnsi="Verdana" w:cs="Calibri"/>
                <w:color w:val="365F91"/>
                <w:sz w:val="18"/>
                <w:szCs w:val="18"/>
                <w:lang w:val="en-CY" w:eastAsia="en-CY" w:bidi="he-IL"/>
              </w:rPr>
              <w:t>25</w:t>
            </w:r>
            <w:r>
              <w:rPr>
                <w:rFonts w:ascii="Verdana" w:eastAsia="Times New Roman" w:hAnsi="Verdana" w:cs="Calibri"/>
                <w:color w:val="365F91"/>
                <w:sz w:val="18"/>
                <w:szCs w:val="18"/>
                <w:lang w:val="el-GR" w:eastAsia="en-CY" w:bidi="he-IL"/>
              </w:rPr>
              <w:t>,0</w:t>
            </w:r>
          </w:p>
          <w:p w14:paraId="66C2A933"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c>
          <w:tcPr>
            <w:tcW w:w="1130" w:type="dxa"/>
            <w:vMerge w:val="restart"/>
            <w:shd w:val="clear" w:color="000000" w:fill="FFFFFF"/>
            <w:noWrap/>
            <w:vAlign w:val="center"/>
            <w:hideMark/>
          </w:tcPr>
          <w:p w14:paraId="54E1FB4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30,4</w:t>
            </w:r>
          </w:p>
          <w:p w14:paraId="7C715590"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r>
      <w:tr w:rsidR="00FF7292" w:rsidRPr="005908DA" w14:paraId="7AFFE8BA" w14:textId="77777777" w:rsidTr="00D02CA1">
        <w:trPr>
          <w:trHeight w:val="564"/>
          <w:jc w:val="center"/>
        </w:trPr>
        <w:tc>
          <w:tcPr>
            <w:tcW w:w="2125" w:type="dxa"/>
            <w:tcBorders>
              <w:right w:val="double" w:sz="4" w:space="0" w:color="2F5496"/>
            </w:tcBorders>
            <w:shd w:val="clear" w:color="000000" w:fill="FFFFFF"/>
            <w:vAlign w:val="center"/>
            <w:hideMark/>
          </w:tcPr>
          <w:p w14:paraId="62CA0D1E" w14:textId="77777777" w:rsidR="00FF7292" w:rsidRPr="005908DA" w:rsidRDefault="00FF7292" w:rsidP="00D02CA1">
            <w:pPr>
              <w:rPr>
                <w:rFonts w:ascii="Verdana" w:eastAsia="Times New Roman" w:hAnsi="Verdana" w:cs="Calibri"/>
                <w:b/>
                <w:bCs/>
                <w:color w:val="365F91"/>
                <w:sz w:val="18"/>
                <w:szCs w:val="18"/>
                <w:vertAlign w:val="superscript"/>
                <w:lang w:val="en-CY" w:eastAsia="en-CY" w:bidi="he-IL"/>
              </w:rPr>
            </w:pPr>
            <w:proofErr w:type="spellStart"/>
            <w:r w:rsidRPr="005908DA">
              <w:rPr>
                <w:rFonts w:ascii="Verdana" w:eastAsia="Times New Roman" w:hAnsi="Verdana" w:cs="Calibri"/>
                <w:b/>
                <w:bCs/>
                <w:color w:val="365F91"/>
                <w:sz w:val="18"/>
                <w:szCs w:val="18"/>
                <w:lang w:val="en-CY" w:eastAsia="en-CY" w:bidi="he-IL"/>
              </w:rPr>
              <w:t>Αν</w:t>
            </w:r>
            <w:proofErr w:type="spellEnd"/>
            <w:r w:rsidRPr="005908DA">
              <w:rPr>
                <w:rFonts w:ascii="Verdana" w:eastAsia="Times New Roman" w:hAnsi="Verdana" w:cs="Calibri"/>
                <w:b/>
                <w:bCs/>
                <w:color w:val="365F91"/>
                <w:sz w:val="18"/>
                <w:szCs w:val="18"/>
                <w:lang w:val="en-CY" w:eastAsia="en-CY" w:bidi="he-IL"/>
              </w:rPr>
              <w:t>αψυχή, α</w:t>
            </w:r>
            <w:proofErr w:type="spellStart"/>
            <w:r w:rsidRPr="005908DA">
              <w:rPr>
                <w:rFonts w:ascii="Verdana" w:eastAsia="Times New Roman" w:hAnsi="Verdana" w:cs="Calibri"/>
                <w:b/>
                <w:bCs/>
                <w:color w:val="365F91"/>
                <w:sz w:val="18"/>
                <w:szCs w:val="18"/>
                <w:lang w:val="en-CY" w:eastAsia="en-CY" w:bidi="he-IL"/>
              </w:rPr>
              <w:t>θλητισμός</w:t>
            </w:r>
            <w:proofErr w:type="spellEnd"/>
            <w:r w:rsidRPr="005908DA">
              <w:rPr>
                <w:rFonts w:ascii="Verdana" w:eastAsia="Times New Roman" w:hAnsi="Verdana" w:cs="Calibri"/>
                <w:b/>
                <w:bCs/>
                <w:color w:val="365F91"/>
                <w:sz w:val="18"/>
                <w:szCs w:val="18"/>
                <w:lang w:val="en-CY" w:eastAsia="en-CY" w:bidi="he-IL"/>
              </w:rPr>
              <w:t xml:space="preserve"> και </w:t>
            </w:r>
            <w:proofErr w:type="gramStart"/>
            <w:r w:rsidRPr="005908DA">
              <w:rPr>
                <w:rFonts w:ascii="Verdana" w:eastAsia="Times New Roman" w:hAnsi="Verdana" w:cs="Calibri"/>
                <w:b/>
                <w:bCs/>
                <w:color w:val="365F91"/>
                <w:sz w:val="18"/>
                <w:szCs w:val="18"/>
                <w:lang w:val="en-CY" w:eastAsia="en-CY" w:bidi="he-IL"/>
              </w:rPr>
              <w:t>π</w:t>
            </w:r>
            <w:proofErr w:type="spellStart"/>
            <w:r w:rsidRPr="005908DA">
              <w:rPr>
                <w:rFonts w:ascii="Verdana" w:eastAsia="Times New Roman" w:hAnsi="Verdana" w:cs="Calibri"/>
                <w:b/>
                <w:bCs/>
                <w:color w:val="365F91"/>
                <w:sz w:val="18"/>
                <w:szCs w:val="18"/>
                <w:lang w:val="en-CY" w:eastAsia="en-CY" w:bidi="he-IL"/>
              </w:rPr>
              <w:t>ολιτισμός</w:t>
            </w:r>
            <w:proofErr w:type="spellEnd"/>
            <w:r w:rsidRPr="005908DA">
              <w:rPr>
                <w:rFonts w:ascii="Verdana" w:eastAsia="Times New Roman" w:hAnsi="Verdana" w:cs="Calibri"/>
                <w:b/>
                <w:bCs/>
                <w:color w:val="365F91"/>
                <w:sz w:val="18"/>
                <w:szCs w:val="18"/>
                <w:vertAlign w:val="superscript"/>
                <w:lang w:val="en-CY" w:eastAsia="en-CY" w:bidi="he-IL"/>
              </w:rPr>
              <w:t>(</w:t>
            </w:r>
            <w:proofErr w:type="gramEnd"/>
            <w:r w:rsidRPr="005908DA">
              <w:rPr>
                <w:rFonts w:ascii="Verdana" w:eastAsia="Times New Roman" w:hAnsi="Verdana" w:cs="Calibri"/>
                <w:b/>
                <w:bCs/>
                <w:color w:val="365F91"/>
                <w:sz w:val="18"/>
                <w:szCs w:val="18"/>
                <w:vertAlign w:val="superscript"/>
                <w:lang w:val="en-CY" w:eastAsia="en-CY" w:bidi="he-IL"/>
              </w:rPr>
              <w:t>1)</w:t>
            </w:r>
          </w:p>
          <w:p w14:paraId="7C661F25" w14:textId="77777777" w:rsidR="00FF7292" w:rsidRPr="005908DA" w:rsidRDefault="00FF7292" w:rsidP="00D02CA1">
            <w:pPr>
              <w:rPr>
                <w:rFonts w:ascii="Verdana" w:eastAsia="Times New Roman" w:hAnsi="Verdana" w:cs="Calibri"/>
                <w:b/>
                <w:bCs/>
                <w:color w:val="365F91"/>
                <w:sz w:val="18"/>
                <w:szCs w:val="18"/>
                <w:vertAlign w:val="superscript"/>
                <w:lang w:val="en-CY" w:eastAsia="en-CY" w:bidi="he-IL"/>
              </w:rPr>
            </w:pPr>
          </w:p>
          <w:p w14:paraId="74C5DA2E"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948" w:type="dxa"/>
            <w:vMerge/>
            <w:tcBorders>
              <w:left w:val="double" w:sz="4" w:space="0" w:color="2F5496"/>
            </w:tcBorders>
            <w:shd w:val="clear" w:color="000000" w:fill="FFFFFF"/>
            <w:vAlign w:val="center"/>
            <w:hideMark/>
          </w:tcPr>
          <w:p w14:paraId="65500DC5"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c>
          <w:tcPr>
            <w:tcW w:w="921" w:type="dxa"/>
            <w:vMerge/>
            <w:shd w:val="clear" w:color="000000" w:fill="FFFFFF"/>
            <w:vAlign w:val="center"/>
            <w:hideMark/>
          </w:tcPr>
          <w:p w14:paraId="4B2D3088"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c>
          <w:tcPr>
            <w:tcW w:w="1130" w:type="dxa"/>
            <w:vMerge/>
            <w:tcBorders>
              <w:right w:val="double" w:sz="4" w:space="0" w:color="2F5496"/>
            </w:tcBorders>
            <w:shd w:val="clear" w:color="000000" w:fill="FFFFFF"/>
            <w:vAlign w:val="center"/>
            <w:hideMark/>
          </w:tcPr>
          <w:p w14:paraId="1FABB5D0"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c>
          <w:tcPr>
            <w:tcW w:w="948" w:type="dxa"/>
            <w:tcBorders>
              <w:left w:val="double" w:sz="4" w:space="0" w:color="2F5496"/>
            </w:tcBorders>
            <w:shd w:val="clear" w:color="000000" w:fill="FFFFFF"/>
            <w:vAlign w:val="center"/>
            <w:hideMark/>
          </w:tcPr>
          <w:p w14:paraId="196AAF5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1.870</w:t>
            </w:r>
          </w:p>
        </w:tc>
        <w:tc>
          <w:tcPr>
            <w:tcW w:w="921" w:type="dxa"/>
            <w:shd w:val="clear" w:color="000000" w:fill="FFFFFF"/>
            <w:vAlign w:val="center"/>
            <w:hideMark/>
          </w:tcPr>
          <w:p w14:paraId="2CD4D6EC"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1.924</w:t>
            </w:r>
          </w:p>
        </w:tc>
        <w:tc>
          <w:tcPr>
            <w:tcW w:w="1130" w:type="dxa"/>
            <w:tcBorders>
              <w:right w:val="double" w:sz="4" w:space="0" w:color="2F5496"/>
            </w:tcBorders>
            <w:shd w:val="clear" w:color="000000" w:fill="FFFFFF"/>
            <w:vAlign w:val="center"/>
            <w:hideMark/>
          </w:tcPr>
          <w:p w14:paraId="7C45F86B"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1.753</w:t>
            </w:r>
          </w:p>
        </w:tc>
        <w:tc>
          <w:tcPr>
            <w:tcW w:w="1097" w:type="dxa"/>
            <w:vMerge/>
            <w:tcBorders>
              <w:left w:val="double" w:sz="4" w:space="0" w:color="2F5496"/>
            </w:tcBorders>
            <w:shd w:val="clear" w:color="000000" w:fill="FFFFFF"/>
            <w:noWrap/>
            <w:vAlign w:val="center"/>
            <w:hideMark/>
          </w:tcPr>
          <w:p w14:paraId="23581529"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c>
          <w:tcPr>
            <w:tcW w:w="953" w:type="dxa"/>
            <w:vMerge/>
            <w:shd w:val="clear" w:color="000000" w:fill="FFFFFF"/>
            <w:noWrap/>
            <w:vAlign w:val="center"/>
            <w:hideMark/>
          </w:tcPr>
          <w:p w14:paraId="05309C24"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c>
          <w:tcPr>
            <w:tcW w:w="1130" w:type="dxa"/>
            <w:vMerge/>
            <w:shd w:val="clear" w:color="000000" w:fill="FFFFFF"/>
            <w:noWrap/>
            <w:vAlign w:val="center"/>
            <w:hideMark/>
          </w:tcPr>
          <w:p w14:paraId="34E2C72D" w14:textId="77777777" w:rsidR="00FF7292" w:rsidRPr="005908DA" w:rsidRDefault="00FF7292" w:rsidP="00D02CA1">
            <w:pPr>
              <w:jc w:val="right"/>
              <w:rPr>
                <w:rFonts w:ascii="Verdana" w:eastAsia="Times New Roman" w:hAnsi="Verdana" w:cs="Calibri"/>
                <w:color w:val="365F91"/>
                <w:sz w:val="18"/>
                <w:szCs w:val="18"/>
                <w:lang w:val="en-CY" w:eastAsia="en-CY" w:bidi="he-IL"/>
              </w:rPr>
            </w:pPr>
          </w:p>
        </w:tc>
      </w:tr>
      <w:tr w:rsidR="00FF7292" w:rsidRPr="005908DA" w14:paraId="3C24DB2C" w14:textId="77777777" w:rsidTr="00D02CA1">
        <w:trPr>
          <w:trHeight w:val="564"/>
          <w:jc w:val="center"/>
        </w:trPr>
        <w:tc>
          <w:tcPr>
            <w:tcW w:w="2125" w:type="dxa"/>
            <w:tcBorders>
              <w:right w:val="double" w:sz="4" w:space="0" w:color="2F5496"/>
            </w:tcBorders>
            <w:shd w:val="clear" w:color="000000" w:fill="FFFFFF"/>
            <w:vAlign w:val="center"/>
            <w:hideMark/>
          </w:tcPr>
          <w:p w14:paraId="4690308A"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Εκ</w:t>
            </w:r>
            <w:proofErr w:type="spellEnd"/>
            <w:r w:rsidRPr="005908DA">
              <w:rPr>
                <w:rFonts w:ascii="Verdana" w:eastAsia="Times New Roman" w:hAnsi="Verdana" w:cs="Calibri"/>
                <w:b/>
                <w:bCs/>
                <w:color w:val="365F91"/>
                <w:sz w:val="18"/>
                <w:szCs w:val="18"/>
                <w:lang w:val="en-CY" w:eastAsia="en-CY" w:bidi="he-IL"/>
              </w:rPr>
              <w:t>παίδευση</w:t>
            </w:r>
          </w:p>
        </w:tc>
        <w:tc>
          <w:tcPr>
            <w:tcW w:w="948" w:type="dxa"/>
            <w:tcBorders>
              <w:left w:val="double" w:sz="4" w:space="0" w:color="2F5496"/>
            </w:tcBorders>
            <w:shd w:val="clear" w:color="000000" w:fill="FFFFFF"/>
            <w:vAlign w:val="center"/>
            <w:hideMark/>
          </w:tcPr>
          <w:p w14:paraId="24A2F979"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1.408</w:t>
            </w:r>
          </w:p>
        </w:tc>
        <w:tc>
          <w:tcPr>
            <w:tcW w:w="921" w:type="dxa"/>
            <w:shd w:val="clear" w:color="000000" w:fill="FFFFFF"/>
            <w:vAlign w:val="center"/>
            <w:hideMark/>
          </w:tcPr>
          <w:p w14:paraId="1B495A8B"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1.449</w:t>
            </w:r>
          </w:p>
        </w:tc>
        <w:tc>
          <w:tcPr>
            <w:tcW w:w="1130" w:type="dxa"/>
            <w:tcBorders>
              <w:right w:val="double" w:sz="4" w:space="0" w:color="2F5496"/>
            </w:tcBorders>
            <w:shd w:val="clear" w:color="000000" w:fill="FFFFFF"/>
            <w:vAlign w:val="center"/>
            <w:hideMark/>
          </w:tcPr>
          <w:p w14:paraId="68235A30"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1.320</w:t>
            </w:r>
          </w:p>
        </w:tc>
        <w:tc>
          <w:tcPr>
            <w:tcW w:w="948" w:type="dxa"/>
            <w:tcBorders>
              <w:left w:val="double" w:sz="4" w:space="0" w:color="2F5496"/>
            </w:tcBorders>
            <w:shd w:val="clear" w:color="000000" w:fill="FFFFFF"/>
            <w:vAlign w:val="center"/>
            <w:hideMark/>
          </w:tcPr>
          <w:p w14:paraId="2F47DF8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1.596</w:t>
            </w:r>
          </w:p>
        </w:tc>
        <w:tc>
          <w:tcPr>
            <w:tcW w:w="921" w:type="dxa"/>
            <w:shd w:val="clear" w:color="000000" w:fill="FFFFFF"/>
            <w:vAlign w:val="center"/>
            <w:hideMark/>
          </w:tcPr>
          <w:p w14:paraId="7356C35C"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1.745</w:t>
            </w:r>
          </w:p>
        </w:tc>
        <w:tc>
          <w:tcPr>
            <w:tcW w:w="1130" w:type="dxa"/>
            <w:tcBorders>
              <w:right w:val="double" w:sz="4" w:space="0" w:color="2F5496"/>
            </w:tcBorders>
            <w:shd w:val="clear" w:color="000000" w:fill="FFFFFF"/>
            <w:vAlign w:val="center"/>
            <w:hideMark/>
          </w:tcPr>
          <w:p w14:paraId="62919CA7"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1.276</w:t>
            </w:r>
          </w:p>
        </w:tc>
        <w:tc>
          <w:tcPr>
            <w:tcW w:w="1097" w:type="dxa"/>
            <w:tcBorders>
              <w:left w:val="double" w:sz="4" w:space="0" w:color="2F5496"/>
            </w:tcBorders>
            <w:shd w:val="clear" w:color="000000" w:fill="FFFFFF"/>
            <w:noWrap/>
            <w:vAlign w:val="center"/>
            <w:hideMark/>
          </w:tcPr>
          <w:p w14:paraId="073392CE"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13,4</w:t>
            </w:r>
          </w:p>
        </w:tc>
        <w:tc>
          <w:tcPr>
            <w:tcW w:w="953" w:type="dxa"/>
            <w:shd w:val="clear" w:color="000000" w:fill="FFFFFF"/>
            <w:noWrap/>
            <w:vAlign w:val="center"/>
            <w:hideMark/>
          </w:tcPr>
          <w:p w14:paraId="60939E09"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20,4</w:t>
            </w:r>
          </w:p>
        </w:tc>
        <w:tc>
          <w:tcPr>
            <w:tcW w:w="1130" w:type="dxa"/>
            <w:shd w:val="clear" w:color="000000" w:fill="FFFFFF"/>
            <w:noWrap/>
            <w:vAlign w:val="center"/>
            <w:hideMark/>
          </w:tcPr>
          <w:p w14:paraId="1A2297C3"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-3,3</w:t>
            </w:r>
          </w:p>
        </w:tc>
      </w:tr>
      <w:tr w:rsidR="00FF7292" w:rsidRPr="005908DA" w14:paraId="23D2E931" w14:textId="77777777" w:rsidTr="00D02CA1">
        <w:trPr>
          <w:trHeight w:val="564"/>
          <w:jc w:val="center"/>
        </w:trPr>
        <w:tc>
          <w:tcPr>
            <w:tcW w:w="2125" w:type="dxa"/>
            <w:tcBorders>
              <w:right w:val="double" w:sz="4" w:space="0" w:color="2F5496"/>
            </w:tcBorders>
            <w:shd w:val="clear" w:color="000000" w:fill="FFFFFF"/>
            <w:vAlign w:val="center"/>
            <w:hideMark/>
          </w:tcPr>
          <w:p w14:paraId="6CF8FDD3"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Εστι</w:t>
            </w:r>
            <w:proofErr w:type="spellEnd"/>
            <w:r w:rsidRPr="005908DA">
              <w:rPr>
                <w:rFonts w:ascii="Verdana" w:eastAsia="Times New Roman" w:hAnsi="Verdana" w:cs="Calibri"/>
                <w:b/>
                <w:bCs/>
                <w:color w:val="365F91"/>
                <w:sz w:val="18"/>
                <w:szCs w:val="18"/>
                <w:lang w:val="en-CY" w:eastAsia="en-CY" w:bidi="he-IL"/>
              </w:rPr>
              <w:t>ατόρια και υπ</w:t>
            </w:r>
            <w:proofErr w:type="spellStart"/>
            <w:r w:rsidRPr="005908DA">
              <w:rPr>
                <w:rFonts w:ascii="Verdana" w:eastAsia="Times New Roman" w:hAnsi="Verdana" w:cs="Calibri"/>
                <w:b/>
                <w:bCs/>
                <w:color w:val="365F91"/>
                <w:sz w:val="18"/>
                <w:szCs w:val="18"/>
                <w:lang w:val="en-CY" w:eastAsia="en-CY" w:bidi="he-IL"/>
              </w:rPr>
              <w:t>ηρεσίες</w:t>
            </w:r>
            <w:proofErr w:type="spellEnd"/>
            <w:r w:rsidRPr="005908DA">
              <w:rPr>
                <w:rFonts w:ascii="Verdana" w:eastAsia="Times New Roman" w:hAnsi="Verdana" w:cs="Calibri"/>
                <w:b/>
                <w:bCs/>
                <w:color w:val="365F91"/>
                <w:sz w:val="18"/>
                <w:szCs w:val="18"/>
                <w:lang w:val="en-CY" w:eastAsia="en-CY" w:bidi="he-IL"/>
              </w:rPr>
              <w:t xml:space="preserve"> </w:t>
            </w:r>
            <w:proofErr w:type="spellStart"/>
            <w:r w:rsidRPr="005908DA">
              <w:rPr>
                <w:rFonts w:ascii="Verdana" w:eastAsia="Times New Roman" w:hAnsi="Verdana" w:cs="Calibri"/>
                <w:b/>
                <w:bCs/>
                <w:color w:val="365F91"/>
                <w:sz w:val="18"/>
                <w:szCs w:val="18"/>
                <w:lang w:val="en-CY" w:eastAsia="en-CY" w:bidi="he-IL"/>
              </w:rPr>
              <w:t>δι</w:t>
            </w:r>
            <w:proofErr w:type="spellEnd"/>
            <w:r w:rsidRPr="005908DA">
              <w:rPr>
                <w:rFonts w:ascii="Verdana" w:eastAsia="Times New Roman" w:hAnsi="Verdana" w:cs="Calibri"/>
                <w:b/>
                <w:bCs/>
                <w:color w:val="365F91"/>
                <w:sz w:val="18"/>
                <w:szCs w:val="18"/>
                <w:lang w:val="en-CY" w:eastAsia="en-CY" w:bidi="he-IL"/>
              </w:rPr>
              <w:t>αμονής</w:t>
            </w:r>
          </w:p>
          <w:p w14:paraId="272E7580" w14:textId="77777777" w:rsidR="00FF7292" w:rsidRPr="005908DA" w:rsidRDefault="00FF7292" w:rsidP="00D02CA1">
            <w:pPr>
              <w:rPr>
                <w:rFonts w:ascii="Verdana" w:eastAsia="Times New Roman" w:hAnsi="Verdana" w:cs="Calibri"/>
                <w:b/>
                <w:bCs/>
                <w:color w:val="365F91"/>
                <w:sz w:val="18"/>
                <w:szCs w:val="18"/>
                <w:lang w:val="en-CY" w:eastAsia="en-CY" w:bidi="he-IL"/>
              </w:rPr>
            </w:pPr>
          </w:p>
          <w:p w14:paraId="3C5E6E11"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948" w:type="dxa"/>
            <w:tcBorders>
              <w:left w:val="double" w:sz="4" w:space="0" w:color="2F5496"/>
            </w:tcBorders>
            <w:shd w:val="clear" w:color="000000" w:fill="FFFFFF"/>
            <w:vAlign w:val="center"/>
            <w:hideMark/>
          </w:tcPr>
          <w:p w14:paraId="0DB14F5B"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2.786</w:t>
            </w:r>
          </w:p>
        </w:tc>
        <w:tc>
          <w:tcPr>
            <w:tcW w:w="921" w:type="dxa"/>
            <w:shd w:val="clear" w:color="000000" w:fill="FFFFFF"/>
            <w:vAlign w:val="center"/>
            <w:hideMark/>
          </w:tcPr>
          <w:p w14:paraId="663E0CFB"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2.885</w:t>
            </w:r>
          </w:p>
        </w:tc>
        <w:tc>
          <w:tcPr>
            <w:tcW w:w="1130" w:type="dxa"/>
            <w:tcBorders>
              <w:right w:val="double" w:sz="4" w:space="0" w:color="2F5496"/>
            </w:tcBorders>
            <w:shd w:val="clear" w:color="000000" w:fill="FFFFFF"/>
            <w:vAlign w:val="center"/>
            <w:hideMark/>
          </w:tcPr>
          <w:p w14:paraId="7584D87D"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2.571</w:t>
            </w:r>
          </w:p>
        </w:tc>
        <w:tc>
          <w:tcPr>
            <w:tcW w:w="948" w:type="dxa"/>
            <w:tcBorders>
              <w:left w:val="double" w:sz="4" w:space="0" w:color="2F5496"/>
            </w:tcBorders>
            <w:shd w:val="clear" w:color="000000" w:fill="FFFFFF"/>
            <w:vAlign w:val="center"/>
            <w:hideMark/>
          </w:tcPr>
          <w:p w14:paraId="0472356A"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4.777</w:t>
            </w:r>
          </w:p>
        </w:tc>
        <w:tc>
          <w:tcPr>
            <w:tcW w:w="921" w:type="dxa"/>
            <w:shd w:val="clear" w:color="000000" w:fill="FFFFFF"/>
            <w:vAlign w:val="center"/>
            <w:hideMark/>
          </w:tcPr>
          <w:p w14:paraId="2C77DCAE"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5.021</w:t>
            </w:r>
          </w:p>
        </w:tc>
        <w:tc>
          <w:tcPr>
            <w:tcW w:w="1130" w:type="dxa"/>
            <w:tcBorders>
              <w:right w:val="double" w:sz="4" w:space="0" w:color="2F5496"/>
            </w:tcBorders>
            <w:shd w:val="clear" w:color="000000" w:fill="FFFFFF"/>
            <w:vAlign w:val="center"/>
            <w:hideMark/>
          </w:tcPr>
          <w:p w14:paraId="0D59C96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4.255</w:t>
            </w:r>
          </w:p>
        </w:tc>
        <w:tc>
          <w:tcPr>
            <w:tcW w:w="1097" w:type="dxa"/>
            <w:tcBorders>
              <w:left w:val="double" w:sz="4" w:space="0" w:color="2F5496"/>
            </w:tcBorders>
            <w:shd w:val="clear" w:color="000000" w:fill="FFFFFF"/>
            <w:noWrap/>
            <w:vAlign w:val="center"/>
            <w:hideMark/>
          </w:tcPr>
          <w:p w14:paraId="488FD46C"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71,5</w:t>
            </w:r>
          </w:p>
        </w:tc>
        <w:tc>
          <w:tcPr>
            <w:tcW w:w="953" w:type="dxa"/>
            <w:shd w:val="clear" w:color="000000" w:fill="FFFFFF"/>
            <w:noWrap/>
            <w:vAlign w:val="center"/>
            <w:hideMark/>
          </w:tcPr>
          <w:p w14:paraId="50D51DEE" w14:textId="371613E8" w:rsidR="00FF7292" w:rsidRPr="00FF7292" w:rsidRDefault="00FF7292" w:rsidP="00D02CA1">
            <w:pPr>
              <w:jc w:val="right"/>
              <w:rPr>
                <w:rFonts w:ascii="Verdana" w:eastAsia="Times New Roman" w:hAnsi="Verdana" w:cs="Calibri"/>
                <w:color w:val="365F91"/>
                <w:sz w:val="18"/>
                <w:szCs w:val="18"/>
                <w:lang w:val="el-GR" w:eastAsia="en-CY" w:bidi="he-IL"/>
              </w:rPr>
            </w:pPr>
            <w:r w:rsidRPr="005908DA">
              <w:rPr>
                <w:rFonts w:ascii="Verdana" w:eastAsia="Times New Roman" w:hAnsi="Verdana" w:cs="Calibri"/>
                <w:color w:val="365F91"/>
                <w:sz w:val="18"/>
                <w:szCs w:val="18"/>
                <w:lang w:val="en-CY" w:eastAsia="en-CY" w:bidi="he-IL"/>
              </w:rPr>
              <w:t>74</w:t>
            </w:r>
            <w:r>
              <w:rPr>
                <w:rFonts w:ascii="Verdana" w:eastAsia="Times New Roman" w:hAnsi="Verdana" w:cs="Calibri"/>
                <w:color w:val="365F91"/>
                <w:sz w:val="18"/>
                <w:szCs w:val="18"/>
                <w:lang w:val="el-GR" w:eastAsia="en-CY" w:bidi="he-IL"/>
              </w:rPr>
              <w:t>,0</w:t>
            </w:r>
          </w:p>
        </w:tc>
        <w:tc>
          <w:tcPr>
            <w:tcW w:w="1130" w:type="dxa"/>
            <w:shd w:val="clear" w:color="000000" w:fill="FFFFFF"/>
            <w:noWrap/>
            <w:vAlign w:val="center"/>
            <w:hideMark/>
          </w:tcPr>
          <w:p w14:paraId="1AEA267A"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65,5</w:t>
            </w:r>
          </w:p>
        </w:tc>
      </w:tr>
      <w:tr w:rsidR="00FF7292" w:rsidRPr="005908DA" w14:paraId="39A1D0EB" w14:textId="77777777" w:rsidTr="00D02CA1">
        <w:trPr>
          <w:trHeight w:val="752"/>
          <w:jc w:val="center"/>
        </w:trPr>
        <w:tc>
          <w:tcPr>
            <w:tcW w:w="2125" w:type="dxa"/>
            <w:tcBorders>
              <w:right w:val="double" w:sz="4" w:space="0" w:color="2F5496"/>
            </w:tcBorders>
            <w:shd w:val="clear" w:color="000000" w:fill="FFFFFF"/>
            <w:vAlign w:val="center"/>
            <w:hideMark/>
          </w:tcPr>
          <w:p w14:paraId="6D48D297" w14:textId="77777777" w:rsidR="00FF7292" w:rsidRPr="005908DA" w:rsidRDefault="00FF7292" w:rsidP="00D02CA1">
            <w:pPr>
              <w:rPr>
                <w:rFonts w:ascii="Verdana" w:eastAsia="Times New Roman" w:hAnsi="Verdana" w:cs="Calibri"/>
                <w:b/>
                <w:bCs/>
                <w:color w:val="365F91"/>
                <w:sz w:val="18"/>
                <w:szCs w:val="18"/>
                <w:lang w:val="en-CY" w:eastAsia="en-CY" w:bidi="he-IL"/>
              </w:rPr>
            </w:pPr>
            <w:proofErr w:type="spellStart"/>
            <w:r w:rsidRPr="005908DA">
              <w:rPr>
                <w:rFonts w:ascii="Verdana" w:eastAsia="Times New Roman" w:hAnsi="Verdana" w:cs="Calibri"/>
                <w:b/>
                <w:bCs/>
                <w:color w:val="365F91"/>
                <w:sz w:val="18"/>
                <w:szCs w:val="18"/>
                <w:lang w:val="en-CY" w:eastAsia="en-CY" w:bidi="he-IL"/>
              </w:rPr>
              <w:t>Ασφάλειες</w:t>
            </w:r>
            <w:proofErr w:type="spellEnd"/>
            <w:r w:rsidRPr="005908DA">
              <w:rPr>
                <w:rFonts w:ascii="Verdana" w:eastAsia="Times New Roman" w:hAnsi="Verdana" w:cs="Calibri"/>
                <w:b/>
                <w:bCs/>
                <w:color w:val="365F91"/>
                <w:sz w:val="18"/>
                <w:szCs w:val="18"/>
                <w:lang w:val="en-CY" w:eastAsia="en-CY" w:bidi="he-IL"/>
              </w:rPr>
              <w:t xml:space="preserve"> και </w:t>
            </w:r>
            <w:proofErr w:type="spellStart"/>
            <w:r w:rsidRPr="005908DA">
              <w:rPr>
                <w:rFonts w:ascii="Verdana" w:eastAsia="Times New Roman" w:hAnsi="Verdana" w:cs="Calibri"/>
                <w:b/>
                <w:bCs/>
                <w:color w:val="365F91"/>
                <w:sz w:val="18"/>
                <w:szCs w:val="18"/>
                <w:lang w:val="en-CY" w:eastAsia="en-CY" w:bidi="he-IL"/>
              </w:rPr>
              <w:t>χρημ</w:t>
            </w:r>
            <w:proofErr w:type="spellEnd"/>
            <w:r w:rsidRPr="005908DA">
              <w:rPr>
                <w:rFonts w:ascii="Verdana" w:eastAsia="Times New Roman" w:hAnsi="Verdana" w:cs="Calibri"/>
                <w:b/>
                <w:bCs/>
                <w:color w:val="365F91"/>
                <w:sz w:val="18"/>
                <w:szCs w:val="18"/>
                <w:lang w:val="en-CY" w:eastAsia="en-CY" w:bidi="he-IL"/>
              </w:rPr>
              <w:t>ατοπιστωτικές υπ</w:t>
            </w:r>
            <w:proofErr w:type="spellStart"/>
            <w:r w:rsidRPr="005908DA">
              <w:rPr>
                <w:rFonts w:ascii="Verdana" w:eastAsia="Times New Roman" w:hAnsi="Verdana" w:cs="Calibri"/>
                <w:b/>
                <w:bCs/>
                <w:color w:val="365F91"/>
                <w:sz w:val="18"/>
                <w:szCs w:val="18"/>
                <w:lang w:val="en-CY" w:eastAsia="en-CY" w:bidi="he-IL"/>
              </w:rPr>
              <w:t>ηρεσίες</w:t>
            </w:r>
            <w:proofErr w:type="spellEnd"/>
          </w:p>
          <w:p w14:paraId="1DC3EA3C" w14:textId="77777777" w:rsidR="00FF7292" w:rsidRPr="005908DA" w:rsidRDefault="00FF7292" w:rsidP="00D02CA1">
            <w:pPr>
              <w:rPr>
                <w:rFonts w:ascii="Verdana" w:eastAsia="Times New Roman" w:hAnsi="Verdana" w:cs="Calibri"/>
                <w:b/>
                <w:bCs/>
                <w:color w:val="365F91"/>
                <w:sz w:val="18"/>
                <w:szCs w:val="18"/>
                <w:lang w:val="en-CY" w:eastAsia="en-CY" w:bidi="he-IL"/>
              </w:rPr>
            </w:pPr>
          </w:p>
          <w:p w14:paraId="7FFDD18A" w14:textId="77777777" w:rsidR="00FF7292" w:rsidRPr="005908DA" w:rsidRDefault="00FF7292" w:rsidP="00D02CA1">
            <w:pPr>
              <w:rPr>
                <w:rFonts w:ascii="Verdana" w:eastAsia="Times New Roman" w:hAnsi="Verdana" w:cs="Calibri"/>
                <w:b/>
                <w:bCs/>
                <w:color w:val="365F91"/>
                <w:sz w:val="18"/>
                <w:szCs w:val="18"/>
                <w:lang w:val="en-CY" w:eastAsia="en-CY" w:bidi="he-IL"/>
              </w:rPr>
            </w:pPr>
          </w:p>
        </w:tc>
        <w:tc>
          <w:tcPr>
            <w:tcW w:w="948" w:type="dxa"/>
            <w:tcBorders>
              <w:left w:val="double" w:sz="4" w:space="0" w:color="2F5496"/>
            </w:tcBorders>
            <w:shd w:val="clear" w:color="000000" w:fill="FFFFFF"/>
            <w:vAlign w:val="center"/>
            <w:hideMark/>
          </w:tcPr>
          <w:p w14:paraId="475CA1DB"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921</w:t>
            </w:r>
          </w:p>
        </w:tc>
        <w:tc>
          <w:tcPr>
            <w:tcW w:w="921" w:type="dxa"/>
            <w:shd w:val="clear" w:color="000000" w:fill="FFFFFF"/>
            <w:vAlign w:val="center"/>
            <w:hideMark/>
          </w:tcPr>
          <w:p w14:paraId="47BA18D0"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969</w:t>
            </w:r>
          </w:p>
        </w:tc>
        <w:tc>
          <w:tcPr>
            <w:tcW w:w="1130" w:type="dxa"/>
            <w:tcBorders>
              <w:right w:val="double" w:sz="4" w:space="0" w:color="2F5496"/>
            </w:tcBorders>
            <w:shd w:val="clear" w:color="000000" w:fill="FFFFFF"/>
            <w:vAlign w:val="center"/>
            <w:hideMark/>
          </w:tcPr>
          <w:p w14:paraId="4956BDA0"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818</w:t>
            </w:r>
          </w:p>
        </w:tc>
        <w:tc>
          <w:tcPr>
            <w:tcW w:w="948" w:type="dxa"/>
            <w:tcBorders>
              <w:left w:val="double" w:sz="4" w:space="0" w:color="2F5496"/>
            </w:tcBorders>
            <w:shd w:val="clear" w:color="000000" w:fill="FFFFFF"/>
            <w:vAlign w:val="center"/>
            <w:hideMark/>
          </w:tcPr>
          <w:p w14:paraId="1FB589B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2.086</w:t>
            </w:r>
          </w:p>
        </w:tc>
        <w:tc>
          <w:tcPr>
            <w:tcW w:w="921" w:type="dxa"/>
            <w:shd w:val="clear" w:color="000000" w:fill="FFFFFF"/>
            <w:vAlign w:val="center"/>
            <w:hideMark/>
          </w:tcPr>
          <w:p w14:paraId="12708B6C"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2.149</w:t>
            </w:r>
          </w:p>
        </w:tc>
        <w:tc>
          <w:tcPr>
            <w:tcW w:w="1130" w:type="dxa"/>
            <w:tcBorders>
              <w:right w:val="double" w:sz="4" w:space="0" w:color="2F5496"/>
            </w:tcBorders>
            <w:shd w:val="clear" w:color="000000" w:fill="FFFFFF"/>
            <w:vAlign w:val="center"/>
            <w:hideMark/>
          </w:tcPr>
          <w:p w14:paraId="02A15739"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1.953</w:t>
            </w:r>
          </w:p>
        </w:tc>
        <w:tc>
          <w:tcPr>
            <w:tcW w:w="1097" w:type="dxa"/>
            <w:tcBorders>
              <w:left w:val="double" w:sz="4" w:space="0" w:color="2F5496"/>
            </w:tcBorders>
            <w:shd w:val="clear" w:color="000000" w:fill="FFFFFF"/>
            <w:noWrap/>
            <w:vAlign w:val="center"/>
            <w:hideMark/>
          </w:tcPr>
          <w:p w14:paraId="029BE6E6"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126,5</w:t>
            </w:r>
          </w:p>
        </w:tc>
        <w:tc>
          <w:tcPr>
            <w:tcW w:w="953" w:type="dxa"/>
            <w:shd w:val="clear" w:color="000000" w:fill="FFFFFF"/>
            <w:noWrap/>
            <w:vAlign w:val="center"/>
            <w:hideMark/>
          </w:tcPr>
          <w:p w14:paraId="31F5BA15"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121,8</w:t>
            </w:r>
          </w:p>
        </w:tc>
        <w:tc>
          <w:tcPr>
            <w:tcW w:w="1130" w:type="dxa"/>
            <w:shd w:val="clear" w:color="000000" w:fill="FFFFFF"/>
            <w:noWrap/>
            <w:vAlign w:val="center"/>
            <w:hideMark/>
          </w:tcPr>
          <w:p w14:paraId="3AF08EC4"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138,8</w:t>
            </w:r>
          </w:p>
        </w:tc>
      </w:tr>
      <w:tr w:rsidR="00FF7292" w:rsidRPr="005908DA" w14:paraId="31FAE995" w14:textId="77777777" w:rsidTr="00D02CA1">
        <w:trPr>
          <w:trHeight w:val="720"/>
          <w:jc w:val="center"/>
        </w:trPr>
        <w:tc>
          <w:tcPr>
            <w:tcW w:w="2125" w:type="dxa"/>
            <w:tcBorders>
              <w:bottom w:val="single" w:sz="4" w:space="0" w:color="2F5496"/>
              <w:right w:val="double" w:sz="4" w:space="0" w:color="2F5496"/>
            </w:tcBorders>
            <w:shd w:val="clear" w:color="000000" w:fill="FFFFFF"/>
            <w:vAlign w:val="center"/>
            <w:hideMark/>
          </w:tcPr>
          <w:p w14:paraId="0FD88770" w14:textId="77777777" w:rsidR="00FF7292" w:rsidRPr="005908DA" w:rsidRDefault="00FF7292" w:rsidP="00D02CA1">
            <w:pPr>
              <w:rPr>
                <w:rFonts w:ascii="Verdana" w:eastAsia="Times New Roman" w:hAnsi="Verdana" w:cs="Calibri"/>
                <w:b/>
                <w:bCs/>
                <w:color w:val="365F91"/>
                <w:sz w:val="18"/>
                <w:szCs w:val="18"/>
                <w:lang w:val="el-GR" w:eastAsia="en-CY" w:bidi="he-IL"/>
              </w:rPr>
            </w:pPr>
            <w:r w:rsidRPr="005908DA">
              <w:rPr>
                <w:rFonts w:ascii="Verdana" w:eastAsia="Times New Roman" w:hAnsi="Verdana" w:cs="Calibri"/>
                <w:b/>
                <w:bCs/>
                <w:color w:val="365F91"/>
                <w:sz w:val="18"/>
                <w:szCs w:val="18"/>
                <w:lang w:val="el-GR" w:eastAsia="en-CY" w:bidi="he-IL"/>
              </w:rPr>
              <w:t xml:space="preserve">Προσωπική φροντίδα, κοινωνική προστασία και διάφορα αγαθά και υπηρεσίες                                </w:t>
            </w:r>
          </w:p>
        </w:tc>
        <w:tc>
          <w:tcPr>
            <w:tcW w:w="948" w:type="dxa"/>
            <w:tcBorders>
              <w:left w:val="double" w:sz="4" w:space="0" w:color="2F5496"/>
              <w:bottom w:val="single" w:sz="4" w:space="0" w:color="2F5496"/>
            </w:tcBorders>
            <w:shd w:val="clear" w:color="000000" w:fill="FFFFFF"/>
            <w:vAlign w:val="center"/>
            <w:hideMark/>
          </w:tcPr>
          <w:p w14:paraId="00D092C8"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1.420</w:t>
            </w:r>
          </w:p>
        </w:tc>
        <w:tc>
          <w:tcPr>
            <w:tcW w:w="921" w:type="dxa"/>
            <w:tcBorders>
              <w:bottom w:val="single" w:sz="4" w:space="0" w:color="2F5496"/>
            </w:tcBorders>
            <w:shd w:val="clear" w:color="000000" w:fill="FFFFFF"/>
            <w:vAlign w:val="center"/>
            <w:hideMark/>
          </w:tcPr>
          <w:p w14:paraId="5C9BB3E2"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1.506</w:t>
            </w:r>
          </w:p>
        </w:tc>
        <w:tc>
          <w:tcPr>
            <w:tcW w:w="1130" w:type="dxa"/>
            <w:tcBorders>
              <w:bottom w:val="single" w:sz="4" w:space="0" w:color="2F5496"/>
              <w:right w:val="double" w:sz="4" w:space="0" w:color="2F5496"/>
            </w:tcBorders>
            <w:shd w:val="clear" w:color="000000" w:fill="FFFFFF"/>
            <w:vAlign w:val="center"/>
            <w:hideMark/>
          </w:tcPr>
          <w:p w14:paraId="5C50CBE7"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1.232</w:t>
            </w:r>
          </w:p>
        </w:tc>
        <w:tc>
          <w:tcPr>
            <w:tcW w:w="948" w:type="dxa"/>
            <w:tcBorders>
              <w:left w:val="double" w:sz="4" w:space="0" w:color="2F5496"/>
              <w:bottom w:val="single" w:sz="4" w:space="0" w:color="2F5496"/>
            </w:tcBorders>
            <w:shd w:val="clear" w:color="000000" w:fill="FFFFFF"/>
            <w:vAlign w:val="center"/>
            <w:hideMark/>
          </w:tcPr>
          <w:p w14:paraId="22AB4A51"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2.075</w:t>
            </w:r>
          </w:p>
        </w:tc>
        <w:tc>
          <w:tcPr>
            <w:tcW w:w="921" w:type="dxa"/>
            <w:tcBorders>
              <w:bottom w:val="single" w:sz="4" w:space="0" w:color="2F5496"/>
            </w:tcBorders>
            <w:shd w:val="clear" w:color="000000" w:fill="FFFFFF"/>
            <w:vAlign w:val="center"/>
            <w:hideMark/>
          </w:tcPr>
          <w:p w14:paraId="204EC066"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2.080</w:t>
            </w:r>
          </w:p>
        </w:tc>
        <w:tc>
          <w:tcPr>
            <w:tcW w:w="1130" w:type="dxa"/>
            <w:tcBorders>
              <w:bottom w:val="single" w:sz="4" w:space="0" w:color="2F5496"/>
              <w:right w:val="double" w:sz="4" w:space="0" w:color="2F5496"/>
            </w:tcBorders>
            <w:shd w:val="clear" w:color="000000" w:fill="FFFFFF"/>
            <w:vAlign w:val="center"/>
            <w:hideMark/>
          </w:tcPr>
          <w:p w14:paraId="0837BAA9"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2.066</w:t>
            </w:r>
          </w:p>
        </w:tc>
        <w:tc>
          <w:tcPr>
            <w:tcW w:w="1097" w:type="dxa"/>
            <w:tcBorders>
              <w:left w:val="double" w:sz="4" w:space="0" w:color="2F5496"/>
              <w:bottom w:val="single" w:sz="4" w:space="0" w:color="2F5496"/>
            </w:tcBorders>
            <w:shd w:val="clear" w:color="000000" w:fill="FFFFFF"/>
            <w:noWrap/>
            <w:vAlign w:val="center"/>
            <w:hideMark/>
          </w:tcPr>
          <w:p w14:paraId="5D00A24F"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46,1</w:t>
            </w:r>
          </w:p>
        </w:tc>
        <w:tc>
          <w:tcPr>
            <w:tcW w:w="953" w:type="dxa"/>
            <w:tcBorders>
              <w:bottom w:val="single" w:sz="4" w:space="0" w:color="2F5496"/>
            </w:tcBorders>
            <w:shd w:val="clear" w:color="000000" w:fill="FFFFFF"/>
            <w:noWrap/>
            <w:vAlign w:val="center"/>
            <w:hideMark/>
          </w:tcPr>
          <w:p w14:paraId="7C5FA463"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38,1</w:t>
            </w:r>
          </w:p>
        </w:tc>
        <w:tc>
          <w:tcPr>
            <w:tcW w:w="1130" w:type="dxa"/>
            <w:tcBorders>
              <w:bottom w:val="single" w:sz="4" w:space="0" w:color="2F5496"/>
            </w:tcBorders>
            <w:shd w:val="clear" w:color="000000" w:fill="FFFFFF"/>
            <w:noWrap/>
            <w:vAlign w:val="center"/>
            <w:hideMark/>
          </w:tcPr>
          <w:p w14:paraId="7C32552F" w14:textId="77777777" w:rsidR="00FF7292" w:rsidRPr="005908DA" w:rsidRDefault="00FF7292" w:rsidP="00D02CA1">
            <w:pPr>
              <w:jc w:val="right"/>
              <w:rPr>
                <w:rFonts w:ascii="Verdana" w:eastAsia="Times New Roman" w:hAnsi="Verdana" w:cs="Calibri"/>
                <w:color w:val="365F91"/>
                <w:sz w:val="18"/>
                <w:szCs w:val="18"/>
                <w:lang w:val="en-CY" w:eastAsia="en-CY" w:bidi="he-IL"/>
              </w:rPr>
            </w:pPr>
            <w:r w:rsidRPr="005908DA">
              <w:rPr>
                <w:rFonts w:ascii="Verdana" w:eastAsia="Times New Roman" w:hAnsi="Verdana" w:cs="Calibri"/>
                <w:color w:val="365F91"/>
                <w:sz w:val="18"/>
                <w:szCs w:val="18"/>
                <w:lang w:val="en-CY" w:eastAsia="en-CY" w:bidi="he-IL"/>
              </w:rPr>
              <w:t>67,7</w:t>
            </w:r>
          </w:p>
        </w:tc>
      </w:tr>
    </w:tbl>
    <w:p w14:paraId="01DFB633" w14:textId="77777777" w:rsidR="00FF7292" w:rsidRPr="005908DA" w:rsidRDefault="00FF7292" w:rsidP="00FF7292">
      <w:pPr>
        <w:jc w:val="both"/>
        <w:rPr>
          <w:rFonts w:ascii="Verdana" w:eastAsia="Malgun Gothic" w:hAnsi="Verdana" w:cs="Arial"/>
          <w:sz w:val="18"/>
          <w:szCs w:val="18"/>
          <w:lang w:val="el-GR"/>
        </w:rPr>
      </w:pPr>
    </w:p>
    <w:p w14:paraId="7E5D776C" w14:textId="77777777" w:rsidR="00FF7292" w:rsidRDefault="00FF7292" w:rsidP="00FF7292">
      <w:pPr>
        <w:jc w:val="both"/>
        <w:rPr>
          <w:rFonts w:ascii="Verdana" w:eastAsia="Malgun Gothic" w:hAnsi="Verdana" w:cs="Arial"/>
          <w:sz w:val="18"/>
          <w:szCs w:val="18"/>
          <w:lang w:val="el-GR"/>
        </w:rPr>
      </w:pPr>
    </w:p>
    <w:p w14:paraId="62BB7394" w14:textId="77777777" w:rsidR="00FF7292" w:rsidRDefault="00FF7292" w:rsidP="00FF7292">
      <w:pPr>
        <w:jc w:val="both"/>
        <w:rPr>
          <w:rFonts w:ascii="Verdana" w:eastAsia="Malgun Gothic" w:hAnsi="Verdana" w:cs="Arial"/>
          <w:sz w:val="18"/>
          <w:szCs w:val="18"/>
          <w:lang w:val="el-GR"/>
        </w:rPr>
      </w:pPr>
    </w:p>
    <w:p w14:paraId="4C4DE396" w14:textId="77777777" w:rsidR="00FF7292" w:rsidRDefault="00FF7292" w:rsidP="00FF7292">
      <w:pPr>
        <w:jc w:val="both"/>
        <w:rPr>
          <w:rFonts w:ascii="Verdana" w:eastAsia="Malgun Gothic" w:hAnsi="Verdana" w:cs="Arial"/>
          <w:sz w:val="18"/>
          <w:szCs w:val="18"/>
          <w:lang w:val="el-GR"/>
        </w:rPr>
      </w:pPr>
    </w:p>
    <w:p w14:paraId="6320BDC4" w14:textId="77777777" w:rsidR="00FF7292" w:rsidRDefault="00FF7292" w:rsidP="00FF7292">
      <w:pPr>
        <w:jc w:val="both"/>
        <w:rPr>
          <w:rFonts w:ascii="Verdana" w:eastAsia="Malgun Gothic" w:hAnsi="Verdana" w:cs="Arial"/>
          <w:sz w:val="18"/>
          <w:szCs w:val="18"/>
          <w:lang w:val="el-GR"/>
        </w:rPr>
      </w:pPr>
    </w:p>
    <w:p w14:paraId="7A1D04F5" w14:textId="77777777" w:rsidR="00FF7292" w:rsidRDefault="00FF7292" w:rsidP="00FF7292">
      <w:pPr>
        <w:jc w:val="both"/>
        <w:rPr>
          <w:rFonts w:ascii="Verdana" w:eastAsia="Malgun Gothic" w:hAnsi="Verdana" w:cs="Arial"/>
          <w:sz w:val="18"/>
          <w:szCs w:val="18"/>
          <w:lang w:val="el-GR"/>
        </w:rPr>
      </w:pPr>
    </w:p>
    <w:p w14:paraId="0EDC129A" w14:textId="77777777" w:rsidR="00703204" w:rsidRDefault="00703204" w:rsidP="00FF7292">
      <w:pPr>
        <w:jc w:val="both"/>
        <w:rPr>
          <w:rFonts w:ascii="Verdana" w:eastAsia="Malgun Gothic" w:hAnsi="Verdana" w:cs="Arial"/>
          <w:sz w:val="18"/>
          <w:szCs w:val="18"/>
          <w:lang w:val="el-GR"/>
        </w:rPr>
      </w:pPr>
    </w:p>
    <w:p w14:paraId="58F9B96D" w14:textId="77777777" w:rsidR="00703204" w:rsidRPr="00FA05F3" w:rsidRDefault="00703204" w:rsidP="00FF7292">
      <w:pPr>
        <w:jc w:val="both"/>
        <w:rPr>
          <w:rFonts w:ascii="Verdana" w:eastAsia="Malgun Gothic" w:hAnsi="Verdana" w:cs="Arial"/>
          <w:sz w:val="18"/>
          <w:szCs w:val="18"/>
          <w:lang w:val="el-GR"/>
        </w:rPr>
      </w:pPr>
    </w:p>
    <w:p w14:paraId="46541567" w14:textId="77777777" w:rsidR="00FF7292" w:rsidRPr="00D9407B" w:rsidRDefault="00FF7292" w:rsidP="00FF7292">
      <w:pPr>
        <w:jc w:val="center"/>
        <w:rPr>
          <w:rFonts w:ascii="Verdana" w:eastAsia="Malgun Gothic" w:hAnsi="Verdana" w:cs="Arial"/>
          <w:b/>
          <w:u w:val="single"/>
          <w:lang w:val="el-GR"/>
        </w:rPr>
      </w:pPr>
      <w:r w:rsidRPr="00D9407B">
        <w:rPr>
          <w:rFonts w:ascii="Verdana" w:eastAsia="Malgun Gothic" w:hAnsi="Verdana" w:cs="Arial"/>
          <w:b/>
          <w:u w:val="single"/>
          <w:lang w:val="el-GR"/>
        </w:rPr>
        <w:lastRenderedPageBreak/>
        <w:t>ΜΕΘΟΔΟΛΟΓΙΚΕΣ ΠΛΗΡΟΦΟΡΙΕΣ</w:t>
      </w:r>
    </w:p>
    <w:p w14:paraId="22C5E790" w14:textId="77777777" w:rsidR="00FF7292" w:rsidRPr="00D9407B" w:rsidRDefault="00FF7292" w:rsidP="00FF7292">
      <w:pPr>
        <w:jc w:val="both"/>
        <w:rPr>
          <w:rFonts w:ascii="Verdana" w:eastAsia="Malgun Gothic" w:hAnsi="Verdana" w:cs="Arial"/>
          <w:b/>
          <w:sz w:val="20"/>
          <w:szCs w:val="20"/>
          <w:u w:val="single"/>
          <w:lang w:val="el-GR"/>
        </w:rPr>
      </w:pPr>
    </w:p>
    <w:p w14:paraId="1D513C4E" w14:textId="77777777" w:rsidR="00FF7292" w:rsidRPr="005908DA" w:rsidRDefault="00FF7292" w:rsidP="00FF7292">
      <w:pPr>
        <w:jc w:val="both"/>
        <w:rPr>
          <w:rFonts w:ascii="Verdana" w:eastAsia="Malgun Gothic" w:hAnsi="Verdana" w:cs="Arial"/>
          <w:b/>
          <w:sz w:val="18"/>
          <w:szCs w:val="18"/>
          <w:u w:val="single"/>
          <w:lang w:val="el-GR"/>
        </w:rPr>
      </w:pPr>
      <w:r w:rsidRPr="005908DA">
        <w:rPr>
          <w:rFonts w:ascii="Verdana" w:eastAsia="Malgun Gothic" w:hAnsi="Verdana" w:cs="Arial"/>
          <w:b/>
          <w:sz w:val="18"/>
          <w:szCs w:val="18"/>
          <w:u w:val="single"/>
          <w:lang w:val="el-GR"/>
        </w:rPr>
        <w:t xml:space="preserve">Ταυτότητα της </w:t>
      </w:r>
      <w:r>
        <w:rPr>
          <w:rFonts w:ascii="Verdana" w:eastAsia="Malgun Gothic" w:hAnsi="Verdana" w:cs="Arial"/>
          <w:b/>
          <w:sz w:val="18"/>
          <w:szCs w:val="18"/>
          <w:u w:val="single"/>
          <w:lang w:val="el-GR"/>
        </w:rPr>
        <w:t>Έ</w:t>
      </w:r>
      <w:r w:rsidRPr="005908DA">
        <w:rPr>
          <w:rFonts w:ascii="Verdana" w:eastAsia="Malgun Gothic" w:hAnsi="Verdana" w:cs="Arial"/>
          <w:b/>
          <w:sz w:val="18"/>
          <w:szCs w:val="18"/>
          <w:u w:val="single"/>
          <w:lang w:val="el-GR"/>
        </w:rPr>
        <w:t>ρευνας</w:t>
      </w:r>
    </w:p>
    <w:p w14:paraId="508350A1" w14:textId="77777777" w:rsidR="00FF7292" w:rsidRPr="005908DA" w:rsidRDefault="00FF7292" w:rsidP="00FF7292">
      <w:pPr>
        <w:jc w:val="both"/>
        <w:rPr>
          <w:rFonts w:ascii="Verdana" w:eastAsia="Malgun Gothic" w:hAnsi="Verdana" w:cs="Arial"/>
          <w:sz w:val="18"/>
          <w:szCs w:val="18"/>
          <w:lang w:val="el-GR"/>
        </w:rPr>
      </w:pPr>
    </w:p>
    <w:p w14:paraId="58B91797" w14:textId="77777777"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sz w:val="18"/>
          <w:szCs w:val="18"/>
          <w:lang w:val="el-GR"/>
        </w:rPr>
        <w:t xml:space="preserve">Το περιεχόμενο, οι </w:t>
      </w:r>
      <w:proofErr w:type="spellStart"/>
      <w:r w:rsidRPr="005908DA">
        <w:rPr>
          <w:rFonts w:ascii="Verdana" w:eastAsia="Malgun Gothic" w:hAnsi="Verdana" w:cs="Arial"/>
          <w:sz w:val="18"/>
          <w:szCs w:val="18"/>
          <w:lang w:val="el-GR"/>
        </w:rPr>
        <w:t>μεθόδοι</w:t>
      </w:r>
      <w:proofErr w:type="spellEnd"/>
      <w:r w:rsidRPr="005908DA">
        <w:rPr>
          <w:rFonts w:ascii="Verdana" w:eastAsia="Malgun Gothic" w:hAnsi="Verdana" w:cs="Arial"/>
          <w:sz w:val="18"/>
          <w:szCs w:val="18"/>
          <w:lang w:val="el-GR"/>
        </w:rPr>
        <w:t xml:space="preserve"> και οι ορισμοί της Έρευνας Οικογενειακών Προϋπολογισμών 2023 καταρτίζονται και εφαρμόζονται σύμφωνα με τις συστάσεις και τη μεθοδολογία της Ευρωπαϊκής Στατιστικής Υπηρεσίας (EUROSTAT).  </w:t>
      </w:r>
    </w:p>
    <w:p w14:paraId="4FCAD34C" w14:textId="77777777" w:rsidR="00FF7292" w:rsidRPr="005908DA" w:rsidRDefault="00FF7292" w:rsidP="00FF7292">
      <w:pPr>
        <w:jc w:val="both"/>
        <w:rPr>
          <w:rFonts w:ascii="Verdana" w:eastAsia="Malgun Gothic" w:hAnsi="Verdana" w:cs="Arial"/>
          <w:b/>
          <w:sz w:val="18"/>
          <w:szCs w:val="18"/>
          <w:u w:val="single"/>
          <w:lang w:val="el-GR"/>
        </w:rPr>
      </w:pPr>
    </w:p>
    <w:p w14:paraId="3318E37A" w14:textId="77777777" w:rsidR="00FF7292" w:rsidRPr="005908DA" w:rsidRDefault="00FF7292" w:rsidP="00FF7292">
      <w:pPr>
        <w:jc w:val="both"/>
        <w:rPr>
          <w:rFonts w:ascii="Verdana" w:eastAsia="Malgun Gothic" w:hAnsi="Verdana" w:cs="Arial"/>
          <w:b/>
          <w:sz w:val="18"/>
          <w:szCs w:val="18"/>
          <w:u w:val="single"/>
          <w:lang w:val="el-GR"/>
        </w:rPr>
      </w:pPr>
      <w:r w:rsidRPr="005908DA">
        <w:rPr>
          <w:rFonts w:ascii="Verdana" w:eastAsia="Malgun Gothic" w:hAnsi="Verdana" w:cs="Arial"/>
          <w:b/>
          <w:sz w:val="18"/>
          <w:szCs w:val="18"/>
          <w:u w:val="single"/>
          <w:lang w:val="el-GR"/>
        </w:rPr>
        <w:t xml:space="preserve">Στόχοι της </w:t>
      </w:r>
      <w:r>
        <w:rPr>
          <w:rFonts w:ascii="Verdana" w:eastAsia="Malgun Gothic" w:hAnsi="Verdana" w:cs="Arial"/>
          <w:b/>
          <w:sz w:val="18"/>
          <w:szCs w:val="18"/>
          <w:u w:val="single"/>
          <w:lang w:val="el-GR"/>
        </w:rPr>
        <w:t>Έ</w:t>
      </w:r>
      <w:r w:rsidRPr="005908DA">
        <w:rPr>
          <w:rFonts w:ascii="Verdana" w:eastAsia="Malgun Gothic" w:hAnsi="Verdana" w:cs="Arial"/>
          <w:b/>
          <w:sz w:val="18"/>
          <w:szCs w:val="18"/>
          <w:u w:val="single"/>
          <w:lang w:val="el-GR"/>
        </w:rPr>
        <w:t>ρευνας</w:t>
      </w:r>
    </w:p>
    <w:p w14:paraId="5CDB8321" w14:textId="77777777" w:rsidR="00FF7292" w:rsidRPr="005908DA" w:rsidRDefault="00FF7292" w:rsidP="00FF7292">
      <w:pPr>
        <w:jc w:val="both"/>
        <w:rPr>
          <w:rFonts w:ascii="Verdana" w:eastAsia="Malgun Gothic" w:hAnsi="Verdana" w:cs="Arial"/>
          <w:b/>
          <w:sz w:val="18"/>
          <w:szCs w:val="18"/>
          <w:u w:val="single"/>
          <w:lang w:val="el-GR"/>
        </w:rPr>
      </w:pPr>
    </w:p>
    <w:p w14:paraId="6C427196" w14:textId="77777777"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sz w:val="18"/>
          <w:szCs w:val="18"/>
          <w:lang w:val="el-GR"/>
        </w:rPr>
        <w:t>Στόχος της Έρευνας Οικογενειακών Προϋπολογισμών (ΕΟΠ) είναι η συλλογή στοιχείων που αποτυπώνουν τις αγοραστικές τάσεις και συνήθειες των νοικοκυριών καθ’ όλη τη διάρκεια του έτους. Τα δεδομένα που προκύπτουν από την έρευνα αξιοποιούνται για τους ακόλουθους σκοπούς:</w:t>
      </w:r>
    </w:p>
    <w:p w14:paraId="4C0C7736" w14:textId="77777777" w:rsidR="00FF7292" w:rsidRPr="005908DA" w:rsidRDefault="00FF7292" w:rsidP="00FF7292">
      <w:pPr>
        <w:jc w:val="both"/>
        <w:rPr>
          <w:rFonts w:ascii="Verdana" w:eastAsia="Malgun Gothic" w:hAnsi="Verdana" w:cs="Arial"/>
          <w:sz w:val="18"/>
          <w:szCs w:val="18"/>
          <w:lang w:val="el-GR"/>
        </w:rPr>
      </w:pPr>
    </w:p>
    <w:p w14:paraId="154625DE" w14:textId="77777777" w:rsidR="00FF7292" w:rsidRPr="005908DA" w:rsidRDefault="00FF7292" w:rsidP="00FF7292">
      <w:pPr>
        <w:numPr>
          <w:ilvl w:val="0"/>
          <w:numId w:val="7"/>
        </w:numPr>
        <w:spacing w:after="120"/>
        <w:ind w:left="284" w:hanging="284"/>
        <w:jc w:val="both"/>
        <w:rPr>
          <w:rFonts w:ascii="Verdana" w:eastAsia="Malgun Gothic" w:hAnsi="Verdana" w:cs="Arial"/>
          <w:sz w:val="18"/>
          <w:szCs w:val="18"/>
          <w:lang w:val="el-GR"/>
        </w:rPr>
      </w:pPr>
      <w:r w:rsidRPr="005908DA">
        <w:rPr>
          <w:rFonts w:ascii="Verdana" w:eastAsia="Malgun Gothic" w:hAnsi="Verdana" w:cs="Arial"/>
          <w:sz w:val="18"/>
          <w:szCs w:val="18"/>
          <w:lang w:val="el-GR"/>
        </w:rPr>
        <w:t>την αναθεώρηση των αντιπροσωπευτικών αγαθών και υπηρεσιών που περιλαμβάνονται στο «καλάθι του νοικοκυριού», καθώς και των συντελεστών στάθμισης που καθορίζουν τη σχετική βαρύτητα κάθε αγαθού και υπηρεσίας στο πλαίσιο του Δείκτη Τιμών Καταναλωτή,</w:t>
      </w:r>
    </w:p>
    <w:p w14:paraId="3F27618F" w14:textId="77777777" w:rsidR="00FF7292" w:rsidRPr="005908DA" w:rsidRDefault="00FF7292" w:rsidP="00FF7292">
      <w:pPr>
        <w:numPr>
          <w:ilvl w:val="0"/>
          <w:numId w:val="7"/>
        </w:numPr>
        <w:spacing w:after="120"/>
        <w:ind w:left="284" w:hanging="284"/>
        <w:jc w:val="both"/>
        <w:rPr>
          <w:rFonts w:ascii="Verdana" w:eastAsia="Malgun Gothic" w:hAnsi="Verdana" w:cs="Arial"/>
          <w:sz w:val="18"/>
          <w:szCs w:val="18"/>
          <w:lang w:val="el-GR"/>
        </w:rPr>
      </w:pPr>
      <w:r w:rsidRPr="005908DA">
        <w:rPr>
          <w:rFonts w:ascii="Verdana" w:eastAsia="Malgun Gothic" w:hAnsi="Verdana" w:cs="Arial"/>
          <w:sz w:val="18"/>
          <w:szCs w:val="18"/>
          <w:lang w:val="el-GR"/>
        </w:rPr>
        <w:t>την επικαιροποίηση των μεγεθών που αφορούν στην εκτίμηση της ιδιωτικής κατανάλωσης στο σύστημα εθνικών λογαριασμών,</w:t>
      </w:r>
    </w:p>
    <w:p w14:paraId="64D66F5B" w14:textId="77777777" w:rsidR="00FF7292" w:rsidRPr="005908DA" w:rsidRDefault="00FF7292" w:rsidP="00FF7292">
      <w:pPr>
        <w:numPr>
          <w:ilvl w:val="0"/>
          <w:numId w:val="7"/>
        </w:numPr>
        <w:spacing w:after="120"/>
        <w:ind w:left="284" w:hanging="284"/>
        <w:jc w:val="both"/>
        <w:rPr>
          <w:rFonts w:ascii="Verdana" w:eastAsia="Malgun Gothic" w:hAnsi="Verdana" w:cs="Arial"/>
          <w:sz w:val="18"/>
          <w:szCs w:val="18"/>
          <w:lang w:val="el-GR"/>
        </w:rPr>
      </w:pPr>
      <w:r w:rsidRPr="005908DA">
        <w:rPr>
          <w:rFonts w:ascii="Verdana" w:eastAsia="Malgun Gothic" w:hAnsi="Verdana" w:cs="Arial"/>
          <w:sz w:val="18"/>
          <w:szCs w:val="18"/>
          <w:lang w:val="el-GR"/>
        </w:rPr>
        <w:t>την ανάλυση του ύψους και της κατανομής των δαπανών και του εισοδήματος των νοικοκυριών, κατά πηγή εισοδήματος και κατά διάφορες κοινωνικοοικονομικές και δημογραφικές ομάδες,</w:t>
      </w:r>
    </w:p>
    <w:p w14:paraId="117AF00C" w14:textId="77777777" w:rsidR="00FF7292" w:rsidRPr="005908DA" w:rsidRDefault="00FF7292" w:rsidP="00FF7292">
      <w:pPr>
        <w:numPr>
          <w:ilvl w:val="0"/>
          <w:numId w:val="7"/>
        </w:numPr>
        <w:spacing w:after="120"/>
        <w:ind w:left="284" w:hanging="284"/>
        <w:jc w:val="both"/>
        <w:rPr>
          <w:rFonts w:ascii="Verdana" w:eastAsia="Malgun Gothic" w:hAnsi="Verdana" w:cs="Arial"/>
          <w:sz w:val="18"/>
          <w:szCs w:val="18"/>
          <w:lang w:val="el-GR"/>
        </w:rPr>
      </w:pPr>
      <w:r w:rsidRPr="005908DA">
        <w:rPr>
          <w:rFonts w:ascii="Verdana" w:eastAsia="Malgun Gothic" w:hAnsi="Verdana" w:cs="Arial"/>
          <w:sz w:val="18"/>
          <w:szCs w:val="18"/>
          <w:lang w:val="el-GR"/>
        </w:rPr>
        <w:t>τον καταρτισμό διάφορων κοινωνικοοικονομικών δεικτών, με απώτερο σκοπό τη μελέτη του βιοτικού επιπέδου των νοικοκυριών.</w:t>
      </w:r>
    </w:p>
    <w:p w14:paraId="3457A4BF" w14:textId="77777777" w:rsidR="00FF7292" w:rsidRPr="005908DA" w:rsidRDefault="00FF7292" w:rsidP="00FF7292">
      <w:pPr>
        <w:jc w:val="both"/>
        <w:rPr>
          <w:rFonts w:ascii="Verdana" w:eastAsia="Malgun Gothic" w:hAnsi="Verdana" w:cs="Arial"/>
          <w:b/>
          <w:sz w:val="18"/>
          <w:szCs w:val="18"/>
          <w:u w:val="single"/>
          <w:lang w:val="el-GR"/>
        </w:rPr>
      </w:pPr>
    </w:p>
    <w:p w14:paraId="2158098E" w14:textId="77777777" w:rsidR="00FF7292" w:rsidRPr="005908DA" w:rsidRDefault="00FF7292" w:rsidP="00FF7292">
      <w:pPr>
        <w:jc w:val="both"/>
        <w:rPr>
          <w:rFonts w:ascii="Verdana" w:eastAsia="Malgun Gothic" w:hAnsi="Verdana" w:cs="Arial"/>
          <w:b/>
          <w:sz w:val="18"/>
          <w:szCs w:val="18"/>
          <w:u w:val="single"/>
          <w:lang w:val="el-GR"/>
        </w:rPr>
      </w:pPr>
      <w:r w:rsidRPr="005908DA">
        <w:rPr>
          <w:rFonts w:ascii="Verdana" w:eastAsia="Malgun Gothic" w:hAnsi="Verdana" w:cs="Arial"/>
          <w:b/>
          <w:sz w:val="18"/>
          <w:szCs w:val="18"/>
          <w:u w:val="single"/>
          <w:lang w:val="el-GR"/>
        </w:rPr>
        <w:t xml:space="preserve">Κάλυψη και </w:t>
      </w:r>
      <w:r>
        <w:rPr>
          <w:rFonts w:ascii="Verdana" w:eastAsia="Malgun Gothic" w:hAnsi="Verdana" w:cs="Arial"/>
          <w:b/>
          <w:sz w:val="18"/>
          <w:szCs w:val="18"/>
          <w:u w:val="single"/>
          <w:lang w:val="el-GR"/>
        </w:rPr>
        <w:t>Α</w:t>
      </w:r>
      <w:r w:rsidRPr="005908DA">
        <w:rPr>
          <w:rFonts w:ascii="Verdana" w:eastAsia="Malgun Gothic" w:hAnsi="Verdana" w:cs="Arial"/>
          <w:b/>
          <w:sz w:val="18"/>
          <w:szCs w:val="18"/>
          <w:u w:val="single"/>
          <w:lang w:val="el-GR"/>
        </w:rPr>
        <w:t>νταπόκριση</w:t>
      </w:r>
    </w:p>
    <w:p w14:paraId="49736214" w14:textId="77777777" w:rsidR="00FF7292" w:rsidRPr="00FF7292" w:rsidRDefault="00FF7292" w:rsidP="00FF7292">
      <w:pPr>
        <w:jc w:val="both"/>
        <w:rPr>
          <w:rFonts w:ascii="Verdana" w:eastAsia="Malgun Gothic" w:hAnsi="Verdana" w:cs="Arial"/>
          <w:sz w:val="18"/>
          <w:szCs w:val="18"/>
          <w:highlight w:val="yellow"/>
          <w:lang w:val="el-GR"/>
        </w:rPr>
      </w:pPr>
    </w:p>
    <w:p w14:paraId="6A867CC5" w14:textId="77777777" w:rsidR="00FF7292" w:rsidRPr="005908DA" w:rsidRDefault="00FF7292" w:rsidP="00FF7292">
      <w:pPr>
        <w:jc w:val="both"/>
        <w:rPr>
          <w:rFonts w:ascii="Verdana" w:hAnsi="Verdana" w:cs="Calibri"/>
          <w:sz w:val="18"/>
          <w:szCs w:val="18"/>
          <w:lang w:val="el-GR"/>
        </w:rPr>
      </w:pPr>
      <w:r w:rsidRPr="005908DA">
        <w:rPr>
          <w:rFonts w:ascii="Verdana" w:hAnsi="Verdana" w:cs="Calibri"/>
          <w:sz w:val="18"/>
          <w:szCs w:val="18"/>
          <w:lang w:val="el-GR"/>
        </w:rPr>
        <w:t xml:space="preserve">Το αρχικό δείγμα της έρευνας περιλάμβανε 4.800 νοικοκυριά, </w:t>
      </w:r>
      <w:r w:rsidRPr="005908DA">
        <w:rPr>
          <w:rFonts w:ascii="Verdana" w:eastAsia="Malgun Gothic" w:hAnsi="Verdana" w:cs="Arial"/>
          <w:sz w:val="18"/>
          <w:szCs w:val="18"/>
          <w:lang w:val="el-GR"/>
        </w:rPr>
        <w:t>στις περιοχές που ελέγχει το Κράτος, σ</w:t>
      </w:r>
      <w:r w:rsidRPr="005908DA">
        <w:rPr>
          <w:rFonts w:ascii="Verdana" w:hAnsi="Verdana"/>
          <w:sz w:val="18"/>
          <w:szCs w:val="18"/>
          <w:lang w:val="el-GR"/>
        </w:rPr>
        <w:t>ε όλες τις επαρχίες της Κύπρου, αστικές και αγροτικές περιοχές</w:t>
      </w:r>
      <w:r w:rsidRPr="005908DA">
        <w:rPr>
          <w:rFonts w:ascii="Verdana" w:eastAsia="Malgun Gothic" w:hAnsi="Verdana" w:cs="Arial"/>
          <w:sz w:val="18"/>
          <w:szCs w:val="18"/>
          <w:lang w:val="el-GR"/>
        </w:rPr>
        <w:t xml:space="preserve">. </w:t>
      </w:r>
      <w:r w:rsidRPr="005908DA">
        <w:rPr>
          <w:rFonts w:ascii="Verdana" w:hAnsi="Verdana" w:cs="Calibri"/>
          <w:sz w:val="18"/>
          <w:szCs w:val="18"/>
          <w:lang w:val="el-GR"/>
        </w:rPr>
        <w:t>Συνολικά στην έρευνα συνεργάστηκαν 2.985 νοικοκυριά που αντιστοιχεί περίπου σε ποσοστό 0,8% του συνόλου των νοικοκυριών. Το ποσοστό ανταπόκρισης της έρευνας ανήλθε στο 74,0%.</w:t>
      </w:r>
    </w:p>
    <w:p w14:paraId="446D73CC" w14:textId="77777777" w:rsidR="00FF7292" w:rsidRPr="005908DA" w:rsidRDefault="00FF7292" w:rsidP="00FF7292">
      <w:pPr>
        <w:ind w:right="-563"/>
        <w:jc w:val="both"/>
        <w:rPr>
          <w:rFonts w:ascii="Verdana" w:hAnsi="Verdana" w:cs="Calibri"/>
          <w:sz w:val="18"/>
          <w:szCs w:val="18"/>
          <w:lang w:val="el-GR"/>
        </w:rPr>
      </w:pPr>
    </w:p>
    <w:p w14:paraId="360037F8" w14:textId="77777777" w:rsidR="00FF7292" w:rsidRPr="005908DA" w:rsidRDefault="00FF7292" w:rsidP="00FF7292">
      <w:pPr>
        <w:jc w:val="both"/>
        <w:rPr>
          <w:rFonts w:ascii="Verdana" w:eastAsia="Malgun Gothic" w:hAnsi="Verdana" w:cs="Arial"/>
          <w:b/>
          <w:sz w:val="18"/>
          <w:szCs w:val="18"/>
          <w:u w:val="single"/>
          <w:lang w:val="el-GR"/>
        </w:rPr>
      </w:pPr>
      <w:r w:rsidRPr="005908DA">
        <w:rPr>
          <w:rFonts w:ascii="Verdana" w:eastAsia="Malgun Gothic" w:hAnsi="Verdana" w:cs="Arial"/>
          <w:b/>
          <w:sz w:val="18"/>
          <w:szCs w:val="18"/>
          <w:u w:val="single"/>
          <w:lang w:val="el-GR"/>
        </w:rPr>
        <w:t xml:space="preserve">Συλλογή </w:t>
      </w:r>
      <w:r>
        <w:rPr>
          <w:rFonts w:ascii="Verdana" w:eastAsia="Malgun Gothic" w:hAnsi="Verdana" w:cs="Arial"/>
          <w:b/>
          <w:sz w:val="18"/>
          <w:szCs w:val="18"/>
          <w:u w:val="single"/>
          <w:lang w:val="el-GR"/>
        </w:rPr>
        <w:t>Σ</w:t>
      </w:r>
      <w:r w:rsidRPr="005908DA">
        <w:rPr>
          <w:rFonts w:ascii="Verdana" w:eastAsia="Malgun Gothic" w:hAnsi="Verdana" w:cs="Arial"/>
          <w:b/>
          <w:sz w:val="18"/>
          <w:szCs w:val="18"/>
          <w:u w:val="single"/>
          <w:lang w:val="el-GR"/>
        </w:rPr>
        <w:t>τοιχείων</w:t>
      </w:r>
    </w:p>
    <w:p w14:paraId="416FFD49" w14:textId="77777777" w:rsidR="00FF7292" w:rsidRPr="005908DA" w:rsidRDefault="00FF7292" w:rsidP="00FF7292">
      <w:pPr>
        <w:jc w:val="both"/>
        <w:rPr>
          <w:rFonts w:ascii="Verdana" w:eastAsia="Malgun Gothic" w:hAnsi="Verdana" w:cs="Arial"/>
          <w:b/>
          <w:sz w:val="18"/>
          <w:szCs w:val="18"/>
          <w:u w:val="single"/>
          <w:lang w:val="el-GR"/>
        </w:rPr>
      </w:pPr>
    </w:p>
    <w:p w14:paraId="0054AB58" w14:textId="77777777"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sz w:val="18"/>
          <w:szCs w:val="18"/>
          <w:lang w:val="el-GR"/>
        </w:rPr>
        <w:t xml:space="preserve">Η συλλογή των στοιχείων διεξάγεται με προσωπικές συνεντεύξεις στα νοικοκυριά, με τη χρήση φορητών ηλεκτρονικών υπολογιστών (CAPI) για τη συμπλήρωση του κυρίως ερωτηματολογίου. </w:t>
      </w:r>
    </w:p>
    <w:p w14:paraId="2323683D" w14:textId="77777777" w:rsidR="007F75F0" w:rsidRPr="007F75F0" w:rsidRDefault="007F75F0" w:rsidP="00FF7292">
      <w:pPr>
        <w:jc w:val="both"/>
        <w:rPr>
          <w:rFonts w:ascii="Verdana" w:eastAsia="Malgun Gothic" w:hAnsi="Verdana" w:cs="Arial"/>
          <w:sz w:val="18"/>
          <w:szCs w:val="18"/>
          <w:lang w:val="el-GR"/>
        </w:rPr>
      </w:pPr>
    </w:p>
    <w:p w14:paraId="4B3E0FEE" w14:textId="74816598"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sz w:val="18"/>
          <w:szCs w:val="18"/>
          <w:lang w:val="el-GR"/>
        </w:rPr>
        <w:t xml:space="preserve">Επιπλέον, στα νοικοκυριά παρέχεται ημερολόγιο καθημερινών εξόδων, στο οποίο όλα τα μέλη του νοικοκυριού ηλικίας 16 χρονών και άνω καταγράφουν με τη βοήθεια του απογραφέα (όπου κριθεί απαραίτητο), όλες τις καθημερινές δαπάνες του νοικοκυριού για 14 συνεχόμενες μέρες. </w:t>
      </w:r>
    </w:p>
    <w:p w14:paraId="26F609D0" w14:textId="77777777" w:rsidR="00FF7292" w:rsidRPr="005908DA" w:rsidRDefault="00FF7292" w:rsidP="00FF7292">
      <w:pPr>
        <w:jc w:val="both"/>
        <w:rPr>
          <w:rFonts w:ascii="Verdana" w:eastAsia="Malgun Gothic" w:hAnsi="Verdana" w:cs="Arial"/>
          <w:b/>
          <w:sz w:val="18"/>
          <w:szCs w:val="18"/>
          <w:u w:val="single"/>
          <w:lang w:val="el-GR"/>
        </w:rPr>
      </w:pPr>
    </w:p>
    <w:p w14:paraId="47E32516" w14:textId="77777777" w:rsidR="00FF7292" w:rsidRPr="005908DA" w:rsidRDefault="00FF7292" w:rsidP="00FF7292">
      <w:pPr>
        <w:jc w:val="both"/>
        <w:rPr>
          <w:rFonts w:ascii="Verdana" w:eastAsia="Malgun Gothic" w:hAnsi="Verdana" w:cs="Arial"/>
          <w:b/>
          <w:sz w:val="18"/>
          <w:szCs w:val="18"/>
          <w:u w:val="single"/>
          <w:lang w:val="el-GR"/>
        </w:rPr>
      </w:pPr>
      <w:r w:rsidRPr="005908DA">
        <w:rPr>
          <w:rFonts w:ascii="Verdana" w:eastAsia="Malgun Gothic" w:hAnsi="Verdana" w:cs="Arial"/>
          <w:b/>
          <w:sz w:val="18"/>
          <w:szCs w:val="18"/>
          <w:u w:val="single"/>
          <w:lang w:val="el-GR"/>
        </w:rPr>
        <w:t xml:space="preserve">Περίοδος </w:t>
      </w:r>
      <w:r>
        <w:rPr>
          <w:rFonts w:ascii="Verdana" w:eastAsia="Malgun Gothic" w:hAnsi="Verdana" w:cs="Arial"/>
          <w:b/>
          <w:sz w:val="18"/>
          <w:szCs w:val="18"/>
          <w:u w:val="single"/>
          <w:lang w:val="el-GR"/>
        </w:rPr>
        <w:t>Α</w:t>
      </w:r>
      <w:r w:rsidRPr="005908DA">
        <w:rPr>
          <w:rFonts w:ascii="Verdana" w:eastAsia="Malgun Gothic" w:hAnsi="Verdana" w:cs="Arial"/>
          <w:b/>
          <w:sz w:val="18"/>
          <w:szCs w:val="18"/>
          <w:u w:val="single"/>
          <w:lang w:val="el-GR"/>
        </w:rPr>
        <w:t>ναφοράς</w:t>
      </w:r>
    </w:p>
    <w:p w14:paraId="7012A37E" w14:textId="77777777" w:rsidR="00FF7292" w:rsidRPr="005908DA" w:rsidRDefault="00FF7292" w:rsidP="00FF7292">
      <w:pPr>
        <w:jc w:val="both"/>
        <w:rPr>
          <w:rFonts w:ascii="Verdana" w:eastAsia="Malgun Gothic" w:hAnsi="Verdana" w:cs="Arial"/>
          <w:sz w:val="18"/>
          <w:szCs w:val="18"/>
          <w:lang w:val="el-GR"/>
        </w:rPr>
      </w:pPr>
    </w:p>
    <w:p w14:paraId="16170533" w14:textId="77777777"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sz w:val="18"/>
          <w:szCs w:val="18"/>
          <w:lang w:val="el-GR"/>
        </w:rPr>
        <w:t>Τα νοικοκυριά που επιλέγηκαν κατανεμήθηκαν ισομερώς σε μια περίοδο 12 μηνών, από Απρίλιο 2023 μέχρι Μάρτιο 2024, έτσι ώστε να</w:t>
      </w:r>
      <w:r w:rsidRPr="005908DA">
        <w:rPr>
          <w:rFonts w:ascii="Verdana" w:eastAsia="Malgun Gothic" w:hAnsi="Verdana" w:cs="Calibri"/>
          <w:sz w:val="18"/>
          <w:szCs w:val="18"/>
          <w:lang w:val="el-GR"/>
        </w:rPr>
        <w:t xml:space="preserve"> αποτυπωθούν σωστά οι εποχικές διακυμάνσεις στις αγοραστικές συνήθειες των νοικοκυριών.</w:t>
      </w:r>
    </w:p>
    <w:p w14:paraId="0C2F22B6" w14:textId="77777777" w:rsidR="00FF7292" w:rsidRPr="005908DA" w:rsidRDefault="00FF7292" w:rsidP="00FF7292">
      <w:pPr>
        <w:jc w:val="both"/>
        <w:rPr>
          <w:rFonts w:ascii="Verdana" w:eastAsia="Malgun Gothic" w:hAnsi="Verdana" w:cs="Arial"/>
          <w:b/>
          <w:sz w:val="18"/>
          <w:szCs w:val="18"/>
          <w:u w:val="single"/>
          <w:lang w:val="el-GR"/>
        </w:rPr>
      </w:pPr>
    </w:p>
    <w:p w14:paraId="075367E7" w14:textId="77777777" w:rsidR="00FF7292" w:rsidRPr="005908DA" w:rsidRDefault="00FF7292" w:rsidP="00FF7292">
      <w:pPr>
        <w:jc w:val="both"/>
        <w:rPr>
          <w:rFonts w:ascii="Verdana" w:eastAsia="Malgun Gothic" w:hAnsi="Verdana" w:cs="Arial"/>
          <w:b/>
          <w:sz w:val="18"/>
          <w:szCs w:val="18"/>
          <w:u w:val="single"/>
          <w:lang w:val="el-GR"/>
        </w:rPr>
      </w:pPr>
      <w:r w:rsidRPr="005908DA">
        <w:rPr>
          <w:rFonts w:ascii="Verdana" w:eastAsia="Malgun Gothic" w:hAnsi="Verdana" w:cs="Arial"/>
          <w:b/>
          <w:sz w:val="18"/>
          <w:szCs w:val="18"/>
          <w:u w:val="single"/>
          <w:lang w:val="el-GR"/>
        </w:rPr>
        <w:t>Ορισμοί</w:t>
      </w:r>
    </w:p>
    <w:p w14:paraId="25C5BCD8" w14:textId="77777777" w:rsidR="00FF7292" w:rsidRPr="005908DA" w:rsidRDefault="00FF7292" w:rsidP="00FF7292">
      <w:pPr>
        <w:jc w:val="both"/>
        <w:rPr>
          <w:rFonts w:ascii="Verdana" w:eastAsia="Malgun Gothic" w:hAnsi="Verdana" w:cs="Arial"/>
          <w:b/>
          <w:sz w:val="18"/>
          <w:szCs w:val="18"/>
          <w:u w:val="single"/>
          <w:lang w:val="el-GR"/>
        </w:rPr>
      </w:pPr>
    </w:p>
    <w:p w14:paraId="2DEA7F97"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b/>
          <w:sz w:val="18"/>
          <w:szCs w:val="18"/>
          <w:lang w:val="el-GR"/>
        </w:rPr>
        <w:t xml:space="preserve">Κύριες κατηγορίες αγαθών και υπηρεσιών: </w:t>
      </w:r>
      <w:r w:rsidRPr="005908DA">
        <w:rPr>
          <w:rFonts w:ascii="Verdana" w:eastAsia="Malgun Gothic" w:hAnsi="Verdana" w:cs="Arial"/>
          <w:sz w:val="18"/>
          <w:szCs w:val="18"/>
          <w:lang w:val="el-GR"/>
        </w:rPr>
        <w:t xml:space="preserve">Για την έρευνα χρησιμοποιήθηκε η ταξινόμηση αγαθών και υπηρεσιών (COICOP) που προτάθηκε στα κράτη μέλη από τη </w:t>
      </w:r>
      <w:proofErr w:type="spellStart"/>
      <w:r w:rsidRPr="005908DA">
        <w:rPr>
          <w:rFonts w:ascii="Verdana" w:eastAsia="Malgun Gothic" w:hAnsi="Verdana" w:cs="Arial"/>
          <w:sz w:val="18"/>
          <w:szCs w:val="18"/>
          <w:lang w:val="el-GR"/>
        </w:rPr>
        <w:t>Eurostat</w:t>
      </w:r>
      <w:proofErr w:type="spellEnd"/>
      <w:r w:rsidRPr="005908DA">
        <w:rPr>
          <w:rFonts w:ascii="Verdana" w:eastAsia="Malgun Gothic" w:hAnsi="Verdana" w:cs="Arial"/>
          <w:sz w:val="18"/>
          <w:szCs w:val="18"/>
          <w:lang w:val="el-GR"/>
        </w:rPr>
        <w:t>. Οι δεκατρείς (13) κύριες κατηγορίες αγαθών και υπηρεσιών είναι:</w:t>
      </w:r>
    </w:p>
    <w:p w14:paraId="182D8485"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01 Είδη διατροφής και μη αλκοολούχα ποτά</w:t>
      </w:r>
    </w:p>
    <w:p w14:paraId="2541B2CB"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02 Αλκοολούχα ποτά και καπνός</w:t>
      </w:r>
    </w:p>
    <w:p w14:paraId="6474CC5E"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03 Είδη ένδυσης και υπόδησης</w:t>
      </w:r>
    </w:p>
    <w:p w14:paraId="6FD11BF2"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04 Στέγαση, ύδρευση, ηλεκτρισμός, φυσικό αέριο (γκάζι) και άλλα καύσιμα</w:t>
      </w:r>
    </w:p>
    <w:p w14:paraId="4429FF09"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05 Επίπλωση και διακόσμηση, οικιακός εξοπλισμός και συνήθης συντήρηση κατοικιών</w:t>
      </w:r>
    </w:p>
    <w:p w14:paraId="1A29DA4F"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06 Υγεία</w:t>
      </w:r>
    </w:p>
    <w:p w14:paraId="52A8BA9A"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07 Μεταφορές</w:t>
      </w:r>
    </w:p>
    <w:p w14:paraId="2E0B7EBD"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08 Πληροφορία και επικοινωνίες</w:t>
      </w:r>
    </w:p>
    <w:p w14:paraId="0A09D581"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xml:space="preserve">• 09 Αναψυχή, αθλητισμός και πολιτισμός </w:t>
      </w:r>
    </w:p>
    <w:p w14:paraId="36507C39"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10 Εκπαίδευση</w:t>
      </w:r>
    </w:p>
    <w:p w14:paraId="48BA5FB0"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11 Εστιατόρια και υπηρεσίες διαμονής</w:t>
      </w:r>
    </w:p>
    <w:p w14:paraId="30F5B9A1" w14:textId="77777777" w:rsidR="00FF7292" w:rsidRPr="005908D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xml:space="preserve">• 12 Ασφάλειες και χρηματοπιστωτικές υπηρεσίες </w:t>
      </w:r>
    </w:p>
    <w:p w14:paraId="5DDF3565" w14:textId="77777777" w:rsidR="00FF7292" w:rsidRPr="00343F0A" w:rsidRDefault="00FF7292" w:rsidP="00FF7292">
      <w:pPr>
        <w:autoSpaceDE w:val="0"/>
        <w:autoSpaceDN w:val="0"/>
        <w:adjustRightInd w:val="0"/>
        <w:jc w:val="both"/>
        <w:rPr>
          <w:rFonts w:ascii="Verdana" w:eastAsia="Malgun Gothic" w:hAnsi="Verdana" w:cs="Arial"/>
          <w:sz w:val="18"/>
          <w:szCs w:val="18"/>
          <w:lang w:val="el-GR"/>
        </w:rPr>
      </w:pPr>
      <w:r w:rsidRPr="005908DA">
        <w:rPr>
          <w:rFonts w:ascii="Verdana" w:eastAsia="Malgun Gothic" w:hAnsi="Verdana" w:cs="Arial"/>
          <w:sz w:val="18"/>
          <w:szCs w:val="18"/>
          <w:lang w:val="el-GR"/>
        </w:rPr>
        <w:t>• 13 Προσωπική φροντίδα, κοινωνική προστασία και διάφορα αγαθά και υπηρεσίες</w:t>
      </w:r>
    </w:p>
    <w:p w14:paraId="471ADFAD" w14:textId="77777777" w:rsidR="00343F0A" w:rsidRPr="007F75F0" w:rsidRDefault="00343F0A" w:rsidP="00FF7292">
      <w:pPr>
        <w:autoSpaceDE w:val="0"/>
        <w:autoSpaceDN w:val="0"/>
        <w:adjustRightInd w:val="0"/>
        <w:jc w:val="both"/>
        <w:rPr>
          <w:rFonts w:ascii="Verdana" w:eastAsia="Malgun Gothic" w:hAnsi="Verdana" w:cs="Arial"/>
          <w:sz w:val="18"/>
          <w:szCs w:val="18"/>
          <w:lang w:val="el-GR"/>
        </w:rPr>
      </w:pPr>
    </w:p>
    <w:p w14:paraId="44BC3DDA" w14:textId="77777777" w:rsidR="00343F0A" w:rsidRPr="007F75F0" w:rsidRDefault="00343F0A" w:rsidP="00FF7292">
      <w:pPr>
        <w:autoSpaceDE w:val="0"/>
        <w:autoSpaceDN w:val="0"/>
        <w:adjustRightInd w:val="0"/>
        <w:jc w:val="both"/>
        <w:rPr>
          <w:rFonts w:ascii="Verdana" w:eastAsia="Malgun Gothic" w:hAnsi="Verdana" w:cs="Arial"/>
          <w:sz w:val="18"/>
          <w:szCs w:val="18"/>
          <w:lang w:val="el-GR"/>
        </w:rPr>
      </w:pPr>
    </w:p>
    <w:p w14:paraId="3035E06D" w14:textId="77777777" w:rsidR="00343F0A" w:rsidRPr="007F75F0" w:rsidRDefault="00343F0A" w:rsidP="00FF7292">
      <w:pPr>
        <w:autoSpaceDE w:val="0"/>
        <w:autoSpaceDN w:val="0"/>
        <w:adjustRightInd w:val="0"/>
        <w:jc w:val="both"/>
        <w:rPr>
          <w:rFonts w:ascii="Verdana" w:eastAsia="Malgun Gothic" w:hAnsi="Verdana" w:cs="Arial"/>
          <w:sz w:val="18"/>
          <w:szCs w:val="18"/>
          <w:lang w:val="el-GR"/>
        </w:rPr>
      </w:pPr>
    </w:p>
    <w:p w14:paraId="571050B6" w14:textId="77777777"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b/>
          <w:sz w:val="18"/>
          <w:szCs w:val="18"/>
          <w:lang w:val="el-GR"/>
        </w:rPr>
        <w:lastRenderedPageBreak/>
        <w:t>Νοικοκυριό:</w:t>
      </w:r>
      <w:r w:rsidRPr="005908DA">
        <w:rPr>
          <w:rFonts w:ascii="Verdana" w:eastAsia="Malgun Gothic" w:hAnsi="Verdana" w:cs="Arial"/>
          <w:sz w:val="18"/>
          <w:szCs w:val="18"/>
          <w:lang w:val="el-GR"/>
        </w:rPr>
        <w:t xml:space="preserve"> Αποτελείται από ένα άτομο που ζει μόνο του ή μια ομάδα δύο ή περισσοτέρων ατόμων που διαμένουν μαζί στην ίδια κατοικία, χωρίς να είναι απαραίτητα συγγενείς, και μεριμνούν από κοινού για το φαγητό και τα απαραίτητα της διαβίωσης τους, διατηρώντας σε μικρότερο ή μεγαλύτερο βαθμό, κοινό προϋπολογισμό. </w:t>
      </w:r>
    </w:p>
    <w:p w14:paraId="27F53AF9" w14:textId="77777777" w:rsidR="00FF7292" w:rsidRPr="005908DA" w:rsidRDefault="00FF7292" w:rsidP="00FF7292">
      <w:pPr>
        <w:jc w:val="both"/>
        <w:rPr>
          <w:rFonts w:ascii="Verdana" w:eastAsia="Malgun Gothic" w:hAnsi="Verdana" w:cs="Arial"/>
          <w:b/>
          <w:sz w:val="18"/>
          <w:szCs w:val="18"/>
          <w:lang w:val="el-GR"/>
        </w:rPr>
      </w:pPr>
    </w:p>
    <w:p w14:paraId="05E428AB" w14:textId="77777777"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b/>
          <w:sz w:val="18"/>
          <w:szCs w:val="18"/>
          <w:lang w:val="el-GR"/>
        </w:rPr>
        <w:t>Καταναλωτική Δαπάνη:</w:t>
      </w:r>
      <w:r w:rsidRPr="005908DA">
        <w:rPr>
          <w:rFonts w:ascii="Verdana" w:eastAsia="Malgun Gothic" w:hAnsi="Verdana" w:cs="Arial"/>
          <w:sz w:val="18"/>
          <w:szCs w:val="18"/>
          <w:lang w:val="el-GR"/>
        </w:rPr>
        <w:t xml:space="preserve"> Η αξία όλων των αγαθών και υπηρεσιών που προμηθεύτηκε το νοικοκυριό για κατανάλωση εντός ενός έτους. Περιλαμβάνει την κατανάλωση αγαθών από δική τους παραγωγή (κυρίως γεωργικά προϊόντα και τρόφιμα), καθώς επίσης και την αξία του τεκμαρτού ενοικίου για τους ιδιοκτήτες/κατόχους κατοικιών και ενοίκους που διαμένουν δωρεάν. Επιπρόσθετα, περιλαμβάνονται και οι δαπάνες του νοικοκυριού για αγαθά που αγοράστηκαν ως δώρα για άλλα νοικοκυριά, ενώ τα δώρα που έλαβε το νοικοκυριό από άλλους εξαιρούνται. Στις καταναλωτικές δαπάνες δεν περιλαμβάνονται επενδύσεις, αποταμιεύσεις και άμεσοι φόροι.</w:t>
      </w:r>
    </w:p>
    <w:p w14:paraId="1CF8E32B" w14:textId="77777777" w:rsidR="00FF7292" w:rsidRPr="005908DA" w:rsidRDefault="00FF7292" w:rsidP="00FF7292">
      <w:pPr>
        <w:jc w:val="both"/>
        <w:rPr>
          <w:rFonts w:ascii="Verdana" w:eastAsia="Malgun Gothic" w:hAnsi="Verdana" w:cs="Arial"/>
          <w:sz w:val="18"/>
          <w:szCs w:val="18"/>
          <w:lang w:val="el-GR"/>
        </w:rPr>
      </w:pPr>
    </w:p>
    <w:p w14:paraId="132FA132" w14:textId="77777777"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b/>
          <w:sz w:val="18"/>
          <w:szCs w:val="18"/>
          <w:lang w:val="el-GR"/>
        </w:rPr>
        <w:t>Τεκμαρτό Ενοίκιο:</w:t>
      </w:r>
      <w:r w:rsidRPr="005908DA">
        <w:rPr>
          <w:rFonts w:ascii="Verdana" w:eastAsia="Malgun Gothic" w:hAnsi="Verdana" w:cs="Arial"/>
          <w:sz w:val="18"/>
          <w:szCs w:val="18"/>
          <w:lang w:val="el-GR"/>
        </w:rPr>
        <w:t xml:space="preserve"> Η προσωπική εκτίμηση του ύψους του ενοικίου που θα πλήρωνε ο ιδιοκτήτης/κάτοχος της κατοικίας αν ενοικίαζε την κατοικία του, βάσει των ενοικίων της αγοράς που πληρώνονται για παρόμοιες κατοικίες.</w:t>
      </w:r>
    </w:p>
    <w:p w14:paraId="2547B3F6" w14:textId="77777777" w:rsidR="00FF7292" w:rsidRPr="005908DA" w:rsidRDefault="00FF7292" w:rsidP="00FF7292">
      <w:pPr>
        <w:jc w:val="both"/>
        <w:rPr>
          <w:rFonts w:ascii="Verdana" w:eastAsia="Malgun Gothic" w:hAnsi="Verdana" w:cs="Arial"/>
          <w:sz w:val="18"/>
          <w:szCs w:val="18"/>
          <w:lang w:val="el-GR"/>
        </w:rPr>
      </w:pPr>
    </w:p>
    <w:p w14:paraId="4ACFB211" w14:textId="77777777" w:rsidR="00FF7292" w:rsidRPr="005908DA" w:rsidRDefault="00FF7292" w:rsidP="00FF7292">
      <w:pPr>
        <w:jc w:val="both"/>
        <w:rPr>
          <w:rFonts w:ascii="Verdana" w:eastAsia="Malgun Gothic" w:hAnsi="Verdana" w:cs="Arial"/>
          <w:b/>
          <w:sz w:val="18"/>
          <w:szCs w:val="18"/>
          <w:u w:val="single"/>
          <w:lang w:val="el-GR"/>
        </w:rPr>
      </w:pPr>
    </w:p>
    <w:p w14:paraId="1CEF1DE1" w14:textId="77777777" w:rsidR="00FF7292" w:rsidRPr="005908DA" w:rsidRDefault="00FF7292" w:rsidP="00FF7292">
      <w:pPr>
        <w:jc w:val="both"/>
        <w:rPr>
          <w:rFonts w:ascii="Verdana" w:hAnsi="Verdana"/>
          <w:b/>
          <w:i/>
          <w:sz w:val="18"/>
          <w:szCs w:val="18"/>
          <w:lang w:val="el-GR"/>
        </w:rPr>
      </w:pPr>
      <w:r w:rsidRPr="005908DA">
        <w:rPr>
          <w:rFonts w:ascii="Verdana" w:hAnsi="Verdana"/>
          <w:b/>
          <w:i/>
          <w:sz w:val="18"/>
          <w:szCs w:val="18"/>
          <w:lang w:val="el-GR"/>
        </w:rPr>
        <w:t xml:space="preserve">Για περισσότερες πληροφορίες: </w:t>
      </w:r>
    </w:p>
    <w:p w14:paraId="1C5A0334" w14:textId="77777777" w:rsidR="00FF7292" w:rsidRPr="005908DA" w:rsidRDefault="00FF7292" w:rsidP="00FF7292">
      <w:pPr>
        <w:jc w:val="both"/>
        <w:rPr>
          <w:rFonts w:ascii="Verdana" w:hAnsi="Verdana"/>
          <w:sz w:val="18"/>
          <w:szCs w:val="18"/>
          <w:lang w:val="el-GR"/>
        </w:rPr>
      </w:pPr>
      <w:r w:rsidRPr="005908DA">
        <w:rPr>
          <w:rFonts w:ascii="Verdana" w:hAnsi="Verdana"/>
          <w:sz w:val="18"/>
          <w:szCs w:val="18"/>
          <w:lang w:val="el-GR"/>
        </w:rPr>
        <w:t xml:space="preserve">Πύλη Στατιστικής Υπηρεσίας, υπόθεμα </w:t>
      </w:r>
      <w:r>
        <w:fldChar w:fldCharType="begin"/>
      </w:r>
      <w:r>
        <w:instrText>HYPERLINK</w:instrText>
      </w:r>
      <w:r w:rsidRPr="007F75F0">
        <w:rPr>
          <w:lang w:val="el-GR"/>
        </w:rPr>
        <w:instrText xml:space="preserve"> "</w:instrText>
      </w:r>
      <w:r>
        <w:instrText>https</w:instrText>
      </w:r>
      <w:r w:rsidRPr="007F75F0">
        <w:rPr>
          <w:lang w:val="el-GR"/>
        </w:rPr>
        <w:instrText>://</w:instrText>
      </w:r>
      <w:r>
        <w:instrText>www</w:instrText>
      </w:r>
      <w:r w:rsidRPr="007F75F0">
        <w:rPr>
          <w:lang w:val="el-GR"/>
        </w:rPr>
        <w:instrText>.</w:instrText>
      </w:r>
      <w:r>
        <w:instrText>cystat</w:instrText>
      </w:r>
      <w:r w:rsidRPr="007F75F0">
        <w:rPr>
          <w:lang w:val="el-GR"/>
        </w:rPr>
        <w:instrText>.</w:instrText>
      </w:r>
      <w:r>
        <w:instrText>gov</w:instrText>
      </w:r>
      <w:r w:rsidRPr="007F75F0">
        <w:rPr>
          <w:lang w:val="el-GR"/>
        </w:rPr>
        <w:instrText>.</w:instrText>
      </w:r>
      <w:r>
        <w:instrText>cy</w:instrText>
      </w:r>
      <w:r w:rsidRPr="007F75F0">
        <w:rPr>
          <w:lang w:val="el-GR"/>
        </w:rPr>
        <w:instrText>/</w:instrText>
      </w:r>
      <w:r>
        <w:instrText>el</w:instrText>
      </w:r>
      <w:r w:rsidRPr="007F75F0">
        <w:rPr>
          <w:lang w:val="el-GR"/>
        </w:rPr>
        <w:instrText>/</w:instrText>
      </w:r>
      <w:r>
        <w:instrText>SubthemeStatistics</w:instrText>
      </w:r>
      <w:r w:rsidRPr="007F75F0">
        <w:rPr>
          <w:lang w:val="el-GR"/>
        </w:rPr>
        <w:instrText>?</w:instrText>
      </w:r>
      <w:r>
        <w:instrText>id</w:instrText>
      </w:r>
      <w:r w:rsidRPr="007F75F0">
        <w:rPr>
          <w:lang w:val="el-GR"/>
        </w:rPr>
        <w:instrText>=44"</w:instrText>
      </w:r>
      <w:r>
        <w:fldChar w:fldCharType="separate"/>
      </w:r>
      <w:r w:rsidRPr="005908DA">
        <w:rPr>
          <w:rStyle w:val="Hyperlink"/>
          <w:rFonts w:ascii="Verdana" w:hAnsi="Verdana"/>
          <w:sz w:val="18"/>
          <w:szCs w:val="18"/>
          <w:lang w:val="el-GR"/>
        </w:rPr>
        <w:t>Συνθήκες Διαβίωσης, Κοινωνική Προστασία</w:t>
      </w:r>
      <w:r>
        <w:fldChar w:fldCharType="end"/>
      </w:r>
      <w:r w:rsidRPr="005908DA">
        <w:rPr>
          <w:rFonts w:ascii="Verdana" w:hAnsi="Verdana"/>
          <w:sz w:val="18"/>
          <w:szCs w:val="18"/>
          <w:lang w:val="el-GR"/>
        </w:rPr>
        <w:t xml:space="preserve"> </w:t>
      </w:r>
    </w:p>
    <w:p w14:paraId="443999CA" w14:textId="77777777" w:rsidR="00FF7292" w:rsidRPr="005908DA" w:rsidRDefault="00FF7292" w:rsidP="00FF7292">
      <w:pPr>
        <w:jc w:val="both"/>
        <w:rPr>
          <w:rFonts w:ascii="Verdana" w:hAnsi="Verdana"/>
          <w:sz w:val="18"/>
          <w:szCs w:val="18"/>
          <w:lang w:val="el-GR"/>
        </w:rPr>
      </w:pPr>
      <w:r>
        <w:fldChar w:fldCharType="begin"/>
      </w:r>
      <w:r>
        <w:instrText>HYPERLINK</w:instrText>
      </w:r>
      <w:r w:rsidRPr="007F75F0">
        <w:rPr>
          <w:lang w:val="el-GR"/>
        </w:rPr>
        <w:instrText xml:space="preserve"> "</w:instrText>
      </w:r>
      <w:r>
        <w:instrText>https</w:instrText>
      </w:r>
      <w:r w:rsidRPr="007F75F0">
        <w:rPr>
          <w:lang w:val="el-GR"/>
        </w:rPr>
        <w:instrText>://</w:instrText>
      </w:r>
      <w:r>
        <w:instrText>cystatdb</w:instrText>
      </w:r>
      <w:r w:rsidRPr="007F75F0">
        <w:rPr>
          <w:lang w:val="el-GR"/>
        </w:rPr>
        <w:instrText>.</w:instrText>
      </w:r>
      <w:r>
        <w:instrText>cystat</w:instrText>
      </w:r>
      <w:r w:rsidRPr="007F75F0">
        <w:rPr>
          <w:lang w:val="el-GR"/>
        </w:rPr>
        <w:instrText>.</w:instrText>
      </w:r>
      <w:r>
        <w:instrText>gov</w:instrText>
      </w:r>
      <w:r w:rsidRPr="007F75F0">
        <w:rPr>
          <w:lang w:val="el-GR"/>
        </w:rPr>
        <w:instrText>.</w:instrText>
      </w:r>
      <w:r>
        <w:instrText>cy</w:instrText>
      </w:r>
      <w:r w:rsidRPr="007F75F0">
        <w:rPr>
          <w:lang w:val="el-GR"/>
        </w:rPr>
        <w:instrText>/</w:instrText>
      </w:r>
      <w:r>
        <w:instrText>pxweb</w:instrText>
      </w:r>
      <w:r w:rsidRPr="007F75F0">
        <w:rPr>
          <w:lang w:val="el-GR"/>
        </w:rPr>
        <w:instrText>/</w:instrText>
      </w:r>
      <w:r>
        <w:instrText>el</w:instrText>
      </w:r>
      <w:r w:rsidRPr="007F75F0">
        <w:rPr>
          <w:lang w:val="el-GR"/>
        </w:rPr>
        <w:instrText>/8.</w:instrText>
      </w:r>
      <w:r>
        <w:instrText>CYSTAT</w:instrText>
      </w:r>
      <w:r w:rsidRPr="007F75F0">
        <w:rPr>
          <w:lang w:val="el-GR"/>
        </w:rPr>
        <w:instrText>-</w:instrText>
      </w:r>
      <w:r>
        <w:instrText>DB</w:instrText>
      </w:r>
      <w:r w:rsidRPr="007F75F0">
        <w:rPr>
          <w:lang w:val="el-GR"/>
        </w:rPr>
        <w:instrText>/8.</w:instrText>
      </w:r>
      <w:r>
        <w:instrText>CYSTAT</w:instrText>
      </w:r>
      <w:r w:rsidRPr="007F75F0">
        <w:rPr>
          <w:lang w:val="el-GR"/>
        </w:rPr>
        <w:instrText>-</w:instrText>
      </w:r>
      <w:r>
        <w:instrText>DB</w:instrText>
      </w:r>
      <w:r w:rsidRPr="007F75F0">
        <w:rPr>
          <w:lang w:val="el-GR"/>
        </w:rPr>
        <w:instrText>__</w:instrText>
      </w:r>
      <w:r>
        <w:instrText>Living</w:instrText>
      </w:r>
      <w:r w:rsidRPr="007F75F0">
        <w:rPr>
          <w:lang w:val="el-GR"/>
        </w:rPr>
        <w:instrText>%20</w:instrText>
      </w:r>
      <w:r>
        <w:instrText>Conditions</w:instrText>
      </w:r>
      <w:r w:rsidRPr="007F75F0">
        <w:rPr>
          <w:lang w:val="el-GR"/>
        </w:rPr>
        <w:instrText>,%20</w:instrText>
      </w:r>
      <w:r>
        <w:instrText>Social</w:instrText>
      </w:r>
      <w:r w:rsidRPr="007F75F0">
        <w:rPr>
          <w:lang w:val="el-GR"/>
        </w:rPr>
        <w:instrText>%20</w:instrText>
      </w:r>
      <w:r>
        <w:instrText>Protection</w:instrText>
      </w:r>
      <w:r w:rsidRPr="007F75F0">
        <w:rPr>
          <w:lang w:val="el-GR"/>
        </w:rPr>
        <w:instrText>__"</w:instrText>
      </w:r>
      <w:r>
        <w:fldChar w:fldCharType="separate"/>
      </w:r>
      <w:r w:rsidRPr="005908DA">
        <w:rPr>
          <w:rStyle w:val="Hyperlink"/>
          <w:rFonts w:ascii="Verdana" w:hAnsi="Verdana"/>
          <w:sz w:val="18"/>
          <w:szCs w:val="18"/>
        </w:rPr>
        <w:t>CYSTAT</w:t>
      </w:r>
      <w:r w:rsidRPr="005908DA">
        <w:rPr>
          <w:rStyle w:val="Hyperlink"/>
          <w:rFonts w:ascii="Verdana" w:hAnsi="Verdana"/>
          <w:sz w:val="18"/>
          <w:szCs w:val="18"/>
          <w:lang w:val="el-GR"/>
        </w:rPr>
        <w:t>-</w:t>
      </w:r>
      <w:r w:rsidRPr="005908DA">
        <w:rPr>
          <w:rStyle w:val="Hyperlink"/>
          <w:rFonts w:ascii="Verdana" w:hAnsi="Verdana"/>
          <w:sz w:val="18"/>
          <w:szCs w:val="18"/>
        </w:rPr>
        <w:t>DB</w:t>
      </w:r>
      <w:r>
        <w:fldChar w:fldCharType="end"/>
      </w:r>
      <w:r w:rsidRPr="005908DA">
        <w:rPr>
          <w:rFonts w:ascii="Verdana" w:hAnsi="Verdana"/>
          <w:sz w:val="18"/>
          <w:szCs w:val="18"/>
          <w:lang w:val="el-GR"/>
        </w:rPr>
        <w:t xml:space="preserve"> (Βάση Δεδομένων) </w:t>
      </w:r>
    </w:p>
    <w:p w14:paraId="70CDA130" w14:textId="77777777" w:rsidR="00FF7292" w:rsidRPr="005908DA" w:rsidRDefault="00FF7292" w:rsidP="00FF7292">
      <w:pPr>
        <w:jc w:val="both"/>
        <w:rPr>
          <w:rFonts w:ascii="Verdana" w:hAnsi="Verdana"/>
          <w:sz w:val="18"/>
          <w:szCs w:val="18"/>
          <w:lang w:val="el-GR"/>
        </w:rPr>
      </w:pPr>
      <w:r>
        <w:fldChar w:fldCharType="begin"/>
      </w:r>
      <w:r>
        <w:instrText>HYPERLINK</w:instrText>
      </w:r>
      <w:r w:rsidRPr="007F75F0">
        <w:rPr>
          <w:lang w:val="el-GR"/>
        </w:rPr>
        <w:instrText xml:space="preserve"> "</w:instrText>
      </w:r>
      <w:r>
        <w:instrText>https</w:instrText>
      </w:r>
      <w:r w:rsidRPr="007F75F0">
        <w:rPr>
          <w:lang w:val="el-GR"/>
        </w:rPr>
        <w:instrText>://</w:instrText>
      </w:r>
      <w:r>
        <w:instrText>www</w:instrText>
      </w:r>
      <w:r w:rsidRPr="007F75F0">
        <w:rPr>
          <w:lang w:val="el-GR"/>
        </w:rPr>
        <w:instrText>.</w:instrText>
      </w:r>
      <w:r>
        <w:instrText>cystat</w:instrText>
      </w:r>
      <w:r w:rsidRPr="007F75F0">
        <w:rPr>
          <w:lang w:val="el-GR"/>
        </w:rPr>
        <w:instrText>.</w:instrText>
      </w:r>
      <w:r>
        <w:instrText>gov</w:instrText>
      </w:r>
      <w:r w:rsidRPr="007F75F0">
        <w:rPr>
          <w:lang w:val="el-GR"/>
        </w:rPr>
        <w:instrText>.</w:instrText>
      </w:r>
      <w:r>
        <w:instrText>cy</w:instrText>
      </w:r>
      <w:r w:rsidRPr="007F75F0">
        <w:rPr>
          <w:lang w:val="el-GR"/>
        </w:rPr>
        <w:instrText>/</w:instrText>
      </w:r>
      <w:r>
        <w:instrText>el</w:instrText>
      </w:r>
      <w:r w:rsidRPr="007F75F0">
        <w:rPr>
          <w:lang w:val="el-GR"/>
        </w:rPr>
        <w:instrText>/</w:instrText>
      </w:r>
      <w:r>
        <w:instrText>KeyFiguresList</w:instrText>
      </w:r>
      <w:r w:rsidRPr="007F75F0">
        <w:rPr>
          <w:lang w:val="el-GR"/>
        </w:rPr>
        <w:instrText>?</w:instrText>
      </w:r>
      <w:r>
        <w:instrText>s</w:instrText>
      </w:r>
      <w:r w:rsidRPr="007F75F0">
        <w:rPr>
          <w:lang w:val="el-GR"/>
        </w:rPr>
        <w:instrText>=44&amp;</w:instrText>
      </w:r>
      <w:r>
        <w:instrText>p</w:instrText>
      </w:r>
      <w:r w:rsidRPr="007F75F0">
        <w:rPr>
          <w:lang w:val="el-GR"/>
        </w:rPr>
        <w:instrText>=3"</w:instrText>
      </w:r>
      <w:r>
        <w:fldChar w:fldCharType="separate"/>
      </w:r>
      <w:r w:rsidRPr="005908DA">
        <w:rPr>
          <w:rStyle w:val="Hyperlink"/>
          <w:rFonts w:ascii="Verdana" w:hAnsi="Verdana"/>
          <w:sz w:val="18"/>
          <w:szCs w:val="18"/>
          <w:lang w:val="el-GR"/>
        </w:rPr>
        <w:t>Προκαθορισμένοι Πίνακες</w:t>
      </w:r>
      <w:r>
        <w:fldChar w:fldCharType="end"/>
      </w:r>
      <w:r w:rsidRPr="005908DA">
        <w:rPr>
          <w:rFonts w:ascii="Verdana" w:hAnsi="Verdana"/>
          <w:sz w:val="18"/>
          <w:szCs w:val="18"/>
          <w:lang w:val="el-GR"/>
        </w:rPr>
        <w:t xml:space="preserve"> (</w:t>
      </w:r>
      <w:r w:rsidRPr="005908DA">
        <w:rPr>
          <w:rFonts w:ascii="Verdana" w:hAnsi="Verdana"/>
          <w:sz w:val="18"/>
          <w:szCs w:val="18"/>
        </w:rPr>
        <w:t>Excel</w:t>
      </w:r>
      <w:r w:rsidRPr="005908DA">
        <w:rPr>
          <w:rFonts w:ascii="Verdana" w:hAnsi="Verdana"/>
          <w:sz w:val="18"/>
          <w:szCs w:val="18"/>
          <w:lang w:val="el-GR"/>
        </w:rPr>
        <w:t xml:space="preserve">) </w:t>
      </w:r>
    </w:p>
    <w:p w14:paraId="1BADA13B" w14:textId="77777777" w:rsidR="00FF7292" w:rsidRPr="005908DA" w:rsidRDefault="00FF7292" w:rsidP="00FF7292">
      <w:pPr>
        <w:jc w:val="both"/>
        <w:rPr>
          <w:rFonts w:ascii="Verdana" w:hAnsi="Verdana"/>
          <w:sz w:val="18"/>
          <w:szCs w:val="18"/>
          <w:lang w:val="el-GR"/>
        </w:rPr>
      </w:pPr>
      <w:r>
        <w:fldChar w:fldCharType="begin"/>
      </w:r>
      <w:r>
        <w:instrText>HYPERLINK</w:instrText>
      </w:r>
      <w:r w:rsidRPr="007F75F0">
        <w:rPr>
          <w:lang w:val="el-GR"/>
        </w:rPr>
        <w:instrText xml:space="preserve"> "</w:instrText>
      </w:r>
      <w:r>
        <w:instrText>https</w:instrText>
      </w:r>
      <w:r w:rsidRPr="007F75F0">
        <w:rPr>
          <w:lang w:val="el-GR"/>
        </w:rPr>
        <w:instrText>://</w:instrText>
      </w:r>
      <w:r>
        <w:instrText>www</w:instrText>
      </w:r>
      <w:r w:rsidRPr="007F75F0">
        <w:rPr>
          <w:lang w:val="el-GR"/>
        </w:rPr>
        <w:instrText>.</w:instrText>
      </w:r>
      <w:r>
        <w:instrText>cystat</w:instrText>
      </w:r>
      <w:r w:rsidRPr="007F75F0">
        <w:rPr>
          <w:lang w:val="el-GR"/>
        </w:rPr>
        <w:instrText>.</w:instrText>
      </w:r>
      <w:r>
        <w:instrText>gov</w:instrText>
      </w:r>
      <w:r w:rsidRPr="007F75F0">
        <w:rPr>
          <w:lang w:val="el-GR"/>
        </w:rPr>
        <w:instrText>.</w:instrText>
      </w:r>
      <w:r>
        <w:instrText>cy</w:instrText>
      </w:r>
      <w:r w:rsidRPr="007F75F0">
        <w:rPr>
          <w:lang w:val="el-GR"/>
        </w:rPr>
        <w:instrText>/</w:instrText>
      </w:r>
      <w:r>
        <w:instrText>el</w:instrText>
      </w:r>
      <w:r w:rsidRPr="007F75F0">
        <w:rPr>
          <w:lang w:val="el-GR"/>
        </w:rPr>
        <w:instrText>/</w:instrText>
      </w:r>
      <w:r>
        <w:instrText>MethodologicalDetails</w:instrText>
      </w:r>
      <w:r w:rsidRPr="007F75F0">
        <w:rPr>
          <w:lang w:val="el-GR"/>
        </w:rPr>
        <w:instrText>?</w:instrText>
      </w:r>
      <w:r>
        <w:instrText>m</w:instrText>
      </w:r>
      <w:r w:rsidRPr="007F75F0">
        <w:rPr>
          <w:lang w:val="el-GR"/>
        </w:rPr>
        <w:instrText>=2281"</w:instrText>
      </w:r>
      <w:r>
        <w:fldChar w:fldCharType="separate"/>
      </w:r>
      <w:r w:rsidRPr="005908DA">
        <w:rPr>
          <w:rStyle w:val="Hyperlink"/>
          <w:rFonts w:ascii="Verdana" w:hAnsi="Verdana"/>
          <w:sz w:val="18"/>
          <w:szCs w:val="18"/>
          <w:lang w:val="el-GR"/>
        </w:rPr>
        <w:t>Μεθοδολογικές Πληροφορίες</w:t>
      </w:r>
      <w:r>
        <w:fldChar w:fldCharType="end"/>
      </w:r>
      <w:r w:rsidRPr="005908DA">
        <w:rPr>
          <w:rFonts w:ascii="Verdana" w:hAnsi="Verdana"/>
          <w:sz w:val="18"/>
          <w:szCs w:val="18"/>
          <w:lang w:val="el-GR"/>
        </w:rPr>
        <w:t xml:space="preserve"> </w:t>
      </w:r>
    </w:p>
    <w:p w14:paraId="6F0F1266" w14:textId="77777777" w:rsidR="00FF7292" w:rsidRPr="005908DA" w:rsidRDefault="00FF7292" w:rsidP="00FF7292">
      <w:pPr>
        <w:jc w:val="both"/>
        <w:rPr>
          <w:rFonts w:ascii="Verdana" w:hAnsi="Verdana"/>
          <w:sz w:val="18"/>
          <w:szCs w:val="18"/>
          <w:highlight w:val="yellow"/>
          <w:lang w:val="el-GR"/>
        </w:rPr>
      </w:pPr>
    </w:p>
    <w:p w14:paraId="3041B536" w14:textId="77777777" w:rsidR="00FF7292" w:rsidRPr="005908DA" w:rsidRDefault="00FF7292" w:rsidP="00FF7292">
      <w:pPr>
        <w:jc w:val="both"/>
        <w:rPr>
          <w:rFonts w:ascii="Verdana" w:eastAsia="Malgun Gothic" w:hAnsi="Verdana" w:cs="Arial"/>
          <w:b/>
          <w:bCs/>
          <w:sz w:val="18"/>
          <w:szCs w:val="18"/>
          <w:lang w:val="el-GR"/>
        </w:rPr>
      </w:pPr>
      <w:r w:rsidRPr="005908DA">
        <w:rPr>
          <w:rFonts w:ascii="Verdana" w:hAnsi="Verdana"/>
          <w:b/>
          <w:bCs/>
          <w:sz w:val="18"/>
          <w:szCs w:val="18"/>
          <w:lang w:val="el-GR"/>
        </w:rPr>
        <w:t xml:space="preserve">Οι Προκαθορισμένοι Πίνακες σε μορφή </w:t>
      </w:r>
      <w:r w:rsidRPr="005908DA">
        <w:rPr>
          <w:rFonts w:ascii="Verdana" w:hAnsi="Verdana"/>
          <w:b/>
          <w:bCs/>
          <w:sz w:val="18"/>
          <w:szCs w:val="18"/>
        </w:rPr>
        <w:t>Excel</w:t>
      </w:r>
      <w:r w:rsidRPr="005908DA">
        <w:rPr>
          <w:rFonts w:ascii="Verdana" w:hAnsi="Verdana"/>
          <w:b/>
          <w:bCs/>
          <w:sz w:val="18"/>
          <w:szCs w:val="18"/>
          <w:lang w:val="el-GR"/>
        </w:rPr>
        <w:t xml:space="preserve"> περιλαμβάνουν στοιχεία μέχρι και την ΕΟΠ 2015/2016. Για τα στοιχεία της ΕΟΠ 2023 και μετέπειτα, η ενημέρωση θα γίνεται μόνο στη Βάση Δεδομένων </w:t>
      </w:r>
      <w:r w:rsidRPr="005908DA">
        <w:rPr>
          <w:rFonts w:ascii="Verdana" w:hAnsi="Verdana"/>
          <w:b/>
          <w:bCs/>
          <w:sz w:val="18"/>
          <w:szCs w:val="18"/>
        </w:rPr>
        <w:t>CYSTAT</w:t>
      </w:r>
      <w:r w:rsidRPr="005908DA">
        <w:rPr>
          <w:rFonts w:ascii="Verdana" w:hAnsi="Verdana"/>
          <w:b/>
          <w:bCs/>
          <w:sz w:val="18"/>
          <w:szCs w:val="18"/>
          <w:lang w:val="el-GR"/>
        </w:rPr>
        <w:t>-</w:t>
      </w:r>
      <w:r w:rsidRPr="005908DA">
        <w:rPr>
          <w:rFonts w:ascii="Verdana" w:hAnsi="Verdana"/>
          <w:b/>
          <w:bCs/>
          <w:sz w:val="18"/>
          <w:szCs w:val="18"/>
        </w:rPr>
        <w:t>DB</w:t>
      </w:r>
      <w:r w:rsidRPr="005908DA">
        <w:rPr>
          <w:rFonts w:ascii="Verdana" w:hAnsi="Verdana"/>
          <w:b/>
          <w:bCs/>
          <w:sz w:val="18"/>
          <w:szCs w:val="18"/>
          <w:lang w:val="el-GR"/>
        </w:rPr>
        <w:t>.</w:t>
      </w:r>
    </w:p>
    <w:p w14:paraId="63D1B0A8" w14:textId="77777777" w:rsidR="00FF7292" w:rsidRPr="005908DA" w:rsidRDefault="00FF7292" w:rsidP="00FF7292">
      <w:pPr>
        <w:jc w:val="both"/>
        <w:rPr>
          <w:rFonts w:ascii="Verdana" w:eastAsia="Malgun Gothic" w:hAnsi="Verdana" w:cs="Arial"/>
          <w:sz w:val="18"/>
          <w:szCs w:val="18"/>
          <w:lang w:val="el-GR"/>
        </w:rPr>
      </w:pPr>
    </w:p>
    <w:p w14:paraId="7E730747" w14:textId="77777777" w:rsidR="00FF7292" w:rsidRPr="005908DA" w:rsidRDefault="00FF7292" w:rsidP="00FF7292">
      <w:pPr>
        <w:jc w:val="both"/>
        <w:rPr>
          <w:rFonts w:ascii="Verdana" w:eastAsia="Malgun Gothic" w:hAnsi="Verdana" w:cs="Arial"/>
          <w:i/>
          <w:sz w:val="18"/>
          <w:szCs w:val="18"/>
          <w:u w:val="single"/>
          <w:lang w:val="el-GR"/>
        </w:rPr>
      </w:pPr>
      <w:r w:rsidRPr="005908DA">
        <w:rPr>
          <w:rFonts w:ascii="Verdana" w:eastAsia="Malgun Gothic" w:hAnsi="Verdana" w:cs="Arial"/>
          <w:i/>
          <w:sz w:val="18"/>
          <w:szCs w:val="18"/>
          <w:u w:val="single"/>
          <w:lang w:val="el-GR"/>
        </w:rPr>
        <w:t>Επικοινωνία</w:t>
      </w:r>
    </w:p>
    <w:p w14:paraId="1DEB1E5D" w14:textId="77777777"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sz w:val="18"/>
          <w:szCs w:val="18"/>
          <w:lang w:val="el-GR"/>
        </w:rPr>
        <w:t xml:space="preserve">Ελένη </w:t>
      </w:r>
      <w:proofErr w:type="spellStart"/>
      <w:r w:rsidRPr="005908DA">
        <w:rPr>
          <w:rFonts w:ascii="Verdana" w:eastAsia="Malgun Gothic" w:hAnsi="Verdana" w:cs="Arial"/>
          <w:sz w:val="18"/>
          <w:szCs w:val="18"/>
          <w:lang w:val="el-GR"/>
        </w:rPr>
        <w:t>Χαπέρη</w:t>
      </w:r>
      <w:proofErr w:type="spellEnd"/>
      <w:r w:rsidRPr="005908DA">
        <w:rPr>
          <w:rFonts w:ascii="Verdana" w:eastAsia="Malgun Gothic" w:hAnsi="Verdana" w:cs="Arial"/>
          <w:sz w:val="18"/>
          <w:szCs w:val="18"/>
          <w:lang w:val="el-GR"/>
        </w:rPr>
        <w:t xml:space="preserve">: </w:t>
      </w:r>
      <w:proofErr w:type="spellStart"/>
      <w:r w:rsidRPr="005908DA">
        <w:rPr>
          <w:rFonts w:ascii="Verdana" w:eastAsia="Malgun Gothic" w:hAnsi="Verdana" w:cs="Arial"/>
          <w:sz w:val="18"/>
          <w:szCs w:val="18"/>
          <w:lang w:val="el-GR"/>
        </w:rPr>
        <w:t>Τηλ</w:t>
      </w:r>
      <w:proofErr w:type="spellEnd"/>
      <w:r w:rsidRPr="005908DA">
        <w:rPr>
          <w:rFonts w:ascii="Verdana" w:eastAsia="Malgun Gothic" w:hAnsi="Verdana" w:cs="Arial"/>
          <w:sz w:val="18"/>
          <w:szCs w:val="18"/>
          <w:lang w:val="el-GR"/>
        </w:rPr>
        <w:t xml:space="preserve">:+35722602157, </w:t>
      </w:r>
      <w:proofErr w:type="spellStart"/>
      <w:r w:rsidRPr="005908DA">
        <w:rPr>
          <w:rFonts w:ascii="Verdana" w:eastAsia="Malgun Gothic" w:hAnsi="Verdana" w:cs="Arial"/>
          <w:sz w:val="18"/>
          <w:szCs w:val="18"/>
          <w:lang w:val="el-GR"/>
        </w:rPr>
        <w:t>Ηλ.Ταχ</w:t>
      </w:r>
      <w:proofErr w:type="spellEnd"/>
      <w:r w:rsidRPr="005908DA">
        <w:rPr>
          <w:rFonts w:ascii="Verdana" w:eastAsia="Malgun Gothic" w:hAnsi="Verdana" w:cs="Arial"/>
          <w:sz w:val="18"/>
          <w:szCs w:val="18"/>
          <w:lang w:val="el-GR"/>
        </w:rPr>
        <w:t xml:space="preserve">.: </w:t>
      </w:r>
      <w:r>
        <w:fldChar w:fldCharType="begin"/>
      </w:r>
      <w:r>
        <w:instrText>HYPERLINK</w:instrText>
      </w:r>
      <w:r w:rsidRPr="007F75F0">
        <w:rPr>
          <w:lang w:val="el-GR"/>
        </w:rPr>
        <w:instrText xml:space="preserve"> "</w:instrText>
      </w:r>
      <w:r>
        <w:instrText>mailto</w:instrText>
      </w:r>
      <w:r w:rsidRPr="007F75F0">
        <w:rPr>
          <w:lang w:val="el-GR"/>
        </w:rPr>
        <w:instrText>:</w:instrText>
      </w:r>
      <w:r>
        <w:instrText>ehaperi</w:instrText>
      </w:r>
      <w:r w:rsidRPr="007F75F0">
        <w:rPr>
          <w:lang w:val="el-GR"/>
        </w:rPr>
        <w:instrText>@</w:instrText>
      </w:r>
      <w:r>
        <w:instrText>cystat</w:instrText>
      </w:r>
      <w:r w:rsidRPr="007F75F0">
        <w:rPr>
          <w:lang w:val="el-GR"/>
        </w:rPr>
        <w:instrText>.</w:instrText>
      </w:r>
      <w:r>
        <w:instrText>mof</w:instrText>
      </w:r>
      <w:r w:rsidRPr="007F75F0">
        <w:rPr>
          <w:lang w:val="el-GR"/>
        </w:rPr>
        <w:instrText>.</w:instrText>
      </w:r>
      <w:r>
        <w:instrText>gov</w:instrText>
      </w:r>
      <w:r w:rsidRPr="007F75F0">
        <w:rPr>
          <w:lang w:val="el-GR"/>
        </w:rPr>
        <w:instrText>.</w:instrText>
      </w:r>
      <w:r>
        <w:instrText>cy</w:instrText>
      </w:r>
      <w:r w:rsidRPr="007F75F0">
        <w:rPr>
          <w:lang w:val="el-GR"/>
        </w:rPr>
        <w:instrText>"</w:instrText>
      </w:r>
      <w:r>
        <w:fldChar w:fldCharType="separate"/>
      </w:r>
      <w:r w:rsidRPr="005908DA">
        <w:rPr>
          <w:rStyle w:val="Hyperlink"/>
          <w:rFonts w:ascii="Verdana" w:eastAsia="Malgun Gothic" w:hAnsi="Verdana" w:cs="Arial"/>
          <w:sz w:val="18"/>
          <w:szCs w:val="18"/>
          <w:lang w:val="el-GR"/>
        </w:rPr>
        <w:t>ehaperi@cystat.mof.gov.cy</w:t>
      </w:r>
      <w:r>
        <w:fldChar w:fldCharType="end"/>
      </w:r>
    </w:p>
    <w:p w14:paraId="5FF89B18" w14:textId="77777777" w:rsidR="00FF7292" w:rsidRPr="005908DA" w:rsidRDefault="00FF7292" w:rsidP="00FF7292">
      <w:pPr>
        <w:jc w:val="both"/>
        <w:rPr>
          <w:rFonts w:ascii="Verdana" w:eastAsia="Malgun Gothic" w:hAnsi="Verdana" w:cs="Arial"/>
          <w:sz w:val="18"/>
          <w:szCs w:val="18"/>
          <w:lang w:val="el-GR"/>
        </w:rPr>
      </w:pPr>
      <w:r w:rsidRPr="005908DA">
        <w:rPr>
          <w:rFonts w:ascii="Verdana" w:eastAsia="Malgun Gothic" w:hAnsi="Verdana" w:cs="Arial"/>
          <w:sz w:val="18"/>
          <w:szCs w:val="18"/>
          <w:lang w:val="el-GR"/>
        </w:rPr>
        <w:t xml:space="preserve">Αναστασία </w:t>
      </w:r>
      <w:proofErr w:type="spellStart"/>
      <w:r w:rsidRPr="005908DA">
        <w:rPr>
          <w:rFonts w:ascii="Verdana" w:eastAsia="Malgun Gothic" w:hAnsi="Verdana" w:cs="Arial"/>
          <w:sz w:val="18"/>
          <w:szCs w:val="18"/>
          <w:lang w:val="el-GR"/>
        </w:rPr>
        <w:t>Πασιαρδή</w:t>
      </w:r>
      <w:proofErr w:type="spellEnd"/>
      <w:r w:rsidRPr="005908DA">
        <w:rPr>
          <w:rFonts w:ascii="Verdana" w:eastAsia="Malgun Gothic" w:hAnsi="Verdana" w:cs="Arial"/>
          <w:sz w:val="18"/>
          <w:szCs w:val="18"/>
          <w:lang w:val="el-GR"/>
        </w:rPr>
        <w:t xml:space="preserve">: </w:t>
      </w:r>
      <w:proofErr w:type="spellStart"/>
      <w:r w:rsidRPr="005908DA">
        <w:rPr>
          <w:rFonts w:ascii="Verdana" w:eastAsia="Malgun Gothic" w:hAnsi="Verdana" w:cs="Arial"/>
          <w:sz w:val="18"/>
          <w:szCs w:val="18"/>
          <w:lang w:val="el-GR"/>
        </w:rPr>
        <w:t>Τηλ</w:t>
      </w:r>
      <w:proofErr w:type="spellEnd"/>
      <w:r w:rsidRPr="005908DA">
        <w:rPr>
          <w:rFonts w:ascii="Verdana" w:eastAsia="Malgun Gothic" w:hAnsi="Verdana" w:cs="Arial"/>
          <w:sz w:val="18"/>
          <w:szCs w:val="18"/>
          <w:lang w:val="el-GR"/>
        </w:rPr>
        <w:t xml:space="preserve">:+35722605113, </w:t>
      </w:r>
      <w:proofErr w:type="spellStart"/>
      <w:r w:rsidRPr="005908DA">
        <w:rPr>
          <w:rFonts w:ascii="Verdana" w:eastAsia="Malgun Gothic" w:hAnsi="Verdana" w:cs="Arial"/>
          <w:sz w:val="18"/>
          <w:szCs w:val="18"/>
          <w:lang w:val="el-GR"/>
        </w:rPr>
        <w:t>Ηλ.Ταχ</w:t>
      </w:r>
      <w:proofErr w:type="spellEnd"/>
      <w:r w:rsidRPr="005908DA">
        <w:rPr>
          <w:rFonts w:ascii="Verdana" w:eastAsia="Malgun Gothic" w:hAnsi="Verdana" w:cs="Arial"/>
          <w:sz w:val="18"/>
          <w:szCs w:val="18"/>
          <w:lang w:val="el-GR"/>
        </w:rPr>
        <w:t xml:space="preserve">.: </w:t>
      </w:r>
      <w:hyperlink r:id="rId10" w:history="1">
        <w:r w:rsidRPr="005908DA">
          <w:rPr>
            <w:rStyle w:val="Hyperlink"/>
            <w:rFonts w:ascii="Verdana" w:eastAsia="Malgun Gothic" w:hAnsi="Verdana" w:cs="Arial"/>
            <w:sz w:val="18"/>
            <w:szCs w:val="18"/>
            <w:lang w:val="el-GR"/>
          </w:rPr>
          <w:t>apashiardi@cystat.mof.gov.cy</w:t>
        </w:r>
      </w:hyperlink>
    </w:p>
    <w:p w14:paraId="43C523E5" w14:textId="77777777" w:rsidR="001712CF" w:rsidRPr="00FF7292" w:rsidRDefault="001712CF" w:rsidP="00FF7292">
      <w:pPr>
        <w:rPr>
          <w:lang w:val="el-GR"/>
        </w:rPr>
      </w:pPr>
    </w:p>
    <w:sectPr w:rsidR="001712CF" w:rsidRPr="00FF7292" w:rsidSect="00186CC3">
      <w:headerReference w:type="default" r:id="rId11"/>
      <w:footerReference w:type="default" r:id="rId12"/>
      <w:headerReference w:type="first" r:id="rId13"/>
      <w:footerReference w:type="first" r:id="rId14"/>
      <w:pgSz w:w="11907" w:h="16840" w:code="9"/>
      <w:pgMar w:top="567" w:right="1185" w:bottom="426" w:left="1134"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53857" w14:textId="77777777" w:rsidR="00B40528" w:rsidRDefault="00B40528" w:rsidP="00FB398F">
      <w:r>
        <w:separator/>
      </w:r>
    </w:p>
  </w:endnote>
  <w:endnote w:type="continuationSeparator" w:id="0">
    <w:p w14:paraId="7CEA87EA" w14:textId="77777777" w:rsidR="00B40528" w:rsidRDefault="00B4052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E4C53"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B7C7" w14:textId="77777777" w:rsidR="004E4F42" w:rsidRPr="00344FF7" w:rsidRDefault="004E4F42" w:rsidP="000932CF">
    <w:pPr>
      <w:pStyle w:val="Footer"/>
      <w:pBdr>
        <w:top w:val="single" w:sz="4" w:space="0" w:color="auto"/>
      </w:pBdr>
      <w:tabs>
        <w:tab w:val="left" w:pos="4500"/>
      </w:tabs>
      <w:jc w:val="center"/>
      <w:rPr>
        <w:rFonts w:ascii="Verdana" w:hAnsi="Verdana" w:cs="Arial"/>
        <w:sz w:val="16"/>
        <w:szCs w:val="16"/>
        <w:lang w:val="el-GR"/>
      </w:rPr>
    </w:pPr>
    <w:r w:rsidRPr="00344FF7">
      <w:rPr>
        <w:rFonts w:ascii="Verdana" w:hAnsi="Verdana" w:cs="Arial"/>
        <w:sz w:val="16"/>
        <w:szCs w:val="16"/>
        <w:lang w:val="el-GR"/>
      </w:rPr>
      <w:t>Διεύθυνση: Μιχα</w:t>
    </w:r>
    <w:r w:rsidR="00FD5B5F" w:rsidRPr="00344FF7">
      <w:rPr>
        <w:rFonts w:ascii="Verdana" w:hAnsi="Verdana" w:cs="Arial"/>
        <w:sz w:val="16"/>
        <w:szCs w:val="16"/>
        <w:lang w:val="el-GR"/>
      </w:rPr>
      <w:t>ήλ</w:t>
    </w:r>
    <w:r w:rsidRPr="00344FF7">
      <w:rPr>
        <w:rFonts w:ascii="Verdana" w:hAnsi="Verdana" w:cs="Arial"/>
        <w:sz w:val="16"/>
        <w:szCs w:val="16"/>
        <w:lang w:val="el-GR"/>
      </w:rPr>
      <w:t xml:space="preserve"> </w:t>
    </w:r>
    <w:proofErr w:type="spellStart"/>
    <w:r w:rsidRPr="00344FF7">
      <w:rPr>
        <w:rFonts w:ascii="Verdana" w:hAnsi="Verdana" w:cs="Arial"/>
        <w:sz w:val="16"/>
        <w:szCs w:val="16"/>
        <w:lang w:val="el-GR"/>
      </w:rPr>
      <w:t>Καραολή</w:t>
    </w:r>
    <w:proofErr w:type="spellEnd"/>
    <w:r w:rsidRPr="00344FF7">
      <w:rPr>
        <w:rFonts w:ascii="Verdana" w:hAnsi="Verdana" w:cs="Arial"/>
        <w:sz w:val="16"/>
        <w:szCs w:val="16"/>
        <w:lang w:val="el-GR"/>
      </w:rPr>
      <w:t>, 1444 Λευκωσία, Κύπρος</w:t>
    </w:r>
  </w:p>
  <w:p w14:paraId="70CD41BB" w14:textId="0E68DD93" w:rsidR="004E4F42" w:rsidRPr="00344FF7" w:rsidRDefault="004E4F42" w:rsidP="000932CF">
    <w:pPr>
      <w:pStyle w:val="Footer"/>
      <w:tabs>
        <w:tab w:val="left" w:pos="4500"/>
      </w:tabs>
      <w:jc w:val="center"/>
      <w:rPr>
        <w:rFonts w:ascii="Verdana" w:hAnsi="Verdana" w:cs="Arial"/>
        <w:sz w:val="16"/>
        <w:szCs w:val="16"/>
        <w:lang w:val="de-DE"/>
      </w:rPr>
    </w:pPr>
    <w:proofErr w:type="spellStart"/>
    <w:r w:rsidRPr="00344FF7">
      <w:rPr>
        <w:rFonts w:ascii="Verdana" w:hAnsi="Verdana" w:cs="Arial"/>
        <w:sz w:val="16"/>
        <w:szCs w:val="16"/>
        <w:lang w:val="el-GR"/>
      </w:rPr>
      <w:t>Τηλ</w:t>
    </w:r>
    <w:proofErr w:type="spellEnd"/>
    <w:r w:rsidRPr="00344FF7">
      <w:rPr>
        <w:rFonts w:ascii="Verdana" w:hAnsi="Verdana" w:cs="Arial"/>
        <w:sz w:val="16"/>
        <w:szCs w:val="16"/>
        <w:lang w:val="pt-PT"/>
      </w:rPr>
      <w:t xml:space="preserve">.: 22 602129, </w:t>
    </w:r>
    <w:r w:rsidR="00344FF7" w:rsidRPr="00707D85">
      <w:rPr>
        <w:rFonts w:ascii="Verdana" w:hAnsi="Verdana" w:cs="Arial"/>
        <w:iCs/>
        <w:sz w:val="16"/>
        <w:szCs w:val="16"/>
        <w:lang w:val="de-DE"/>
      </w:rPr>
      <w:t>Ηλ. Ταχ.</w:t>
    </w:r>
    <w:r w:rsidRPr="00344FF7">
      <w:rPr>
        <w:rFonts w:ascii="Verdana" w:hAnsi="Verdana" w:cs="Arial"/>
        <w:sz w:val="16"/>
        <w:szCs w:val="16"/>
        <w:lang w:val="de-DE"/>
      </w:rPr>
      <w:t xml:space="preserve">: </w:t>
    </w:r>
    <w:r>
      <w:fldChar w:fldCharType="begin"/>
    </w:r>
    <w:r>
      <w:instrText>HYPERLINK</w:instrText>
    </w:r>
    <w:r w:rsidRPr="007F75F0">
      <w:rPr>
        <w:lang w:val="el-GR"/>
      </w:rPr>
      <w:instrText xml:space="preserve"> "</w:instrText>
    </w:r>
    <w:r>
      <w:instrText>mailto</w:instrText>
    </w:r>
    <w:r w:rsidRPr="007F75F0">
      <w:rPr>
        <w:lang w:val="el-GR"/>
      </w:rPr>
      <w:instrText>:</w:instrText>
    </w:r>
    <w:r>
      <w:instrText>enquiries</w:instrText>
    </w:r>
    <w:r w:rsidRPr="007F75F0">
      <w:rPr>
        <w:lang w:val="el-GR"/>
      </w:rPr>
      <w:instrText>@</w:instrText>
    </w:r>
    <w:r>
      <w:instrText>cystat</w:instrText>
    </w:r>
    <w:r w:rsidRPr="007F75F0">
      <w:rPr>
        <w:lang w:val="el-GR"/>
      </w:rPr>
      <w:instrText>.</w:instrText>
    </w:r>
    <w:r>
      <w:instrText>mof</w:instrText>
    </w:r>
    <w:r w:rsidRPr="007F75F0">
      <w:rPr>
        <w:lang w:val="el-GR"/>
      </w:rPr>
      <w:instrText>.</w:instrText>
    </w:r>
    <w:r>
      <w:instrText>gov</w:instrText>
    </w:r>
    <w:r w:rsidRPr="007F75F0">
      <w:rPr>
        <w:lang w:val="el-GR"/>
      </w:rPr>
      <w:instrText>.</w:instrText>
    </w:r>
    <w:r>
      <w:instrText>cy</w:instrText>
    </w:r>
    <w:r w:rsidRPr="007F75F0">
      <w:rPr>
        <w:lang w:val="el-GR"/>
      </w:rPr>
      <w:instrText>"</w:instrText>
    </w:r>
    <w:r>
      <w:fldChar w:fldCharType="separate"/>
    </w:r>
    <w:r w:rsidRPr="00344FF7">
      <w:rPr>
        <w:rStyle w:val="Hyperlink"/>
        <w:rFonts w:ascii="Verdana" w:hAnsi="Verdana" w:cs="Arial"/>
        <w:sz w:val="16"/>
        <w:szCs w:val="16"/>
        <w:lang w:val="de-DE"/>
      </w:rPr>
      <w:t>enquiries@cystat.mof.gov.cy</w:t>
    </w:r>
    <w:r>
      <w:fldChar w:fldCharType="end"/>
    </w:r>
    <w:r w:rsidRPr="00344FF7">
      <w:rPr>
        <w:rFonts w:ascii="Verdana" w:hAnsi="Verdana" w:cs="Arial"/>
        <w:sz w:val="16"/>
        <w:szCs w:val="16"/>
        <w:lang w:val="de-DE"/>
      </w:rPr>
      <w:t xml:space="preserve">  </w:t>
    </w:r>
  </w:p>
  <w:p w14:paraId="0D5F871E" w14:textId="5291EA03" w:rsidR="004E4F42" w:rsidRPr="00344FF7" w:rsidRDefault="00344FF7" w:rsidP="000932CF">
    <w:pPr>
      <w:pStyle w:val="Footer"/>
      <w:tabs>
        <w:tab w:val="left" w:pos="4500"/>
      </w:tabs>
      <w:jc w:val="center"/>
      <w:rPr>
        <w:rFonts w:ascii="Verdana" w:hAnsi="Verdana" w:cs="Arial"/>
        <w:sz w:val="16"/>
        <w:szCs w:val="16"/>
        <w:lang w:val="el-GR"/>
      </w:rPr>
    </w:pPr>
    <w:r w:rsidRPr="00344FF7">
      <w:rPr>
        <w:rFonts w:ascii="Verdana" w:hAnsi="Verdana" w:cs="Arial"/>
        <w:sz w:val="16"/>
        <w:szCs w:val="16"/>
        <w:lang w:val="el-GR"/>
      </w:rPr>
      <w:t>Διαδικτυακή Πύλη</w:t>
    </w:r>
    <w:r w:rsidR="004E4F42" w:rsidRPr="00344FF7">
      <w:rPr>
        <w:rFonts w:ascii="Verdana" w:hAnsi="Verdana" w:cs="Arial"/>
        <w:sz w:val="16"/>
        <w:szCs w:val="16"/>
        <w:lang w:val="el-GR"/>
      </w:rPr>
      <w:t xml:space="preserve">: </w:t>
    </w:r>
    <w:hyperlink r:id="rId1" w:history="1">
      <w:r w:rsidR="004E4F42" w:rsidRPr="00344FF7">
        <w:rPr>
          <w:rStyle w:val="Hyperlink"/>
          <w:rFonts w:ascii="Verdana" w:hAnsi="Verdana" w:cs="Arial"/>
          <w:sz w:val="16"/>
          <w:szCs w:val="16"/>
        </w:rPr>
        <w:t>http</w:t>
      </w:r>
      <w:r w:rsidR="004E4F42" w:rsidRPr="00344FF7">
        <w:rPr>
          <w:rStyle w:val="Hyperlink"/>
          <w:rFonts w:ascii="Verdana" w:hAnsi="Verdana" w:cs="Arial"/>
          <w:sz w:val="16"/>
          <w:szCs w:val="16"/>
          <w:lang w:val="el-GR"/>
        </w:rPr>
        <w:t>://</w:t>
      </w:r>
      <w:r w:rsidR="004E4F42" w:rsidRPr="00344FF7">
        <w:rPr>
          <w:rStyle w:val="Hyperlink"/>
          <w:rFonts w:ascii="Verdana" w:hAnsi="Verdana" w:cs="Arial"/>
          <w:sz w:val="16"/>
          <w:szCs w:val="16"/>
        </w:rPr>
        <w:t>www</w:t>
      </w:r>
      <w:r w:rsidR="004E4F42" w:rsidRPr="00344FF7">
        <w:rPr>
          <w:rStyle w:val="Hyperlink"/>
          <w:rFonts w:ascii="Verdana" w:hAnsi="Verdana" w:cs="Arial"/>
          <w:sz w:val="16"/>
          <w:szCs w:val="16"/>
          <w:lang w:val="el-GR"/>
        </w:rPr>
        <w:t>.</w:t>
      </w:r>
      <w:proofErr w:type="spellStart"/>
      <w:r w:rsidR="004E4F42" w:rsidRPr="00344FF7">
        <w:rPr>
          <w:rStyle w:val="Hyperlink"/>
          <w:rFonts w:ascii="Verdana" w:hAnsi="Verdana" w:cs="Arial"/>
          <w:sz w:val="16"/>
          <w:szCs w:val="16"/>
        </w:rPr>
        <w:t>cystat</w:t>
      </w:r>
      <w:proofErr w:type="spellEnd"/>
      <w:r w:rsidR="004E4F42" w:rsidRPr="00344FF7">
        <w:rPr>
          <w:rStyle w:val="Hyperlink"/>
          <w:rFonts w:ascii="Verdana" w:hAnsi="Verdana" w:cs="Arial"/>
          <w:sz w:val="16"/>
          <w:szCs w:val="16"/>
          <w:lang w:val="el-GR"/>
        </w:rPr>
        <w:t>.</w:t>
      </w:r>
      <w:r w:rsidR="004E4F42" w:rsidRPr="00344FF7">
        <w:rPr>
          <w:rStyle w:val="Hyperlink"/>
          <w:rFonts w:ascii="Verdana" w:hAnsi="Verdana" w:cs="Arial"/>
          <w:sz w:val="16"/>
          <w:szCs w:val="16"/>
        </w:rPr>
        <w:t>gov</w:t>
      </w:r>
      <w:r w:rsidR="004E4F42" w:rsidRPr="00344FF7">
        <w:rPr>
          <w:rStyle w:val="Hyperlink"/>
          <w:rFonts w:ascii="Verdana" w:hAnsi="Verdana" w:cs="Arial"/>
          <w:sz w:val="16"/>
          <w:szCs w:val="16"/>
          <w:lang w:val="el-GR"/>
        </w:rPr>
        <w:t>.</w:t>
      </w:r>
      <w:r w:rsidR="004E4F42" w:rsidRPr="00344FF7">
        <w:rPr>
          <w:rStyle w:val="Hyperlink"/>
          <w:rFonts w:ascii="Verdana" w:hAnsi="Verdana" w:cs="Arial"/>
          <w:sz w:val="16"/>
          <w:szCs w:val="16"/>
        </w:rPr>
        <w:t>cy</w:t>
      </w:r>
    </w:hyperlink>
    <w:r w:rsidR="004E4F42" w:rsidRPr="00344FF7">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1F58" w14:textId="77777777" w:rsidR="00B40528" w:rsidRDefault="00B40528" w:rsidP="00FB398F">
      <w:r>
        <w:separator/>
      </w:r>
    </w:p>
  </w:footnote>
  <w:footnote w:type="continuationSeparator" w:id="0">
    <w:p w14:paraId="2483ABB8" w14:textId="77777777" w:rsidR="00B40528" w:rsidRDefault="00B4052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98B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8E7F" w14:textId="77777777"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07210158" wp14:editId="183D3F79">
          <wp:simplePos x="0" y="0"/>
          <wp:positionH relativeFrom="column">
            <wp:posOffset>523875</wp:posOffset>
          </wp:positionH>
          <wp:positionV relativeFrom="paragraph">
            <wp:posOffset>168910</wp:posOffset>
          </wp:positionV>
          <wp:extent cx="676275" cy="676275"/>
          <wp:effectExtent l="0" t="0" r="0" b="0"/>
          <wp:wrapNone/>
          <wp:docPr id="132228575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0B8C8C5" wp14:editId="4BFAEFCD">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FF035AC" w14:textId="77777777" w:rsidR="004E4F42" w:rsidRDefault="001712CF" w:rsidP="000932CF">
                          <w:r w:rsidRPr="00B96284">
                            <w:rPr>
                              <w:noProof/>
                            </w:rPr>
                            <w:drawing>
                              <wp:inline distT="0" distB="0" distL="0" distR="0" wp14:anchorId="6F94E45D" wp14:editId="3E09AFAF">
                                <wp:extent cx="1095375" cy="790575"/>
                                <wp:effectExtent l="0" t="0" r="0" b="0"/>
                                <wp:docPr id="8330594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8C8C5"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FF035AC" w14:textId="77777777" w:rsidR="004E4F42" w:rsidRDefault="001712CF" w:rsidP="000932CF">
                    <w:r w:rsidRPr="00B96284">
                      <w:rPr>
                        <w:noProof/>
                      </w:rPr>
                      <w:drawing>
                        <wp:inline distT="0" distB="0" distL="0" distR="0" wp14:anchorId="6F94E45D" wp14:editId="3E09AFAF">
                          <wp:extent cx="1095375" cy="790575"/>
                          <wp:effectExtent l="0" t="0" r="0" b="0"/>
                          <wp:docPr id="8330594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74CE7B30" wp14:editId="3058E570">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845EE36" w14:textId="77777777" w:rsidR="004E4F42" w:rsidRDefault="001712CF" w:rsidP="000932CF">
                          <w:r w:rsidRPr="00B96284">
                            <w:rPr>
                              <w:noProof/>
                            </w:rPr>
                            <w:drawing>
                              <wp:inline distT="0" distB="0" distL="0" distR="0" wp14:anchorId="14A595A2" wp14:editId="2F6A1F26">
                                <wp:extent cx="1276350" cy="1009650"/>
                                <wp:effectExtent l="0" t="0" r="0" b="0"/>
                                <wp:docPr id="633034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7B30"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845EE36" w14:textId="77777777" w:rsidR="004E4F42" w:rsidRDefault="001712CF" w:rsidP="000932CF">
                    <w:r w:rsidRPr="00B96284">
                      <w:rPr>
                        <w:noProof/>
                      </w:rPr>
                      <w:drawing>
                        <wp:inline distT="0" distB="0" distL="0" distR="0" wp14:anchorId="14A595A2" wp14:editId="2F6A1F26">
                          <wp:extent cx="1276350" cy="1009650"/>
                          <wp:effectExtent l="0" t="0" r="0" b="0"/>
                          <wp:docPr id="633034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186761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7E6DA6B9"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FA1FAE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4230E6B" w14:textId="77777777"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5D66BD0C" wp14:editId="6E44FD0B">
              <wp:simplePos x="0" y="0"/>
              <wp:positionH relativeFrom="column">
                <wp:posOffset>4004310</wp:posOffset>
              </wp:positionH>
              <wp:positionV relativeFrom="paragraph">
                <wp:posOffset>102870</wp:posOffset>
              </wp:positionV>
              <wp:extent cx="19812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D3218" w14:textId="77777777" w:rsidR="004E4F42" w:rsidRPr="00344FF7" w:rsidRDefault="004E4F42" w:rsidP="00344FF7">
                          <w:pPr>
                            <w:jc w:val="center"/>
                            <w:rPr>
                              <w:rFonts w:ascii="Verdana" w:hAnsi="Verdana" w:cs="Arial"/>
                              <w:b/>
                              <w:sz w:val="20"/>
                              <w:szCs w:val="20"/>
                            </w:rPr>
                          </w:pPr>
                          <w:r w:rsidRPr="00344FF7">
                            <w:rPr>
                              <w:rFonts w:ascii="Verdana" w:hAnsi="Verdana" w:cs="Arial"/>
                              <w:b/>
                              <w:bCs/>
                              <w:sz w:val="20"/>
                              <w:szCs w:val="20"/>
                            </w:rPr>
                            <w:t>ΣΤΑΤΙΣΤΙΚΗ ΥΠΗΡΕΣΙΑ</w:t>
                          </w:r>
                          <w:r w:rsidRPr="00344FF7">
                            <w:rPr>
                              <w:rFonts w:ascii="Verdana" w:hAnsi="Verdana" w:cs="Arial"/>
                              <w:b/>
                              <w:sz w:val="20"/>
                              <w:szCs w:val="20"/>
                            </w:rPr>
                            <w:t xml:space="preserve">  </w:t>
                          </w:r>
                        </w:p>
                        <w:p w14:paraId="2AC78B8D" w14:textId="77777777" w:rsidR="004E4F42" w:rsidRPr="00344FF7" w:rsidRDefault="004E4F42" w:rsidP="00344FF7">
                          <w:pPr>
                            <w:jc w:val="center"/>
                            <w:rPr>
                              <w:rFonts w:ascii="Verdana" w:hAnsi="Verdana" w:cs="Arial"/>
                              <w:b/>
                              <w:sz w:val="20"/>
                              <w:szCs w:val="20"/>
                            </w:rPr>
                          </w:pPr>
                          <w:r w:rsidRPr="00344FF7">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BD0C" id="Text Box 16" o:spid="_x0000_s1028" type="#_x0000_t202" style="position:absolute;margin-left:315.3pt;margin-top:8.1pt;width:15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" stroked="f">
              <v:textbox>
                <w:txbxContent>
                  <w:p w14:paraId="138D3218" w14:textId="77777777" w:rsidR="004E4F42" w:rsidRPr="00344FF7" w:rsidRDefault="004E4F42" w:rsidP="00344FF7">
                    <w:pPr>
                      <w:jc w:val="center"/>
                      <w:rPr>
                        <w:rFonts w:ascii="Verdana" w:hAnsi="Verdana" w:cs="Arial"/>
                        <w:b/>
                        <w:sz w:val="20"/>
                        <w:szCs w:val="20"/>
                      </w:rPr>
                    </w:pPr>
                    <w:r w:rsidRPr="00344FF7">
                      <w:rPr>
                        <w:rFonts w:ascii="Verdana" w:hAnsi="Verdana" w:cs="Arial"/>
                        <w:b/>
                        <w:bCs/>
                        <w:sz w:val="20"/>
                        <w:szCs w:val="20"/>
                      </w:rPr>
                      <w:t>ΣΤΑΤΙΣΤΙΚΗ ΥΠΗΡΕΣΙΑ</w:t>
                    </w:r>
                    <w:r w:rsidRPr="00344FF7">
                      <w:rPr>
                        <w:rFonts w:ascii="Verdana" w:hAnsi="Verdana" w:cs="Arial"/>
                        <w:b/>
                        <w:sz w:val="20"/>
                        <w:szCs w:val="20"/>
                      </w:rPr>
                      <w:t xml:space="preserve">  </w:t>
                    </w:r>
                  </w:p>
                  <w:p w14:paraId="2AC78B8D" w14:textId="77777777" w:rsidR="004E4F42" w:rsidRPr="00344FF7" w:rsidRDefault="004E4F42" w:rsidP="00344FF7">
                    <w:pPr>
                      <w:jc w:val="center"/>
                      <w:rPr>
                        <w:rFonts w:ascii="Verdana" w:hAnsi="Verdana" w:cs="Arial"/>
                        <w:b/>
                        <w:sz w:val="20"/>
                        <w:szCs w:val="20"/>
                      </w:rPr>
                    </w:pPr>
                    <w:r w:rsidRPr="00344FF7">
                      <w:rPr>
                        <w:rFonts w:ascii="Verdana" w:hAnsi="Verdana" w:cs="Arial"/>
                        <w:bCs/>
                        <w:sz w:val="20"/>
                        <w:szCs w:val="20"/>
                      </w:rPr>
                      <w:t>1444 ΛΕΥΚΩΣΙΑ</w:t>
                    </w:r>
                  </w:p>
                </w:txbxContent>
              </v:textbox>
            </v:shape>
          </w:pict>
        </mc:Fallback>
      </mc:AlternateContent>
    </w:r>
  </w:p>
  <w:p w14:paraId="1FECCF94" w14:textId="56679F53" w:rsidR="004E4F42" w:rsidRPr="00344FF7"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344FF7">
      <w:rPr>
        <w:rFonts w:ascii="Verdana" w:hAnsi="Verdana" w:cs="Arial"/>
        <w:bCs/>
        <w:sz w:val="20"/>
        <w:szCs w:val="20"/>
      </w:rPr>
      <w:t>ΚΥΠΡΙΑΚΗ ΔΗΜΟΚΡΑΤΙΑ</w:t>
    </w:r>
    <w:r w:rsidRPr="00344FF7">
      <w:rPr>
        <w:rFonts w:ascii="Verdana" w:hAnsi="Verdana"/>
        <w:b/>
        <w:bCs/>
        <w:sz w:val="20"/>
        <w:szCs w:val="20"/>
        <w:lang w:val="en-US"/>
      </w:rPr>
      <w:t xml:space="preserve"> </w:t>
    </w:r>
    <w:r w:rsidRPr="00344FF7">
      <w:rPr>
        <w:rFonts w:ascii="Verdana" w:hAnsi="Verdana"/>
        <w:b/>
        <w:bCs/>
        <w:sz w:val="20"/>
        <w:szCs w:val="20"/>
        <w:lang w:val="en-US"/>
      </w:rPr>
      <w:tab/>
    </w:r>
  </w:p>
  <w:p w14:paraId="5AE416C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7B4B1BCB"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D5F018E"/>
    <w:multiLevelType w:val="hybridMultilevel"/>
    <w:tmpl w:val="BD0CF742"/>
    <w:lvl w:ilvl="0" w:tplc="0B0AD5A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981344">
    <w:abstractNumId w:val="4"/>
  </w:num>
  <w:num w:numId="2" w16cid:durableId="997346965">
    <w:abstractNumId w:val="1"/>
  </w:num>
  <w:num w:numId="3" w16cid:durableId="872690747">
    <w:abstractNumId w:val="2"/>
  </w:num>
  <w:num w:numId="4" w16cid:durableId="1414474059">
    <w:abstractNumId w:val="3"/>
  </w:num>
  <w:num w:numId="5" w16cid:durableId="1158033014">
    <w:abstractNumId w:val="0"/>
  </w:num>
  <w:num w:numId="6" w16cid:durableId="1517617712">
    <w:abstractNumId w:val="5"/>
  </w:num>
  <w:num w:numId="7" w16cid:durableId="265041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1CE"/>
    <w:rsid w:val="00013E40"/>
    <w:rsid w:val="000161B1"/>
    <w:rsid w:val="00017F00"/>
    <w:rsid w:val="00022A93"/>
    <w:rsid w:val="00025A39"/>
    <w:rsid w:val="00025FBC"/>
    <w:rsid w:val="00027853"/>
    <w:rsid w:val="00030799"/>
    <w:rsid w:val="00030E18"/>
    <w:rsid w:val="00031D32"/>
    <w:rsid w:val="00035419"/>
    <w:rsid w:val="0003603D"/>
    <w:rsid w:val="00042F62"/>
    <w:rsid w:val="00043DDF"/>
    <w:rsid w:val="000442BC"/>
    <w:rsid w:val="00045088"/>
    <w:rsid w:val="000452EF"/>
    <w:rsid w:val="00045A06"/>
    <w:rsid w:val="00050391"/>
    <w:rsid w:val="00050991"/>
    <w:rsid w:val="000549CB"/>
    <w:rsid w:val="00055291"/>
    <w:rsid w:val="000563D3"/>
    <w:rsid w:val="00057E44"/>
    <w:rsid w:val="00061299"/>
    <w:rsid w:val="000625B2"/>
    <w:rsid w:val="0006388B"/>
    <w:rsid w:val="00065E74"/>
    <w:rsid w:val="000677CE"/>
    <w:rsid w:val="000700B5"/>
    <w:rsid w:val="00070576"/>
    <w:rsid w:val="000752BB"/>
    <w:rsid w:val="00080B60"/>
    <w:rsid w:val="00081ADF"/>
    <w:rsid w:val="00081B20"/>
    <w:rsid w:val="00081F53"/>
    <w:rsid w:val="00084A02"/>
    <w:rsid w:val="00084BF7"/>
    <w:rsid w:val="000870E9"/>
    <w:rsid w:val="000932CF"/>
    <w:rsid w:val="00095CCA"/>
    <w:rsid w:val="00096593"/>
    <w:rsid w:val="00096ED8"/>
    <w:rsid w:val="000A17D6"/>
    <w:rsid w:val="000A1A88"/>
    <w:rsid w:val="000A2B5C"/>
    <w:rsid w:val="000A3601"/>
    <w:rsid w:val="000A504C"/>
    <w:rsid w:val="000A6FA8"/>
    <w:rsid w:val="000A7A46"/>
    <w:rsid w:val="000B3D8F"/>
    <w:rsid w:val="000B7951"/>
    <w:rsid w:val="000C1070"/>
    <w:rsid w:val="000C4E72"/>
    <w:rsid w:val="000D100B"/>
    <w:rsid w:val="000D1E7A"/>
    <w:rsid w:val="000E04B7"/>
    <w:rsid w:val="000E24B1"/>
    <w:rsid w:val="000E2735"/>
    <w:rsid w:val="000E32D6"/>
    <w:rsid w:val="000E4CB0"/>
    <w:rsid w:val="000E5595"/>
    <w:rsid w:val="000E57F2"/>
    <w:rsid w:val="000E72A7"/>
    <w:rsid w:val="000F1162"/>
    <w:rsid w:val="000F3467"/>
    <w:rsid w:val="000F38DE"/>
    <w:rsid w:val="000F532A"/>
    <w:rsid w:val="000F5A55"/>
    <w:rsid w:val="000F5D6C"/>
    <w:rsid w:val="00106852"/>
    <w:rsid w:val="00110F9D"/>
    <w:rsid w:val="00111A8E"/>
    <w:rsid w:val="00114A67"/>
    <w:rsid w:val="00115A7C"/>
    <w:rsid w:val="00125067"/>
    <w:rsid w:val="001253B6"/>
    <w:rsid w:val="001262C3"/>
    <w:rsid w:val="00127320"/>
    <w:rsid w:val="00127456"/>
    <w:rsid w:val="001312D8"/>
    <w:rsid w:val="0013137B"/>
    <w:rsid w:val="001447A5"/>
    <w:rsid w:val="001479E7"/>
    <w:rsid w:val="0015118B"/>
    <w:rsid w:val="001519CE"/>
    <w:rsid w:val="00161CF3"/>
    <w:rsid w:val="00162C00"/>
    <w:rsid w:val="001639EF"/>
    <w:rsid w:val="0016589F"/>
    <w:rsid w:val="001712CF"/>
    <w:rsid w:val="0017769A"/>
    <w:rsid w:val="00183DFC"/>
    <w:rsid w:val="00184384"/>
    <w:rsid w:val="00184BAC"/>
    <w:rsid w:val="00186717"/>
    <w:rsid w:val="00186CC3"/>
    <w:rsid w:val="00187FFC"/>
    <w:rsid w:val="0019391C"/>
    <w:rsid w:val="001952B4"/>
    <w:rsid w:val="001A2018"/>
    <w:rsid w:val="001B2C39"/>
    <w:rsid w:val="001B3675"/>
    <w:rsid w:val="001B5E10"/>
    <w:rsid w:val="001B6AB3"/>
    <w:rsid w:val="001B73D5"/>
    <w:rsid w:val="001C0681"/>
    <w:rsid w:val="001C303E"/>
    <w:rsid w:val="001C62B3"/>
    <w:rsid w:val="001C7C8C"/>
    <w:rsid w:val="001D0D6A"/>
    <w:rsid w:val="001D20A4"/>
    <w:rsid w:val="001E00D1"/>
    <w:rsid w:val="001E0E58"/>
    <w:rsid w:val="001E14F3"/>
    <w:rsid w:val="001E15ED"/>
    <w:rsid w:val="001E61AA"/>
    <w:rsid w:val="001F07B3"/>
    <w:rsid w:val="001F2E0E"/>
    <w:rsid w:val="001F33E6"/>
    <w:rsid w:val="001F4F4B"/>
    <w:rsid w:val="0020309E"/>
    <w:rsid w:val="00210B58"/>
    <w:rsid w:val="002145A0"/>
    <w:rsid w:val="00221F5A"/>
    <w:rsid w:val="00222423"/>
    <w:rsid w:val="00225B28"/>
    <w:rsid w:val="00226891"/>
    <w:rsid w:val="00230B07"/>
    <w:rsid w:val="00230D9B"/>
    <w:rsid w:val="002313AC"/>
    <w:rsid w:val="00235C74"/>
    <w:rsid w:val="00235FB2"/>
    <w:rsid w:val="00237BC1"/>
    <w:rsid w:val="00241D67"/>
    <w:rsid w:val="002430B4"/>
    <w:rsid w:val="002447D0"/>
    <w:rsid w:val="00245347"/>
    <w:rsid w:val="002454C5"/>
    <w:rsid w:val="00245E19"/>
    <w:rsid w:val="00246AEB"/>
    <w:rsid w:val="00250005"/>
    <w:rsid w:val="0025254F"/>
    <w:rsid w:val="0025566D"/>
    <w:rsid w:val="0025595C"/>
    <w:rsid w:val="00257149"/>
    <w:rsid w:val="002576E7"/>
    <w:rsid w:val="00260357"/>
    <w:rsid w:val="00264F04"/>
    <w:rsid w:val="00267554"/>
    <w:rsid w:val="002711A9"/>
    <w:rsid w:val="00271D0A"/>
    <w:rsid w:val="0028338F"/>
    <w:rsid w:val="002915C4"/>
    <w:rsid w:val="00297E6B"/>
    <w:rsid w:val="002A1D1C"/>
    <w:rsid w:val="002A3D3B"/>
    <w:rsid w:val="002A4D64"/>
    <w:rsid w:val="002B4969"/>
    <w:rsid w:val="002B6554"/>
    <w:rsid w:val="002D05F0"/>
    <w:rsid w:val="002D2829"/>
    <w:rsid w:val="002D7D4A"/>
    <w:rsid w:val="002E3846"/>
    <w:rsid w:val="002E3F78"/>
    <w:rsid w:val="002F02C4"/>
    <w:rsid w:val="002F2DFB"/>
    <w:rsid w:val="002F400C"/>
    <w:rsid w:val="002F4D76"/>
    <w:rsid w:val="002F6D26"/>
    <w:rsid w:val="0030231E"/>
    <w:rsid w:val="003035B4"/>
    <w:rsid w:val="003037F7"/>
    <w:rsid w:val="003042C4"/>
    <w:rsid w:val="00304665"/>
    <w:rsid w:val="00304CB4"/>
    <w:rsid w:val="0030502D"/>
    <w:rsid w:val="00306C2C"/>
    <w:rsid w:val="00313F37"/>
    <w:rsid w:val="003141D0"/>
    <w:rsid w:val="003168C1"/>
    <w:rsid w:val="0032045C"/>
    <w:rsid w:val="00322FBE"/>
    <w:rsid w:val="00325632"/>
    <w:rsid w:val="00327549"/>
    <w:rsid w:val="00330229"/>
    <w:rsid w:val="003342A5"/>
    <w:rsid w:val="00334616"/>
    <w:rsid w:val="00336C36"/>
    <w:rsid w:val="00340D8A"/>
    <w:rsid w:val="00343815"/>
    <w:rsid w:val="00343F0A"/>
    <w:rsid w:val="00344FF7"/>
    <w:rsid w:val="00346D56"/>
    <w:rsid w:val="00350FC8"/>
    <w:rsid w:val="003522BB"/>
    <w:rsid w:val="00352F6C"/>
    <w:rsid w:val="003556EA"/>
    <w:rsid w:val="00357BD7"/>
    <w:rsid w:val="00360D3E"/>
    <w:rsid w:val="00363A43"/>
    <w:rsid w:val="003647C6"/>
    <w:rsid w:val="00374790"/>
    <w:rsid w:val="003802FA"/>
    <w:rsid w:val="0038692E"/>
    <w:rsid w:val="00386FC7"/>
    <w:rsid w:val="00390A32"/>
    <w:rsid w:val="003A1E91"/>
    <w:rsid w:val="003A40F2"/>
    <w:rsid w:val="003A50D1"/>
    <w:rsid w:val="003B196D"/>
    <w:rsid w:val="003B2710"/>
    <w:rsid w:val="003B4608"/>
    <w:rsid w:val="003C2392"/>
    <w:rsid w:val="003C5174"/>
    <w:rsid w:val="003C5240"/>
    <w:rsid w:val="003C76E6"/>
    <w:rsid w:val="003D14E0"/>
    <w:rsid w:val="003D1EA5"/>
    <w:rsid w:val="003D3348"/>
    <w:rsid w:val="003D4E63"/>
    <w:rsid w:val="003D6822"/>
    <w:rsid w:val="003D724C"/>
    <w:rsid w:val="003E0C63"/>
    <w:rsid w:val="003E0CE2"/>
    <w:rsid w:val="003F49E4"/>
    <w:rsid w:val="003F4D2F"/>
    <w:rsid w:val="003F5E32"/>
    <w:rsid w:val="003F75F6"/>
    <w:rsid w:val="00400B85"/>
    <w:rsid w:val="00404670"/>
    <w:rsid w:val="00411270"/>
    <w:rsid w:val="00414CA0"/>
    <w:rsid w:val="00417323"/>
    <w:rsid w:val="00421069"/>
    <w:rsid w:val="00422F54"/>
    <w:rsid w:val="00431516"/>
    <w:rsid w:val="0043597E"/>
    <w:rsid w:val="004361B3"/>
    <w:rsid w:val="0044249D"/>
    <w:rsid w:val="0044379F"/>
    <w:rsid w:val="0044414B"/>
    <w:rsid w:val="00444FCC"/>
    <w:rsid w:val="00446FB1"/>
    <w:rsid w:val="00452753"/>
    <w:rsid w:val="0046078F"/>
    <w:rsid w:val="00463214"/>
    <w:rsid w:val="0046434D"/>
    <w:rsid w:val="004656FA"/>
    <w:rsid w:val="004676F7"/>
    <w:rsid w:val="00471D77"/>
    <w:rsid w:val="00475587"/>
    <w:rsid w:val="00480BC2"/>
    <w:rsid w:val="004845C3"/>
    <w:rsid w:val="00485F26"/>
    <w:rsid w:val="004929C2"/>
    <w:rsid w:val="00493FDD"/>
    <w:rsid w:val="0049586B"/>
    <w:rsid w:val="004A3E44"/>
    <w:rsid w:val="004B2018"/>
    <w:rsid w:val="004B2896"/>
    <w:rsid w:val="004B38E9"/>
    <w:rsid w:val="004B3FBA"/>
    <w:rsid w:val="004B5FB3"/>
    <w:rsid w:val="004B6599"/>
    <w:rsid w:val="004C34CB"/>
    <w:rsid w:val="004C6CA7"/>
    <w:rsid w:val="004C71A9"/>
    <w:rsid w:val="004D1979"/>
    <w:rsid w:val="004D4357"/>
    <w:rsid w:val="004D46A1"/>
    <w:rsid w:val="004D4950"/>
    <w:rsid w:val="004E2393"/>
    <w:rsid w:val="004E3745"/>
    <w:rsid w:val="004E42BE"/>
    <w:rsid w:val="004E4F42"/>
    <w:rsid w:val="004E63D5"/>
    <w:rsid w:val="004F03FD"/>
    <w:rsid w:val="004F0B64"/>
    <w:rsid w:val="004F1377"/>
    <w:rsid w:val="004F52F0"/>
    <w:rsid w:val="004F6250"/>
    <w:rsid w:val="004F677C"/>
    <w:rsid w:val="004F6D8F"/>
    <w:rsid w:val="00501F26"/>
    <w:rsid w:val="00505503"/>
    <w:rsid w:val="0050573B"/>
    <w:rsid w:val="0051107B"/>
    <w:rsid w:val="00512F9C"/>
    <w:rsid w:val="00513916"/>
    <w:rsid w:val="00527CDB"/>
    <w:rsid w:val="00533013"/>
    <w:rsid w:val="005341C9"/>
    <w:rsid w:val="005369CA"/>
    <w:rsid w:val="00536DE9"/>
    <w:rsid w:val="00541442"/>
    <w:rsid w:val="00541E08"/>
    <w:rsid w:val="00542D16"/>
    <w:rsid w:val="00554FE0"/>
    <w:rsid w:val="0055789A"/>
    <w:rsid w:val="00560952"/>
    <w:rsid w:val="00563EC6"/>
    <w:rsid w:val="005652D1"/>
    <w:rsid w:val="005660A0"/>
    <w:rsid w:val="00566A4F"/>
    <w:rsid w:val="00566F57"/>
    <w:rsid w:val="00567D64"/>
    <w:rsid w:val="00576FE6"/>
    <w:rsid w:val="00587031"/>
    <w:rsid w:val="00592021"/>
    <w:rsid w:val="005978D4"/>
    <w:rsid w:val="005A23FA"/>
    <w:rsid w:val="005B2A67"/>
    <w:rsid w:val="005B3DCD"/>
    <w:rsid w:val="005B4AD4"/>
    <w:rsid w:val="005C26B7"/>
    <w:rsid w:val="005C2798"/>
    <w:rsid w:val="005C36C3"/>
    <w:rsid w:val="005C56EE"/>
    <w:rsid w:val="005D1714"/>
    <w:rsid w:val="005D7638"/>
    <w:rsid w:val="005E0ABC"/>
    <w:rsid w:val="005E3B6B"/>
    <w:rsid w:val="005E6A66"/>
    <w:rsid w:val="005F12F5"/>
    <w:rsid w:val="005F7282"/>
    <w:rsid w:val="005F7C7D"/>
    <w:rsid w:val="006044B7"/>
    <w:rsid w:val="006071CE"/>
    <w:rsid w:val="006075B5"/>
    <w:rsid w:val="0061018C"/>
    <w:rsid w:val="0061094E"/>
    <w:rsid w:val="00613440"/>
    <w:rsid w:val="00613BE3"/>
    <w:rsid w:val="00621327"/>
    <w:rsid w:val="0062327B"/>
    <w:rsid w:val="0062514C"/>
    <w:rsid w:val="00632777"/>
    <w:rsid w:val="00633750"/>
    <w:rsid w:val="006339A7"/>
    <w:rsid w:val="00634491"/>
    <w:rsid w:val="0063679C"/>
    <w:rsid w:val="00637055"/>
    <w:rsid w:val="00641C43"/>
    <w:rsid w:val="00641D59"/>
    <w:rsid w:val="00644507"/>
    <w:rsid w:val="00646622"/>
    <w:rsid w:val="00646880"/>
    <w:rsid w:val="00647D2A"/>
    <w:rsid w:val="006537BB"/>
    <w:rsid w:val="0065643E"/>
    <w:rsid w:val="00664A8A"/>
    <w:rsid w:val="006672EF"/>
    <w:rsid w:val="00667E07"/>
    <w:rsid w:val="00671785"/>
    <w:rsid w:val="00672BA9"/>
    <w:rsid w:val="00673005"/>
    <w:rsid w:val="006804BE"/>
    <w:rsid w:val="00682F03"/>
    <w:rsid w:val="00683662"/>
    <w:rsid w:val="00684029"/>
    <w:rsid w:val="0068434A"/>
    <w:rsid w:val="0069008E"/>
    <w:rsid w:val="0069087E"/>
    <w:rsid w:val="006925C4"/>
    <w:rsid w:val="006A02B7"/>
    <w:rsid w:val="006A5EBC"/>
    <w:rsid w:val="006A7019"/>
    <w:rsid w:val="006B40B5"/>
    <w:rsid w:val="006B46D5"/>
    <w:rsid w:val="006B46F4"/>
    <w:rsid w:val="006C1915"/>
    <w:rsid w:val="006C7AF3"/>
    <w:rsid w:val="006D0B9D"/>
    <w:rsid w:val="006D23CA"/>
    <w:rsid w:val="006D2BC1"/>
    <w:rsid w:val="006D6548"/>
    <w:rsid w:val="006E0E20"/>
    <w:rsid w:val="006E4256"/>
    <w:rsid w:val="006E4BBA"/>
    <w:rsid w:val="006E5F43"/>
    <w:rsid w:val="006E6027"/>
    <w:rsid w:val="006E60A6"/>
    <w:rsid w:val="006F0F69"/>
    <w:rsid w:val="006F116B"/>
    <w:rsid w:val="006F117F"/>
    <w:rsid w:val="006F13DF"/>
    <w:rsid w:val="006F2780"/>
    <w:rsid w:val="00702F26"/>
    <w:rsid w:val="0070313E"/>
    <w:rsid w:val="00703204"/>
    <w:rsid w:val="00703799"/>
    <w:rsid w:val="00705C5C"/>
    <w:rsid w:val="00711475"/>
    <w:rsid w:val="00712A28"/>
    <w:rsid w:val="007202B9"/>
    <w:rsid w:val="00723C37"/>
    <w:rsid w:val="0072548A"/>
    <w:rsid w:val="007277A6"/>
    <w:rsid w:val="007279F1"/>
    <w:rsid w:val="00733D36"/>
    <w:rsid w:val="007437AB"/>
    <w:rsid w:val="007450AA"/>
    <w:rsid w:val="00745425"/>
    <w:rsid w:val="007534F8"/>
    <w:rsid w:val="007545AD"/>
    <w:rsid w:val="00761E3A"/>
    <w:rsid w:val="00763722"/>
    <w:rsid w:val="00764BC1"/>
    <w:rsid w:val="00770869"/>
    <w:rsid w:val="007738AA"/>
    <w:rsid w:val="00773E30"/>
    <w:rsid w:val="007774D1"/>
    <w:rsid w:val="007801BF"/>
    <w:rsid w:val="00780A62"/>
    <w:rsid w:val="0078253F"/>
    <w:rsid w:val="00783241"/>
    <w:rsid w:val="00784BDC"/>
    <w:rsid w:val="007876AC"/>
    <w:rsid w:val="00792F28"/>
    <w:rsid w:val="007935CA"/>
    <w:rsid w:val="0079543F"/>
    <w:rsid w:val="00795880"/>
    <w:rsid w:val="007A4367"/>
    <w:rsid w:val="007B0867"/>
    <w:rsid w:val="007B0A97"/>
    <w:rsid w:val="007B1AC1"/>
    <w:rsid w:val="007B5176"/>
    <w:rsid w:val="007B5A08"/>
    <w:rsid w:val="007B693D"/>
    <w:rsid w:val="007C083F"/>
    <w:rsid w:val="007C4CDC"/>
    <w:rsid w:val="007C51BF"/>
    <w:rsid w:val="007D1779"/>
    <w:rsid w:val="007E041B"/>
    <w:rsid w:val="007E199A"/>
    <w:rsid w:val="007E1AED"/>
    <w:rsid w:val="007E2415"/>
    <w:rsid w:val="007E39F3"/>
    <w:rsid w:val="007E405E"/>
    <w:rsid w:val="007E68F4"/>
    <w:rsid w:val="007E6DE2"/>
    <w:rsid w:val="007E7395"/>
    <w:rsid w:val="007F041F"/>
    <w:rsid w:val="007F0439"/>
    <w:rsid w:val="007F31BA"/>
    <w:rsid w:val="007F4078"/>
    <w:rsid w:val="007F75F0"/>
    <w:rsid w:val="0080014B"/>
    <w:rsid w:val="00801793"/>
    <w:rsid w:val="00803642"/>
    <w:rsid w:val="00804992"/>
    <w:rsid w:val="00806EA2"/>
    <w:rsid w:val="008127A3"/>
    <w:rsid w:val="00812A2B"/>
    <w:rsid w:val="00814A4C"/>
    <w:rsid w:val="008223B7"/>
    <w:rsid w:val="0082264B"/>
    <w:rsid w:val="00831AAB"/>
    <w:rsid w:val="00833BCD"/>
    <w:rsid w:val="00834B82"/>
    <w:rsid w:val="0083574E"/>
    <w:rsid w:val="0083640C"/>
    <w:rsid w:val="008374E3"/>
    <w:rsid w:val="0084137F"/>
    <w:rsid w:val="0084157B"/>
    <w:rsid w:val="00842BFB"/>
    <w:rsid w:val="00846B85"/>
    <w:rsid w:val="00847DC3"/>
    <w:rsid w:val="00847F49"/>
    <w:rsid w:val="0085216E"/>
    <w:rsid w:val="008535C5"/>
    <w:rsid w:val="00853765"/>
    <w:rsid w:val="00853F6F"/>
    <w:rsid w:val="0085516F"/>
    <w:rsid w:val="008559CD"/>
    <w:rsid w:val="00864774"/>
    <w:rsid w:val="00867186"/>
    <w:rsid w:val="00867752"/>
    <w:rsid w:val="008709BE"/>
    <w:rsid w:val="00870AF6"/>
    <w:rsid w:val="00877452"/>
    <w:rsid w:val="00881268"/>
    <w:rsid w:val="0088394A"/>
    <w:rsid w:val="008860BD"/>
    <w:rsid w:val="00887399"/>
    <w:rsid w:val="0088779E"/>
    <w:rsid w:val="00887F6F"/>
    <w:rsid w:val="008912AF"/>
    <w:rsid w:val="00892114"/>
    <w:rsid w:val="00892CB9"/>
    <w:rsid w:val="008935CB"/>
    <w:rsid w:val="008A4454"/>
    <w:rsid w:val="008A4E47"/>
    <w:rsid w:val="008A6EE1"/>
    <w:rsid w:val="008B0E7E"/>
    <w:rsid w:val="008B55C0"/>
    <w:rsid w:val="008B65BD"/>
    <w:rsid w:val="008B7900"/>
    <w:rsid w:val="008C71BF"/>
    <w:rsid w:val="008C7FE0"/>
    <w:rsid w:val="008D5717"/>
    <w:rsid w:val="008E223D"/>
    <w:rsid w:val="008E37D4"/>
    <w:rsid w:val="008E44A9"/>
    <w:rsid w:val="008E6B4D"/>
    <w:rsid w:val="008E6BFF"/>
    <w:rsid w:val="008F21AF"/>
    <w:rsid w:val="008F2400"/>
    <w:rsid w:val="008F61BA"/>
    <w:rsid w:val="008F6E3C"/>
    <w:rsid w:val="008F7C55"/>
    <w:rsid w:val="00914A23"/>
    <w:rsid w:val="00930754"/>
    <w:rsid w:val="00934F68"/>
    <w:rsid w:val="009355AC"/>
    <w:rsid w:val="00935F38"/>
    <w:rsid w:val="00937586"/>
    <w:rsid w:val="00943239"/>
    <w:rsid w:val="00947889"/>
    <w:rsid w:val="009478BD"/>
    <w:rsid w:val="00960E98"/>
    <w:rsid w:val="00963A82"/>
    <w:rsid w:val="00972912"/>
    <w:rsid w:val="00973BFC"/>
    <w:rsid w:val="00976D1F"/>
    <w:rsid w:val="00981C81"/>
    <w:rsid w:val="00991D41"/>
    <w:rsid w:val="009A0E95"/>
    <w:rsid w:val="009A2D24"/>
    <w:rsid w:val="009A456C"/>
    <w:rsid w:val="009B00E0"/>
    <w:rsid w:val="009B292A"/>
    <w:rsid w:val="009B76D5"/>
    <w:rsid w:val="009C165D"/>
    <w:rsid w:val="009C3CEA"/>
    <w:rsid w:val="009C583D"/>
    <w:rsid w:val="009C5CAC"/>
    <w:rsid w:val="009D06DF"/>
    <w:rsid w:val="009D2611"/>
    <w:rsid w:val="009D79D2"/>
    <w:rsid w:val="009E0FCD"/>
    <w:rsid w:val="009E247C"/>
    <w:rsid w:val="009E31BA"/>
    <w:rsid w:val="009E7BD4"/>
    <w:rsid w:val="009F0528"/>
    <w:rsid w:val="009F0806"/>
    <w:rsid w:val="009F0C85"/>
    <w:rsid w:val="009F233B"/>
    <w:rsid w:val="009F4209"/>
    <w:rsid w:val="00A0022D"/>
    <w:rsid w:val="00A00725"/>
    <w:rsid w:val="00A05D16"/>
    <w:rsid w:val="00A0659F"/>
    <w:rsid w:val="00A079BA"/>
    <w:rsid w:val="00A07C49"/>
    <w:rsid w:val="00A14E8C"/>
    <w:rsid w:val="00A20C70"/>
    <w:rsid w:val="00A23F06"/>
    <w:rsid w:val="00A33875"/>
    <w:rsid w:val="00A360A1"/>
    <w:rsid w:val="00A402B3"/>
    <w:rsid w:val="00A40BFE"/>
    <w:rsid w:val="00A50F81"/>
    <w:rsid w:val="00A544B7"/>
    <w:rsid w:val="00A618CF"/>
    <w:rsid w:val="00A62770"/>
    <w:rsid w:val="00A62EEB"/>
    <w:rsid w:val="00A660FF"/>
    <w:rsid w:val="00A7010C"/>
    <w:rsid w:val="00A72E2D"/>
    <w:rsid w:val="00A73395"/>
    <w:rsid w:val="00A771E3"/>
    <w:rsid w:val="00A82B4C"/>
    <w:rsid w:val="00A93A4C"/>
    <w:rsid w:val="00A94D5D"/>
    <w:rsid w:val="00AA1D9B"/>
    <w:rsid w:val="00AA2543"/>
    <w:rsid w:val="00AA3804"/>
    <w:rsid w:val="00AA4622"/>
    <w:rsid w:val="00AA55C2"/>
    <w:rsid w:val="00AB0ACA"/>
    <w:rsid w:val="00AB1D41"/>
    <w:rsid w:val="00AB459C"/>
    <w:rsid w:val="00AB73C8"/>
    <w:rsid w:val="00AC5E9A"/>
    <w:rsid w:val="00AC704B"/>
    <w:rsid w:val="00AD01EE"/>
    <w:rsid w:val="00AD553E"/>
    <w:rsid w:val="00AD577C"/>
    <w:rsid w:val="00AD5848"/>
    <w:rsid w:val="00AE5ADA"/>
    <w:rsid w:val="00AF6145"/>
    <w:rsid w:val="00B01386"/>
    <w:rsid w:val="00B01915"/>
    <w:rsid w:val="00B01BB5"/>
    <w:rsid w:val="00B026CC"/>
    <w:rsid w:val="00B04AF4"/>
    <w:rsid w:val="00B05214"/>
    <w:rsid w:val="00B12E6F"/>
    <w:rsid w:val="00B12F99"/>
    <w:rsid w:val="00B27655"/>
    <w:rsid w:val="00B30D97"/>
    <w:rsid w:val="00B31074"/>
    <w:rsid w:val="00B3181A"/>
    <w:rsid w:val="00B35A7C"/>
    <w:rsid w:val="00B40528"/>
    <w:rsid w:val="00B41AAF"/>
    <w:rsid w:val="00B440AB"/>
    <w:rsid w:val="00B44ECD"/>
    <w:rsid w:val="00B450D1"/>
    <w:rsid w:val="00B45BA6"/>
    <w:rsid w:val="00B53D47"/>
    <w:rsid w:val="00B54A25"/>
    <w:rsid w:val="00B618C3"/>
    <w:rsid w:val="00B63652"/>
    <w:rsid w:val="00B65946"/>
    <w:rsid w:val="00B668B0"/>
    <w:rsid w:val="00B70F5C"/>
    <w:rsid w:val="00B71873"/>
    <w:rsid w:val="00B7337C"/>
    <w:rsid w:val="00B75AE5"/>
    <w:rsid w:val="00B77135"/>
    <w:rsid w:val="00B800C0"/>
    <w:rsid w:val="00B8132B"/>
    <w:rsid w:val="00B82FA7"/>
    <w:rsid w:val="00B84C5A"/>
    <w:rsid w:val="00B858F5"/>
    <w:rsid w:val="00B93668"/>
    <w:rsid w:val="00BA4C99"/>
    <w:rsid w:val="00BA68C6"/>
    <w:rsid w:val="00BA7DC1"/>
    <w:rsid w:val="00BB0E35"/>
    <w:rsid w:val="00BB12F1"/>
    <w:rsid w:val="00BB276E"/>
    <w:rsid w:val="00BB3FEE"/>
    <w:rsid w:val="00BB5EB0"/>
    <w:rsid w:val="00BB6251"/>
    <w:rsid w:val="00BC245A"/>
    <w:rsid w:val="00BD16FA"/>
    <w:rsid w:val="00BD4116"/>
    <w:rsid w:val="00BD41C3"/>
    <w:rsid w:val="00BD488B"/>
    <w:rsid w:val="00BD5254"/>
    <w:rsid w:val="00BD7CCC"/>
    <w:rsid w:val="00BE002A"/>
    <w:rsid w:val="00BE0283"/>
    <w:rsid w:val="00BE1BC9"/>
    <w:rsid w:val="00BE3145"/>
    <w:rsid w:val="00BE4CFA"/>
    <w:rsid w:val="00BE5CDA"/>
    <w:rsid w:val="00BE608F"/>
    <w:rsid w:val="00BF23BB"/>
    <w:rsid w:val="00BF33DD"/>
    <w:rsid w:val="00BF5755"/>
    <w:rsid w:val="00BF684B"/>
    <w:rsid w:val="00C016F3"/>
    <w:rsid w:val="00C11C3F"/>
    <w:rsid w:val="00C13433"/>
    <w:rsid w:val="00C15193"/>
    <w:rsid w:val="00C15609"/>
    <w:rsid w:val="00C15F6A"/>
    <w:rsid w:val="00C23A95"/>
    <w:rsid w:val="00C23EA7"/>
    <w:rsid w:val="00C256F3"/>
    <w:rsid w:val="00C270A2"/>
    <w:rsid w:val="00C315B5"/>
    <w:rsid w:val="00C35E28"/>
    <w:rsid w:val="00C37A55"/>
    <w:rsid w:val="00C426AF"/>
    <w:rsid w:val="00C469C1"/>
    <w:rsid w:val="00C47C2B"/>
    <w:rsid w:val="00C50659"/>
    <w:rsid w:val="00C51B39"/>
    <w:rsid w:val="00C5338A"/>
    <w:rsid w:val="00C54EF9"/>
    <w:rsid w:val="00C56BBF"/>
    <w:rsid w:val="00C572AA"/>
    <w:rsid w:val="00C57A9A"/>
    <w:rsid w:val="00C6016A"/>
    <w:rsid w:val="00C60B3F"/>
    <w:rsid w:val="00C610B4"/>
    <w:rsid w:val="00C623EB"/>
    <w:rsid w:val="00C6496E"/>
    <w:rsid w:val="00C64C6B"/>
    <w:rsid w:val="00C66F2E"/>
    <w:rsid w:val="00C6785C"/>
    <w:rsid w:val="00C70FD1"/>
    <w:rsid w:val="00C72B76"/>
    <w:rsid w:val="00C733AA"/>
    <w:rsid w:val="00C83027"/>
    <w:rsid w:val="00C84B8A"/>
    <w:rsid w:val="00C85E65"/>
    <w:rsid w:val="00C87CA1"/>
    <w:rsid w:val="00C911B4"/>
    <w:rsid w:val="00C91B3B"/>
    <w:rsid w:val="00C91F8C"/>
    <w:rsid w:val="00C94262"/>
    <w:rsid w:val="00C976E1"/>
    <w:rsid w:val="00C97BE9"/>
    <w:rsid w:val="00CA148E"/>
    <w:rsid w:val="00CA3A9A"/>
    <w:rsid w:val="00CB6BC1"/>
    <w:rsid w:val="00CB7021"/>
    <w:rsid w:val="00CB7A0C"/>
    <w:rsid w:val="00CD0E9A"/>
    <w:rsid w:val="00CD3294"/>
    <w:rsid w:val="00CD4524"/>
    <w:rsid w:val="00CD64A7"/>
    <w:rsid w:val="00CD784D"/>
    <w:rsid w:val="00CF110E"/>
    <w:rsid w:val="00CF3A1C"/>
    <w:rsid w:val="00CF40F8"/>
    <w:rsid w:val="00D008DA"/>
    <w:rsid w:val="00D0416F"/>
    <w:rsid w:val="00D04A7C"/>
    <w:rsid w:val="00D05851"/>
    <w:rsid w:val="00D10FED"/>
    <w:rsid w:val="00D11736"/>
    <w:rsid w:val="00D12EE8"/>
    <w:rsid w:val="00D14CDF"/>
    <w:rsid w:val="00D15FF1"/>
    <w:rsid w:val="00D167F4"/>
    <w:rsid w:val="00D2092A"/>
    <w:rsid w:val="00D2216D"/>
    <w:rsid w:val="00D2340D"/>
    <w:rsid w:val="00D311AA"/>
    <w:rsid w:val="00D31A6F"/>
    <w:rsid w:val="00D31AC6"/>
    <w:rsid w:val="00D35335"/>
    <w:rsid w:val="00D353D1"/>
    <w:rsid w:val="00D367DB"/>
    <w:rsid w:val="00D36E05"/>
    <w:rsid w:val="00D36FCB"/>
    <w:rsid w:val="00D44F27"/>
    <w:rsid w:val="00D45304"/>
    <w:rsid w:val="00D46165"/>
    <w:rsid w:val="00D461C7"/>
    <w:rsid w:val="00D50424"/>
    <w:rsid w:val="00D51C80"/>
    <w:rsid w:val="00D525C9"/>
    <w:rsid w:val="00D57D3E"/>
    <w:rsid w:val="00D76249"/>
    <w:rsid w:val="00D82130"/>
    <w:rsid w:val="00DA240E"/>
    <w:rsid w:val="00DA47C2"/>
    <w:rsid w:val="00DA7D12"/>
    <w:rsid w:val="00DB7737"/>
    <w:rsid w:val="00DC0C0A"/>
    <w:rsid w:val="00DC23CF"/>
    <w:rsid w:val="00DC6562"/>
    <w:rsid w:val="00DC7DCF"/>
    <w:rsid w:val="00DD779F"/>
    <w:rsid w:val="00DE130D"/>
    <w:rsid w:val="00DE14BE"/>
    <w:rsid w:val="00DE24CF"/>
    <w:rsid w:val="00DE407C"/>
    <w:rsid w:val="00DE7C7D"/>
    <w:rsid w:val="00DF2992"/>
    <w:rsid w:val="00DF2D0C"/>
    <w:rsid w:val="00E00058"/>
    <w:rsid w:val="00E01B9D"/>
    <w:rsid w:val="00E0468F"/>
    <w:rsid w:val="00E04F5E"/>
    <w:rsid w:val="00E0522E"/>
    <w:rsid w:val="00E120F4"/>
    <w:rsid w:val="00E17172"/>
    <w:rsid w:val="00E3181C"/>
    <w:rsid w:val="00E3280A"/>
    <w:rsid w:val="00E372AF"/>
    <w:rsid w:val="00E37D68"/>
    <w:rsid w:val="00E40EAE"/>
    <w:rsid w:val="00E436AC"/>
    <w:rsid w:val="00E44F7A"/>
    <w:rsid w:val="00E44FF8"/>
    <w:rsid w:val="00E5066A"/>
    <w:rsid w:val="00E52CF9"/>
    <w:rsid w:val="00E63F34"/>
    <w:rsid w:val="00E63FEA"/>
    <w:rsid w:val="00E641C1"/>
    <w:rsid w:val="00E6715A"/>
    <w:rsid w:val="00E7340E"/>
    <w:rsid w:val="00E75DC9"/>
    <w:rsid w:val="00E81610"/>
    <w:rsid w:val="00E84910"/>
    <w:rsid w:val="00E85B28"/>
    <w:rsid w:val="00E91976"/>
    <w:rsid w:val="00E92D85"/>
    <w:rsid w:val="00E947A6"/>
    <w:rsid w:val="00E97769"/>
    <w:rsid w:val="00E97FC7"/>
    <w:rsid w:val="00EA0690"/>
    <w:rsid w:val="00EA1781"/>
    <w:rsid w:val="00EA3956"/>
    <w:rsid w:val="00EA7136"/>
    <w:rsid w:val="00EB325A"/>
    <w:rsid w:val="00EC02A5"/>
    <w:rsid w:val="00EC176B"/>
    <w:rsid w:val="00EC33CD"/>
    <w:rsid w:val="00EC5BE5"/>
    <w:rsid w:val="00ED18C7"/>
    <w:rsid w:val="00ED2650"/>
    <w:rsid w:val="00ED721A"/>
    <w:rsid w:val="00EE393D"/>
    <w:rsid w:val="00EE5588"/>
    <w:rsid w:val="00EE69DA"/>
    <w:rsid w:val="00EE7417"/>
    <w:rsid w:val="00EF01CF"/>
    <w:rsid w:val="00EF2252"/>
    <w:rsid w:val="00EF3FCA"/>
    <w:rsid w:val="00EF4C16"/>
    <w:rsid w:val="00EF6A47"/>
    <w:rsid w:val="00EF7AF9"/>
    <w:rsid w:val="00F00952"/>
    <w:rsid w:val="00F01495"/>
    <w:rsid w:val="00F01770"/>
    <w:rsid w:val="00F04B10"/>
    <w:rsid w:val="00F10138"/>
    <w:rsid w:val="00F13F92"/>
    <w:rsid w:val="00F14266"/>
    <w:rsid w:val="00F22ECA"/>
    <w:rsid w:val="00F23840"/>
    <w:rsid w:val="00F240E8"/>
    <w:rsid w:val="00F244FA"/>
    <w:rsid w:val="00F33DAE"/>
    <w:rsid w:val="00F366A2"/>
    <w:rsid w:val="00F40F6B"/>
    <w:rsid w:val="00F44F43"/>
    <w:rsid w:val="00F450E1"/>
    <w:rsid w:val="00F47CCF"/>
    <w:rsid w:val="00F50DF4"/>
    <w:rsid w:val="00F52700"/>
    <w:rsid w:val="00F54076"/>
    <w:rsid w:val="00F57AFE"/>
    <w:rsid w:val="00F6278E"/>
    <w:rsid w:val="00F63C41"/>
    <w:rsid w:val="00F63E96"/>
    <w:rsid w:val="00F701E3"/>
    <w:rsid w:val="00F71008"/>
    <w:rsid w:val="00F71F8C"/>
    <w:rsid w:val="00F762B5"/>
    <w:rsid w:val="00F8472F"/>
    <w:rsid w:val="00F84ACA"/>
    <w:rsid w:val="00F86AD4"/>
    <w:rsid w:val="00F92FC2"/>
    <w:rsid w:val="00F95AAB"/>
    <w:rsid w:val="00FA0113"/>
    <w:rsid w:val="00FA12B2"/>
    <w:rsid w:val="00FA7610"/>
    <w:rsid w:val="00FB02BD"/>
    <w:rsid w:val="00FB398F"/>
    <w:rsid w:val="00FB4EF8"/>
    <w:rsid w:val="00FB54AE"/>
    <w:rsid w:val="00FB709A"/>
    <w:rsid w:val="00FB78DD"/>
    <w:rsid w:val="00FC360F"/>
    <w:rsid w:val="00FC3EF3"/>
    <w:rsid w:val="00FC5D35"/>
    <w:rsid w:val="00FD1CB0"/>
    <w:rsid w:val="00FD2049"/>
    <w:rsid w:val="00FD2051"/>
    <w:rsid w:val="00FD2140"/>
    <w:rsid w:val="00FD5B5F"/>
    <w:rsid w:val="00FD5BDE"/>
    <w:rsid w:val="00FD68EC"/>
    <w:rsid w:val="00FE24A5"/>
    <w:rsid w:val="00FE31E5"/>
    <w:rsid w:val="00FF19AD"/>
    <w:rsid w:val="00FF1EB5"/>
    <w:rsid w:val="00FF292D"/>
    <w:rsid w:val="00FF298D"/>
    <w:rsid w:val="00FF4B55"/>
    <w:rsid w:val="00FF6287"/>
    <w:rsid w:val="00FF6A74"/>
    <w:rsid w:val="00FF7292"/>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5E95"/>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3035B4"/>
    <w:rPr>
      <w:color w:val="954F72" w:themeColor="followedHyperlink"/>
      <w:u w:val="single"/>
    </w:rPr>
  </w:style>
  <w:style w:type="character" w:styleId="UnresolvedMention">
    <w:name w:val="Unresolved Mention"/>
    <w:basedOn w:val="DefaultParagraphFont"/>
    <w:uiPriority w:val="99"/>
    <w:semiHidden/>
    <w:unhideWhenUsed/>
    <w:rsid w:val="003035B4"/>
    <w:rPr>
      <w:color w:val="605E5C"/>
      <w:shd w:val="clear" w:color="auto" w:fill="E1DFDD"/>
    </w:rPr>
  </w:style>
  <w:style w:type="paragraph" w:styleId="Revision">
    <w:name w:val="Revision"/>
    <w:hidden/>
    <w:uiPriority w:val="99"/>
    <w:semiHidden/>
    <w:rsid w:val="00943239"/>
    <w:rPr>
      <w:sz w:val="22"/>
      <w:szCs w:val="22"/>
      <w:lang w:val="en-US" w:eastAsia="en-US"/>
    </w:rPr>
  </w:style>
  <w:style w:type="character" w:styleId="Strong">
    <w:name w:val="Strong"/>
    <w:uiPriority w:val="22"/>
    <w:qFormat/>
    <w:rsid w:val="00FF7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ashiardi@cystat.mof.gov.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85AD-3942-4C49-8435-55CF3E1B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10213</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9</cp:revision>
  <cp:lastPrinted>2025-03-20T09:32:00Z</cp:lastPrinted>
  <dcterms:created xsi:type="dcterms:W3CDTF">2025-03-20T09:32:00Z</dcterms:created>
  <dcterms:modified xsi:type="dcterms:W3CDTF">2025-03-21T07:14:00Z</dcterms:modified>
</cp:coreProperties>
</file>