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7EF75" w14:textId="6B1A624B" w:rsidR="001712CF" w:rsidRPr="003F6CEA" w:rsidRDefault="006E7BF6" w:rsidP="0064531A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3F6CEA">
        <w:rPr>
          <w:rFonts w:ascii="Verdana" w:hAnsi="Verdana" w:cs="Arial"/>
          <w:sz w:val="18"/>
          <w:szCs w:val="18"/>
          <w:lang w:val="el-GR"/>
        </w:rPr>
        <w:t>3</w:t>
      </w:r>
      <w:r w:rsidR="0064531A">
        <w:rPr>
          <w:rFonts w:ascii="Verdana" w:hAnsi="Verdana" w:cs="Arial"/>
          <w:sz w:val="18"/>
          <w:szCs w:val="18"/>
          <w:lang w:val="el-GR"/>
        </w:rPr>
        <w:t xml:space="preserve"> Δεκεμβρίου, 202</w:t>
      </w:r>
      <w:r w:rsidRPr="003F6CEA">
        <w:rPr>
          <w:rFonts w:ascii="Verdana" w:hAnsi="Verdana" w:cs="Arial"/>
          <w:sz w:val="18"/>
          <w:szCs w:val="18"/>
          <w:lang w:val="el-GR"/>
        </w:rPr>
        <w:t>4</w:t>
      </w: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134DCA82" w:rsidR="001712CF" w:rsidRDefault="0064531A" w:rsidP="0064531A">
      <w:pPr>
        <w:jc w:val="center"/>
        <w:rPr>
          <w:rFonts w:ascii="Verdana" w:hAnsi="Verdana" w:cs="Arial"/>
          <w:b/>
          <w:bCs/>
          <w:caps/>
          <w:sz w:val="24"/>
          <w:szCs w:val="24"/>
          <w:lang w:val="el-GR"/>
        </w:rPr>
      </w:pPr>
      <w:r w:rsidRPr="0064531A">
        <w:rPr>
          <w:rFonts w:ascii="Verdana" w:hAnsi="Verdana" w:cs="Arial"/>
          <w:b/>
          <w:bCs/>
          <w:caps/>
          <w:sz w:val="24"/>
          <w:szCs w:val="24"/>
          <w:lang w:val="el-GR"/>
        </w:rPr>
        <w:t>Δελτίο Τύπου</w:t>
      </w:r>
    </w:p>
    <w:p w14:paraId="2A5E9F17" w14:textId="0B0A023C" w:rsidR="0064531A" w:rsidRDefault="0064531A" w:rsidP="0064531A">
      <w:pPr>
        <w:jc w:val="center"/>
        <w:rPr>
          <w:rFonts w:ascii="Verdana" w:hAnsi="Verdana" w:cs="Arial"/>
          <w:b/>
          <w:bCs/>
          <w:caps/>
          <w:sz w:val="24"/>
          <w:szCs w:val="24"/>
          <w:lang w:val="el-GR"/>
        </w:rPr>
      </w:pPr>
    </w:p>
    <w:p w14:paraId="1A047936" w14:textId="395387D2" w:rsidR="0064531A" w:rsidRPr="000D43BA" w:rsidRDefault="0064531A" w:rsidP="0064531A">
      <w:pPr>
        <w:jc w:val="center"/>
        <w:rPr>
          <w:rFonts w:ascii="Verdana" w:hAnsi="Verdana" w:cs="Arial"/>
          <w:caps/>
          <w:u w:val="single"/>
          <w:lang w:val="el-GR"/>
        </w:rPr>
      </w:pPr>
      <w:r w:rsidRPr="000D43BA">
        <w:rPr>
          <w:rFonts w:ascii="Verdana" w:hAnsi="Verdana" w:cs="Arial"/>
          <w:caps/>
          <w:u w:val="single"/>
          <w:lang w:val="el-GR"/>
        </w:rPr>
        <w:t>ΑΠΟΤΕΛΕΣΜΑΤΑ ΕΡΕΥΝΑΣ ΧΡΗΣΗΣ ΤΕΧΝΟΛΟΓΙΩΝ ΠΛΗΡΟΦΟΡΙΚΗΣ ΚΑΙ ΕΠΙΚΟΙΝΩΝΙΩΝ</w:t>
      </w:r>
      <w:r w:rsidR="00D61574" w:rsidRPr="000D43BA">
        <w:rPr>
          <w:rFonts w:ascii="Verdana" w:hAnsi="Verdana" w:cs="Arial"/>
          <w:caps/>
          <w:u w:val="single"/>
          <w:lang w:val="el-GR"/>
        </w:rPr>
        <w:t xml:space="preserve"> (Τ</w:t>
      </w:r>
      <w:r w:rsidR="00910F25" w:rsidRPr="000D43BA">
        <w:rPr>
          <w:rFonts w:ascii="Verdana" w:hAnsi="Verdana" w:cs="Arial"/>
          <w:caps/>
          <w:u w:val="single"/>
          <w:lang w:val="el-GR"/>
        </w:rPr>
        <w:t>πε</w:t>
      </w:r>
      <w:r w:rsidR="00D61574" w:rsidRPr="000D43BA">
        <w:rPr>
          <w:rFonts w:ascii="Verdana" w:hAnsi="Verdana" w:cs="Arial"/>
          <w:caps/>
          <w:u w:val="single"/>
          <w:lang w:val="el-GR"/>
        </w:rPr>
        <w:t>)</w:t>
      </w:r>
      <w:r w:rsidRPr="000D43BA">
        <w:rPr>
          <w:rFonts w:ascii="Verdana" w:hAnsi="Verdana" w:cs="Arial"/>
          <w:caps/>
          <w:u w:val="single"/>
          <w:lang w:val="el-GR"/>
        </w:rPr>
        <w:t xml:space="preserve"> ΚΑΙ ΗΛΕΚΤΡΟΝΙΚΟΥ ΕΜΠΟΡΙΟΥ ΣΤΙΣ ΕΠΙΧΕΙΡΗΣΕΙΣ 202</w:t>
      </w:r>
      <w:r w:rsidR="006E7BF6" w:rsidRPr="000D43BA">
        <w:rPr>
          <w:rFonts w:ascii="Verdana" w:hAnsi="Verdana" w:cs="Arial"/>
          <w:caps/>
          <w:u w:val="single"/>
          <w:lang w:val="el-GR"/>
        </w:rPr>
        <w:t>4</w:t>
      </w:r>
    </w:p>
    <w:p w14:paraId="18F3662A" w14:textId="4CA32A8E" w:rsidR="00E068C8" w:rsidRDefault="00E068C8" w:rsidP="000E4CB0">
      <w:pPr>
        <w:jc w:val="both"/>
        <w:rPr>
          <w:rFonts w:ascii="Verdana" w:hAnsi="Verdana" w:cs="Arial"/>
          <w:sz w:val="18"/>
          <w:szCs w:val="18"/>
        </w:rPr>
      </w:pPr>
    </w:p>
    <w:p w14:paraId="652B0A41" w14:textId="77777777" w:rsidR="000D43BA" w:rsidRPr="000D43BA" w:rsidRDefault="000D43BA" w:rsidP="000E4CB0">
      <w:pPr>
        <w:jc w:val="both"/>
        <w:rPr>
          <w:rFonts w:ascii="Verdana" w:hAnsi="Verdana" w:cs="Arial"/>
          <w:sz w:val="18"/>
          <w:szCs w:val="18"/>
        </w:rPr>
      </w:pPr>
    </w:p>
    <w:p w14:paraId="6295EA70" w14:textId="328CFAE5" w:rsidR="00E96E18" w:rsidRPr="000D43BA" w:rsidRDefault="00E96E18" w:rsidP="00E96E18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0D43BA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Εξ’ </w:t>
      </w:r>
      <w:r w:rsidR="000D43BA" w:rsidRPr="000D43BA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Αποστάσεως Εργασία-Χρήση Φορητών Συσκευών, Εξ’ Αποστάσεως Πρόσβαση </w:t>
      </w:r>
      <w:r w:rsidR="000D43BA">
        <w:rPr>
          <w:rFonts w:ascii="Verdana" w:hAnsi="Verdana"/>
          <w:b/>
          <w:bCs/>
          <w:sz w:val="18"/>
          <w:szCs w:val="18"/>
          <w:u w:val="single"/>
          <w:lang w:val="el-GR"/>
        </w:rPr>
        <w:t>κ</w:t>
      </w:r>
      <w:r w:rsidR="000D43BA" w:rsidRPr="000D43BA">
        <w:rPr>
          <w:rFonts w:ascii="Verdana" w:hAnsi="Verdana"/>
          <w:b/>
          <w:bCs/>
          <w:sz w:val="18"/>
          <w:szCs w:val="18"/>
          <w:u w:val="single"/>
          <w:lang w:val="el-GR"/>
        </w:rPr>
        <w:t>αι Συσκέψεις Μέσω Διαδικτύου</w:t>
      </w:r>
    </w:p>
    <w:p w14:paraId="30E1DFC2" w14:textId="1A8FC91C" w:rsidR="006E7BF6" w:rsidRPr="006E7BF6" w:rsidRDefault="006E7BF6" w:rsidP="000D43BA">
      <w:pPr>
        <w:spacing w:before="120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Κατά το 2024, 84</w:t>
      </w:r>
      <w:r w:rsidRPr="00C22940">
        <w:rPr>
          <w:rFonts w:ascii="Verdana" w:hAnsi="Verdana"/>
          <w:sz w:val="18"/>
          <w:szCs w:val="18"/>
          <w:lang w:val="el-GR"/>
        </w:rPr>
        <w:t>,</w:t>
      </w:r>
      <w:r>
        <w:rPr>
          <w:rFonts w:ascii="Verdana" w:hAnsi="Verdana"/>
          <w:sz w:val="18"/>
          <w:szCs w:val="18"/>
          <w:lang w:val="el-GR"/>
        </w:rPr>
        <w:t>1</w:t>
      </w:r>
      <w:r w:rsidRPr="00C22940">
        <w:rPr>
          <w:rFonts w:ascii="Verdana" w:hAnsi="Verdana"/>
          <w:sz w:val="18"/>
          <w:szCs w:val="18"/>
          <w:lang w:val="el-GR"/>
        </w:rPr>
        <w:t>% των επιχειρήσεων με 10 ή περισσότερους απασχολούμενους, παρείχαν</w:t>
      </w:r>
      <w:r w:rsidR="00144DD2">
        <w:rPr>
          <w:rFonts w:ascii="Verdana" w:hAnsi="Verdana"/>
          <w:sz w:val="18"/>
          <w:szCs w:val="18"/>
          <w:lang w:val="el-GR"/>
        </w:rPr>
        <w:t xml:space="preserve"> στους εργαζόμενούς τους </w:t>
      </w:r>
      <w:r w:rsidRPr="00C22940">
        <w:rPr>
          <w:rFonts w:ascii="Verdana" w:hAnsi="Verdana"/>
          <w:sz w:val="18"/>
          <w:szCs w:val="18"/>
          <w:lang w:val="el-GR"/>
        </w:rPr>
        <w:t xml:space="preserve">φορητές συσκευές που επιτρέπουν κινητή σύνδεση στο </w:t>
      </w:r>
      <w:r>
        <w:rPr>
          <w:rFonts w:ascii="Verdana" w:hAnsi="Verdana"/>
          <w:sz w:val="18"/>
          <w:szCs w:val="18"/>
          <w:lang w:val="el-GR"/>
        </w:rPr>
        <w:t>δ</w:t>
      </w:r>
      <w:r w:rsidRPr="00C22940">
        <w:rPr>
          <w:rFonts w:ascii="Verdana" w:hAnsi="Verdana"/>
          <w:sz w:val="18"/>
          <w:szCs w:val="18"/>
          <w:lang w:val="el-GR"/>
        </w:rPr>
        <w:t>ιαδίκτυο χρησιμοποιώντας δίκτυα κινητής τηλεφωνίας</w:t>
      </w:r>
      <w:r w:rsidR="00144DD2">
        <w:rPr>
          <w:rFonts w:ascii="Verdana" w:hAnsi="Verdana"/>
          <w:sz w:val="18"/>
          <w:szCs w:val="18"/>
          <w:lang w:val="el-GR"/>
        </w:rPr>
        <w:t xml:space="preserve">. Πρόκειται για συσκευές </w:t>
      </w:r>
      <w:r>
        <w:rPr>
          <w:rFonts w:ascii="Verdana" w:hAnsi="Verdana"/>
          <w:sz w:val="18"/>
          <w:szCs w:val="18"/>
          <w:lang w:val="el-GR"/>
        </w:rPr>
        <w:t>για τις οποίες ο</w:t>
      </w:r>
      <w:r w:rsidRPr="00C22940">
        <w:rPr>
          <w:rFonts w:ascii="Verdana" w:hAnsi="Verdana"/>
          <w:sz w:val="18"/>
          <w:szCs w:val="18"/>
          <w:lang w:val="el-GR"/>
        </w:rPr>
        <w:t>ι επιχειρήσεις πληρώνουν ε</w:t>
      </w:r>
      <w:r>
        <w:rPr>
          <w:rFonts w:ascii="Verdana" w:hAnsi="Verdana"/>
          <w:sz w:val="18"/>
          <w:szCs w:val="18"/>
          <w:lang w:val="el-GR"/>
        </w:rPr>
        <w:t>ξ’</w:t>
      </w:r>
      <w:r w:rsidRPr="00C22940">
        <w:rPr>
          <w:rFonts w:ascii="Verdana" w:hAnsi="Verdana"/>
          <w:sz w:val="18"/>
          <w:szCs w:val="18"/>
          <w:lang w:val="el-GR"/>
        </w:rPr>
        <w:t xml:space="preserve"> ολοκλήρου ή τουλάχιστον μέχρι ενός ορίου το κόστος </w:t>
      </w:r>
      <w:r>
        <w:rPr>
          <w:rFonts w:ascii="Verdana" w:hAnsi="Verdana"/>
          <w:sz w:val="18"/>
          <w:szCs w:val="18"/>
          <w:lang w:val="el-GR"/>
        </w:rPr>
        <w:t xml:space="preserve">αγοράς ή </w:t>
      </w:r>
      <w:r w:rsidRPr="00C22940">
        <w:rPr>
          <w:rFonts w:ascii="Verdana" w:hAnsi="Verdana"/>
          <w:sz w:val="18"/>
          <w:szCs w:val="18"/>
          <w:lang w:val="el-GR"/>
        </w:rPr>
        <w:t>χρήσης (συνδρομή)</w:t>
      </w:r>
      <w:r w:rsidRPr="006E7BF6">
        <w:rPr>
          <w:rFonts w:ascii="Verdana" w:hAnsi="Verdana"/>
          <w:sz w:val="18"/>
          <w:szCs w:val="18"/>
          <w:lang w:val="el-GR"/>
        </w:rPr>
        <w:t>.</w:t>
      </w:r>
      <w:r w:rsidRPr="00960198">
        <w:rPr>
          <w:lang w:val="el-GR"/>
        </w:rPr>
        <w:t xml:space="preserve"> </w:t>
      </w:r>
      <w:r w:rsidRPr="00960198">
        <w:rPr>
          <w:rFonts w:ascii="Verdana" w:hAnsi="Verdana"/>
          <w:sz w:val="18"/>
          <w:szCs w:val="18"/>
          <w:lang w:val="el-GR"/>
        </w:rPr>
        <w:t xml:space="preserve">(Διάγραμμα </w:t>
      </w:r>
      <w:r>
        <w:rPr>
          <w:rFonts w:ascii="Verdana" w:hAnsi="Verdana"/>
          <w:sz w:val="18"/>
          <w:szCs w:val="18"/>
          <w:lang w:val="el-GR"/>
        </w:rPr>
        <w:t>1</w:t>
      </w:r>
      <w:r w:rsidRPr="00960198">
        <w:rPr>
          <w:rFonts w:ascii="Verdana" w:hAnsi="Verdana"/>
          <w:sz w:val="18"/>
          <w:szCs w:val="18"/>
          <w:lang w:val="el-GR"/>
        </w:rPr>
        <w:t>)</w:t>
      </w:r>
    </w:p>
    <w:p w14:paraId="0B94C519" w14:textId="139299DF" w:rsidR="00E96E18" w:rsidRDefault="006E7BF6" w:rsidP="006E7BF6">
      <w:pPr>
        <w:spacing w:before="120" w:after="120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</w:t>
      </w:r>
      <w:r w:rsidR="00E96E18">
        <w:rPr>
          <w:rFonts w:ascii="Verdana" w:hAnsi="Verdana"/>
          <w:sz w:val="18"/>
          <w:szCs w:val="18"/>
          <w:lang w:val="el-GR"/>
        </w:rPr>
        <w:t>ο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="00E96E18" w:rsidRPr="00977D21">
        <w:rPr>
          <w:rFonts w:ascii="Verdana" w:hAnsi="Verdana"/>
          <w:sz w:val="18"/>
          <w:szCs w:val="18"/>
          <w:lang w:val="el-GR"/>
        </w:rPr>
        <w:t>8</w:t>
      </w:r>
      <w:r>
        <w:rPr>
          <w:rFonts w:ascii="Verdana" w:hAnsi="Verdana"/>
          <w:sz w:val="18"/>
          <w:szCs w:val="18"/>
          <w:lang w:val="el-GR"/>
        </w:rPr>
        <w:t>8</w:t>
      </w:r>
      <w:r w:rsidR="00E96E18" w:rsidRPr="00977D21">
        <w:rPr>
          <w:rFonts w:ascii="Verdana" w:hAnsi="Verdana"/>
          <w:sz w:val="18"/>
          <w:szCs w:val="18"/>
          <w:lang w:val="el-GR"/>
        </w:rPr>
        <w:t>,</w:t>
      </w:r>
      <w:r w:rsidRPr="006E7BF6">
        <w:rPr>
          <w:rFonts w:ascii="Verdana" w:hAnsi="Verdana"/>
          <w:sz w:val="18"/>
          <w:szCs w:val="18"/>
          <w:lang w:val="el-GR"/>
        </w:rPr>
        <w:t>1</w:t>
      </w:r>
      <w:r w:rsidR="00E96E18" w:rsidRPr="00977D21">
        <w:rPr>
          <w:rFonts w:ascii="Verdana" w:hAnsi="Verdana"/>
          <w:sz w:val="18"/>
          <w:szCs w:val="18"/>
          <w:lang w:val="el-GR"/>
        </w:rPr>
        <w:t>% όλων των επιχειρήσεων παρέχουν</w:t>
      </w:r>
      <w:r w:rsidR="00E96E18" w:rsidRPr="00D53540">
        <w:rPr>
          <w:rFonts w:ascii="Verdana" w:hAnsi="Verdana"/>
          <w:sz w:val="18"/>
          <w:szCs w:val="18"/>
          <w:lang w:val="el-GR"/>
        </w:rPr>
        <w:t xml:space="preserve"> </w:t>
      </w:r>
      <w:r w:rsidR="00E96E18" w:rsidRPr="004E3BED">
        <w:rPr>
          <w:rFonts w:ascii="Verdana" w:hAnsi="Verdana"/>
          <w:sz w:val="18"/>
          <w:szCs w:val="18"/>
          <w:lang w:val="el-GR"/>
        </w:rPr>
        <w:t xml:space="preserve">εξ’ αποστάσεως </w:t>
      </w:r>
      <w:r w:rsidR="00E96E18" w:rsidRPr="00977D21">
        <w:rPr>
          <w:rFonts w:ascii="Verdana" w:hAnsi="Verdana"/>
          <w:sz w:val="18"/>
          <w:szCs w:val="18"/>
          <w:lang w:val="el-GR"/>
        </w:rPr>
        <w:t xml:space="preserve">πρόσβαση στο σύστημα ηλεκτρονικού ταχυδρομείου της επιχείρησης, το </w:t>
      </w:r>
      <w:r>
        <w:rPr>
          <w:rFonts w:ascii="Verdana" w:hAnsi="Verdana"/>
          <w:sz w:val="18"/>
          <w:szCs w:val="18"/>
          <w:lang w:val="el-GR"/>
        </w:rPr>
        <w:t>71</w:t>
      </w:r>
      <w:r w:rsidR="00E96E18" w:rsidRPr="00977D21">
        <w:rPr>
          <w:rFonts w:ascii="Verdana" w:hAnsi="Verdana"/>
          <w:sz w:val="18"/>
          <w:szCs w:val="18"/>
          <w:lang w:val="el-GR"/>
        </w:rPr>
        <w:t>,7%</w:t>
      </w:r>
      <w:r w:rsidR="00E96E18">
        <w:rPr>
          <w:rFonts w:ascii="Verdana" w:hAnsi="Verdana"/>
          <w:sz w:val="18"/>
          <w:szCs w:val="18"/>
          <w:lang w:val="el-GR"/>
        </w:rPr>
        <w:t xml:space="preserve"> </w:t>
      </w:r>
      <w:r w:rsidR="00E96E18" w:rsidRPr="00977D21">
        <w:rPr>
          <w:rFonts w:ascii="Verdana" w:hAnsi="Verdana"/>
          <w:sz w:val="18"/>
          <w:szCs w:val="18"/>
          <w:lang w:val="el-GR"/>
        </w:rPr>
        <w:t xml:space="preserve">πρόσβαση στα έγγραφα της επιχείρησης, συμπεριλαμβανομένων υπολογιστικών φύλλων, παρουσιάσεων ή άλλων αρχείων και το </w:t>
      </w:r>
      <w:r w:rsidR="00E96E18">
        <w:rPr>
          <w:rFonts w:ascii="Verdana" w:hAnsi="Verdana"/>
          <w:sz w:val="18"/>
          <w:szCs w:val="18"/>
          <w:lang w:val="el-GR"/>
        </w:rPr>
        <w:t xml:space="preserve"> </w:t>
      </w:r>
      <w:r w:rsidR="00E96E18" w:rsidRPr="00977D21">
        <w:rPr>
          <w:rFonts w:ascii="Verdana" w:hAnsi="Verdana"/>
          <w:sz w:val="18"/>
          <w:szCs w:val="18"/>
          <w:lang w:val="el-GR"/>
        </w:rPr>
        <w:t>6</w:t>
      </w:r>
      <w:r>
        <w:rPr>
          <w:rFonts w:ascii="Verdana" w:hAnsi="Verdana"/>
          <w:sz w:val="18"/>
          <w:szCs w:val="18"/>
          <w:lang w:val="el-GR"/>
        </w:rPr>
        <w:t>6</w:t>
      </w:r>
      <w:r w:rsidR="00E96E18" w:rsidRPr="00977D21">
        <w:rPr>
          <w:rFonts w:ascii="Verdana" w:hAnsi="Verdana"/>
          <w:sz w:val="18"/>
          <w:szCs w:val="18"/>
          <w:lang w:val="el-GR"/>
        </w:rPr>
        <w:t>,</w:t>
      </w:r>
      <w:r>
        <w:rPr>
          <w:rFonts w:ascii="Verdana" w:hAnsi="Verdana"/>
          <w:sz w:val="18"/>
          <w:szCs w:val="18"/>
          <w:lang w:val="el-GR"/>
        </w:rPr>
        <w:t>3</w:t>
      </w:r>
      <w:r w:rsidR="00E96E18" w:rsidRPr="00977D21">
        <w:rPr>
          <w:rFonts w:ascii="Verdana" w:hAnsi="Verdana"/>
          <w:sz w:val="18"/>
          <w:szCs w:val="18"/>
          <w:lang w:val="el-GR"/>
        </w:rPr>
        <w:t xml:space="preserve">%  πρόσβαση στις επιχειρηματικές εφαρμογές της επιχείρησης ή λογισμικό που χρησιμοποιείται από την επιχείρηση </w:t>
      </w:r>
      <w:r w:rsidR="00E96E18" w:rsidRPr="00780222">
        <w:rPr>
          <w:rFonts w:ascii="Verdana" w:hAnsi="Verdana"/>
          <w:sz w:val="18"/>
          <w:szCs w:val="18"/>
          <w:lang w:val="el-GR"/>
        </w:rPr>
        <w:t>(π.χ. πρόσβαση σε λογιστήριο, πωλήσεις, παραγγελίες, CRM)</w:t>
      </w:r>
      <w:r w:rsidRPr="006E7BF6">
        <w:rPr>
          <w:rFonts w:ascii="Verdana" w:hAnsi="Verdana"/>
          <w:sz w:val="18"/>
          <w:szCs w:val="18"/>
          <w:lang w:val="el-GR"/>
        </w:rPr>
        <w:t>.</w:t>
      </w:r>
      <w:r w:rsidR="00E96E18" w:rsidRPr="00780222">
        <w:rPr>
          <w:rFonts w:ascii="Verdana" w:hAnsi="Verdana"/>
          <w:sz w:val="18"/>
          <w:szCs w:val="18"/>
          <w:lang w:val="el-GR"/>
        </w:rPr>
        <w:t xml:space="preserve"> </w:t>
      </w:r>
      <w:r w:rsidR="00E96E18" w:rsidRPr="00C22940">
        <w:rPr>
          <w:rFonts w:ascii="Verdana" w:hAnsi="Verdana"/>
          <w:sz w:val="18"/>
          <w:szCs w:val="18"/>
          <w:lang w:val="el-GR"/>
        </w:rPr>
        <w:t xml:space="preserve">(Διάγραμμα </w:t>
      </w:r>
      <w:r w:rsidR="00E96E18">
        <w:rPr>
          <w:rFonts w:ascii="Verdana" w:hAnsi="Verdana"/>
          <w:sz w:val="18"/>
          <w:szCs w:val="18"/>
          <w:lang w:val="el-GR"/>
        </w:rPr>
        <w:t>1</w:t>
      </w:r>
      <w:r w:rsidR="00E96E18" w:rsidRPr="00C22940">
        <w:rPr>
          <w:rFonts w:ascii="Verdana" w:hAnsi="Verdana"/>
          <w:sz w:val="18"/>
          <w:szCs w:val="18"/>
          <w:lang w:val="el-GR"/>
        </w:rPr>
        <w:t>)</w:t>
      </w:r>
    </w:p>
    <w:p w14:paraId="655A1577" w14:textId="08951A70" w:rsidR="00E96E18" w:rsidRDefault="00E96E18" w:rsidP="00E96E18">
      <w:pPr>
        <w:jc w:val="both"/>
        <w:rPr>
          <w:rFonts w:ascii="Verdana" w:hAnsi="Verdana"/>
          <w:sz w:val="18"/>
          <w:szCs w:val="18"/>
          <w:lang w:val="el-GR"/>
        </w:rPr>
      </w:pPr>
      <w:r w:rsidRPr="00977D21">
        <w:rPr>
          <w:rFonts w:ascii="Verdana" w:hAnsi="Verdana"/>
          <w:sz w:val="18"/>
          <w:szCs w:val="18"/>
          <w:lang w:val="el-GR"/>
        </w:rPr>
        <w:t xml:space="preserve">Με τον όρο </w:t>
      </w:r>
      <w:r>
        <w:rPr>
          <w:rFonts w:ascii="Verdana" w:hAnsi="Verdana"/>
          <w:sz w:val="18"/>
          <w:szCs w:val="18"/>
          <w:lang w:val="el-GR"/>
        </w:rPr>
        <w:t xml:space="preserve">εξ’ αποστάσεως </w:t>
      </w:r>
      <w:r w:rsidRPr="00977D21">
        <w:rPr>
          <w:rFonts w:ascii="Verdana" w:hAnsi="Verdana"/>
          <w:sz w:val="18"/>
          <w:szCs w:val="18"/>
          <w:lang w:val="el-GR"/>
        </w:rPr>
        <w:t xml:space="preserve">πρόσβαση, αναφερόμαστε στην ετοιμότητα, την ικανότητα και την προθυμία των επιχειρήσεων να δώσουν τη δυνατότητα στους </w:t>
      </w:r>
      <w:r>
        <w:rPr>
          <w:rFonts w:ascii="Verdana" w:hAnsi="Verdana"/>
          <w:sz w:val="18"/>
          <w:szCs w:val="18"/>
          <w:lang w:val="el-GR"/>
        </w:rPr>
        <w:t xml:space="preserve">απασχολούμενους </w:t>
      </w:r>
      <w:r w:rsidRPr="00977D21">
        <w:rPr>
          <w:rFonts w:ascii="Verdana" w:hAnsi="Verdana"/>
          <w:sz w:val="18"/>
          <w:szCs w:val="18"/>
          <w:lang w:val="el-GR"/>
        </w:rPr>
        <w:t>να εργάζονται εξ</w:t>
      </w:r>
      <w:r>
        <w:rPr>
          <w:rFonts w:ascii="Verdana" w:hAnsi="Verdana"/>
          <w:sz w:val="18"/>
          <w:szCs w:val="18"/>
          <w:lang w:val="el-GR"/>
        </w:rPr>
        <w:t xml:space="preserve">’ </w:t>
      </w:r>
      <w:r w:rsidRPr="00977D21">
        <w:rPr>
          <w:rFonts w:ascii="Verdana" w:hAnsi="Verdana"/>
          <w:sz w:val="18"/>
          <w:szCs w:val="18"/>
          <w:lang w:val="el-GR"/>
        </w:rPr>
        <w:t xml:space="preserve">αποστάσεως, επιτρέποντάς τους </w:t>
      </w:r>
      <w:r w:rsidRPr="004E3BED">
        <w:rPr>
          <w:rFonts w:ascii="Verdana" w:hAnsi="Verdana"/>
          <w:sz w:val="18"/>
          <w:szCs w:val="18"/>
          <w:lang w:val="el-GR"/>
        </w:rPr>
        <w:t xml:space="preserve">εξ’ αποστάσεως </w:t>
      </w:r>
      <w:r w:rsidRPr="00977D21">
        <w:rPr>
          <w:rFonts w:ascii="Verdana" w:hAnsi="Verdana"/>
          <w:sz w:val="18"/>
          <w:szCs w:val="18"/>
          <w:lang w:val="el-GR"/>
        </w:rPr>
        <w:t xml:space="preserve">πρόσβαση </w:t>
      </w:r>
      <w:r>
        <w:rPr>
          <w:rFonts w:ascii="Verdana" w:hAnsi="Verdana"/>
          <w:sz w:val="18"/>
          <w:szCs w:val="18"/>
          <w:lang w:val="el-GR"/>
        </w:rPr>
        <w:t xml:space="preserve">στους πόρους της </w:t>
      </w:r>
      <w:r w:rsidRPr="00977D21">
        <w:rPr>
          <w:rFonts w:ascii="Verdana" w:hAnsi="Verdana"/>
          <w:sz w:val="18"/>
          <w:szCs w:val="18"/>
          <w:lang w:val="el-GR"/>
        </w:rPr>
        <w:t>επιχείρηση</w:t>
      </w:r>
      <w:r>
        <w:rPr>
          <w:rFonts w:ascii="Verdana" w:hAnsi="Verdana"/>
          <w:sz w:val="18"/>
          <w:szCs w:val="18"/>
          <w:lang w:val="el-GR"/>
        </w:rPr>
        <w:t>ς</w:t>
      </w:r>
      <w:r w:rsidRPr="00977D21">
        <w:rPr>
          <w:rFonts w:ascii="Verdana" w:hAnsi="Verdana"/>
          <w:sz w:val="18"/>
          <w:szCs w:val="18"/>
          <w:lang w:val="el-GR"/>
        </w:rPr>
        <w:t xml:space="preserve"> (π.χ. </w:t>
      </w:r>
      <w:r w:rsidR="00144DD2">
        <w:rPr>
          <w:rFonts w:ascii="Verdana" w:hAnsi="Verdana"/>
          <w:sz w:val="18"/>
          <w:szCs w:val="18"/>
          <w:lang w:val="el-GR"/>
        </w:rPr>
        <w:t>η</w:t>
      </w:r>
      <w:r w:rsidRPr="00977D21">
        <w:rPr>
          <w:rFonts w:ascii="Verdana" w:hAnsi="Verdana"/>
          <w:sz w:val="18"/>
          <w:szCs w:val="18"/>
          <w:lang w:val="el-GR"/>
        </w:rPr>
        <w:t>λεκτρονικό ταχυδρομείο, έγγραφα και συστήματα ΤΠΕ της επιχείρησης).</w:t>
      </w:r>
    </w:p>
    <w:p w14:paraId="4BF657B6" w14:textId="77777777" w:rsidR="00E96E18" w:rsidRDefault="00E96E18" w:rsidP="00E96E18">
      <w:pPr>
        <w:jc w:val="both"/>
        <w:rPr>
          <w:rFonts w:ascii="Verdana" w:hAnsi="Verdana"/>
          <w:sz w:val="18"/>
          <w:szCs w:val="18"/>
          <w:lang w:val="el-GR"/>
        </w:rPr>
      </w:pPr>
    </w:p>
    <w:p w14:paraId="67C8D0A2" w14:textId="73D821FB" w:rsidR="00E96E18" w:rsidRPr="006E7BF6" w:rsidRDefault="00E96E18" w:rsidP="00E96E18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Κατά το 202</w:t>
      </w:r>
      <w:r w:rsidR="006E7BF6">
        <w:rPr>
          <w:rFonts w:ascii="Verdana" w:hAnsi="Verdana"/>
          <w:sz w:val="18"/>
          <w:szCs w:val="18"/>
          <w:lang w:val="el-GR"/>
        </w:rPr>
        <w:t>4</w:t>
      </w:r>
      <w:r>
        <w:rPr>
          <w:rFonts w:ascii="Verdana" w:hAnsi="Verdana"/>
          <w:sz w:val="18"/>
          <w:szCs w:val="18"/>
          <w:lang w:val="el-GR"/>
        </w:rPr>
        <w:t xml:space="preserve">, </w:t>
      </w:r>
      <w:r w:rsidR="006E7BF6">
        <w:rPr>
          <w:rFonts w:ascii="Verdana" w:hAnsi="Verdana"/>
          <w:sz w:val="18"/>
          <w:szCs w:val="18"/>
          <w:lang w:val="el-GR"/>
        </w:rPr>
        <w:t xml:space="preserve">το </w:t>
      </w:r>
      <w:r w:rsidRPr="005202DB">
        <w:rPr>
          <w:rFonts w:ascii="Verdana" w:hAnsi="Verdana"/>
          <w:sz w:val="18"/>
          <w:szCs w:val="18"/>
          <w:lang w:val="el-GR"/>
        </w:rPr>
        <w:t>59,</w:t>
      </w:r>
      <w:r w:rsidR="006E7BF6">
        <w:rPr>
          <w:rFonts w:ascii="Verdana" w:hAnsi="Verdana"/>
          <w:sz w:val="18"/>
          <w:szCs w:val="18"/>
          <w:lang w:val="el-GR"/>
        </w:rPr>
        <w:t>1</w:t>
      </w:r>
      <w:r w:rsidRPr="005202DB">
        <w:rPr>
          <w:rFonts w:ascii="Verdana" w:hAnsi="Verdana"/>
          <w:sz w:val="18"/>
          <w:szCs w:val="18"/>
          <w:lang w:val="el-GR"/>
        </w:rPr>
        <w:t>% όλων των επιχειρήσεων έχουν πραγματοποιήσει εξ</w:t>
      </w:r>
      <w:r>
        <w:rPr>
          <w:rFonts w:ascii="Verdana" w:hAnsi="Verdana"/>
          <w:sz w:val="18"/>
          <w:szCs w:val="18"/>
          <w:lang w:val="el-GR"/>
        </w:rPr>
        <w:t xml:space="preserve">’ </w:t>
      </w:r>
      <w:r w:rsidRPr="005202DB">
        <w:rPr>
          <w:rFonts w:ascii="Verdana" w:hAnsi="Verdana"/>
          <w:sz w:val="18"/>
          <w:szCs w:val="18"/>
          <w:lang w:val="el-GR"/>
        </w:rPr>
        <w:t xml:space="preserve">αποστάσεως συσκέψεις μέσω διαδικτύου (π.χ. Skype, </w:t>
      </w:r>
      <w:proofErr w:type="spellStart"/>
      <w:r w:rsidRPr="005202DB">
        <w:rPr>
          <w:rFonts w:ascii="Verdana" w:hAnsi="Verdana"/>
          <w:sz w:val="18"/>
          <w:szCs w:val="18"/>
          <w:lang w:val="el-GR"/>
        </w:rPr>
        <w:t>Zoom</w:t>
      </w:r>
      <w:proofErr w:type="spellEnd"/>
      <w:r w:rsidRPr="005202DB">
        <w:rPr>
          <w:rFonts w:ascii="Verdana" w:hAnsi="Verdana"/>
          <w:sz w:val="18"/>
          <w:szCs w:val="18"/>
          <w:lang w:val="el-GR"/>
        </w:rPr>
        <w:t>, MS</w:t>
      </w:r>
      <w:r w:rsidR="003F6CEA" w:rsidRPr="003F6CEA">
        <w:rPr>
          <w:rFonts w:ascii="Verdana" w:hAnsi="Verdana"/>
          <w:sz w:val="18"/>
          <w:szCs w:val="18"/>
          <w:lang w:val="el-GR"/>
        </w:rPr>
        <w:t xml:space="preserve"> </w:t>
      </w:r>
      <w:r w:rsidR="00967685">
        <w:rPr>
          <w:rFonts w:ascii="Verdana" w:hAnsi="Verdana"/>
          <w:sz w:val="18"/>
          <w:szCs w:val="18"/>
        </w:rPr>
        <w:t>T</w:t>
      </w:r>
      <w:r w:rsidR="003F6CEA">
        <w:rPr>
          <w:rFonts w:ascii="Verdana" w:hAnsi="Verdana"/>
          <w:sz w:val="18"/>
          <w:szCs w:val="18"/>
        </w:rPr>
        <w:t>eams</w:t>
      </w:r>
      <w:r w:rsidRPr="005202DB">
        <w:rPr>
          <w:rFonts w:ascii="Verdana" w:hAnsi="Verdana"/>
          <w:sz w:val="18"/>
          <w:szCs w:val="18"/>
          <w:lang w:val="el-GR"/>
        </w:rPr>
        <w:t>, WebEx κ.λπ.). (</w:t>
      </w:r>
      <w:r>
        <w:rPr>
          <w:rFonts w:ascii="Verdana" w:hAnsi="Verdana"/>
          <w:sz w:val="18"/>
          <w:szCs w:val="18"/>
          <w:lang w:val="el-GR"/>
        </w:rPr>
        <w:t>Διάγραμμα</w:t>
      </w:r>
      <w:r w:rsidRPr="005202DB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1</w:t>
      </w:r>
      <w:r w:rsidRPr="005202DB">
        <w:rPr>
          <w:rFonts w:ascii="Verdana" w:hAnsi="Verdana"/>
          <w:sz w:val="18"/>
          <w:szCs w:val="18"/>
          <w:lang w:val="el-GR"/>
        </w:rPr>
        <w:t>)</w:t>
      </w:r>
    </w:p>
    <w:p w14:paraId="04C67A70" w14:textId="77777777" w:rsidR="00E96E18" w:rsidRPr="006E7BF6" w:rsidRDefault="00E96E18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4CFB36" w14:textId="7982DCC4" w:rsidR="00E96E18" w:rsidRDefault="000D43BA" w:rsidP="00EA2190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 wp14:anchorId="63BF522C" wp14:editId="0E98084B">
            <wp:extent cx="6132830" cy="3694430"/>
            <wp:effectExtent l="0" t="0" r="1270" b="1270"/>
            <wp:docPr id="18584124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369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73754" w14:textId="77777777" w:rsidR="00E96E18" w:rsidRDefault="00E96E18" w:rsidP="000E4CB0">
      <w:pPr>
        <w:jc w:val="both"/>
        <w:rPr>
          <w:rFonts w:ascii="Verdana" w:hAnsi="Verdana" w:cs="Arial"/>
          <w:sz w:val="18"/>
          <w:szCs w:val="18"/>
        </w:rPr>
      </w:pPr>
    </w:p>
    <w:p w14:paraId="7FE8B807" w14:textId="7D9AA8BB" w:rsidR="00D01570" w:rsidRPr="000D43BA" w:rsidRDefault="00D01570" w:rsidP="00454B95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0D43BA">
        <w:rPr>
          <w:rFonts w:ascii="Verdana" w:hAnsi="Verdana"/>
          <w:b/>
          <w:bCs/>
          <w:sz w:val="18"/>
          <w:szCs w:val="18"/>
          <w:u w:val="single"/>
          <w:lang w:val="el-GR"/>
        </w:rPr>
        <w:lastRenderedPageBreak/>
        <w:t xml:space="preserve">Ηλεκτρονικό </w:t>
      </w:r>
      <w:r w:rsidR="000D43BA" w:rsidRPr="000D43BA">
        <w:rPr>
          <w:rFonts w:ascii="Verdana" w:hAnsi="Verdana"/>
          <w:b/>
          <w:bCs/>
          <w:sz w:val="18"/>
          <w:szCs w:val="18"/>
          <w:u w:val="single"/>
          <w:lang w:val="el-GR"/>
        </w:rPr>
        <w:t>Εμπόριο (</w:t>
      </w:r>
      <w:r w:rsidR="00866283" w:rsidRPr="000D43BA">
        <w:rPr>
          <w:rFonts w:ascii="Verdana" w:hAnsi="Verdana"/>
          <w:b/>
          <w:bCs/>
          <w:sz w:val="18"/>
          <w:szCs w:val="18"/>
          <w:u w:val="single"/>
          <w:lang w:val="el-GR"/>
        </w:rPr>
        <w:t>Πωλήσεις</w:t>
      </w:r>
      <w:r w:rsidR="000D43BA" w:rsidRPr="000D43BA">
        <w:rPr>
          <w:rFonts w:ascii="Verdana" w:hAnsi="Verdana"/>
          <w:b/>
          <w:bCs/>
          <w:sz w:val="18"/>
          <w:szCs w:val="18"/>
          <w:u w:val="single"/>
          <w:lang w:val="el-GR"/>
        </w:rPr>
        <w:t>)</w:t>
      </w:r>
    </w:p>
    <w:p w14:paraId="735CD8D1" w14:textId="5DE12BF2" w:rsidR="001274DC" w:rsidRPr="00C22940" w:rsidRDefault="00D01570" w:rsidP="001274DC">
      <w:pPr>
        <w:spacing w:before="120" w:after="120"/>
        <w:jc w:val="both"/>
        <w:rPr>
          <w:rFonts w:ascii="Verdana" w:hAnsi="Verdana"/>
          <w:sz w:val="18"/>
          <w:szCs w:val="18"/>
          <w:lang w:val="el-GR"/>
        </w:rPr>
      </w:pPr>
      <w:r w:rsidRPr="00C22940">
        <w:rPr>
          <w:rFonts w:ascii="Verdana" w:hAnsi="Verdana"/>
          <w:sz w:val="18"/>
          <w:szCs w:val="18"/>
          <w:lang w:val="el-GR"/>
        </w:rPr>
        <w:t>Κατά το 202</w:t>
      </w:r>
      <w:r w:rsidR="00866283">
        <w:rPr>
          <w:rFonts w:ascii="Verdana" w:hAnsi="Verdana"/>
          <w:sz w:val="18"/>
          <w:szCs w:val="18"/>
          <w:lang w:val="el-GR"/>
        </w:rPr>
        <w:t>3</w:t>
      </w:r>
      <w:r w:rsidRPr="00C22940">
        <w:rPr>
          <w:rFonts w:ascii="Verdana" w:hAnsi="Verdana"/>
          <w:sz w:val="18"/>
          <w:szCs w:val="18"/>
          <w:lang w:val="el-GR"/>
        </w:rPr>
        <w:t xml:space="preserve">, </w:t>
      </w:r>
      <w:r w:rsidRPr="00AA788D">
        <w:rPr>
          <w:rFonts w:ascii="Verdana" w:hAnsi="Verdana"/>
          <w:sz w:val="18"/>
          <w:szCs w:val="18"/>
          <w:lang w:val="el-GR"/>
        </w:rPr>
        <w:t>2</w:t>
      </w:r>
      <w:r w:rsidR="001C6B5E">
        <w:rPr>
          <w:rFonts w:ascii="Verdana" w:hAnsi="Verdana"/>
          <w:sz w:val="18"/>
          <w:szCs w:val="18"/>
          <w:lang w:val="el-GR"/>
        </w:rPr>
        <w:t>3</w:t>
      </w:r>
      <w:r w:rsidRPr="00C22940">
        <w:rPr>
          <w:rFonts w:ascii="Verdana" w:hAnsi="Verdana"/>
          <w:sz w:val="18"/>
          <w:szCs w:val="18"/>
          <w:lang w:val="el-GR"/>
        </w:rPr>
        <w:t>,</w:t>
      </w:r>
      <w:r w:rsidR="001C6B5E">
        <w:rPr>
          <w:rFonts w:ascii="Verdana" w:hAnsi="Verdana"/>
          <w:sz w:val="18"/>
          <w:szCs w:val="18"/>
          <w:lang w:val="el-GR"/>
        </w:rPr>
        <w:t>5</w:t>
      </w:r>
      <w:r w:rsidRPr="00C22940">
        <w:rPr>
          <w:rFonts w:ascii="Verdana" w:hAnsi="Verdana"/>
          <w:sz w:val="18"/>
          <w:szCs w:val="18"/>
          <w:lang w:val="el-GR"/>
        </w:rPr>
        <w:t>% των επιχειρήσεων έλαβαν παραγγελίες μέσω δικτύων υπολογιστών (εξαιρούνται τα δακτυλογραφημένα e-</w:t>
      </w:r>
      <w:proofErr w:type="spellStart"/>
      <w:r w:rsidRPr="00C22940">
        <w:rPr>
          <w:rFonts w:ascii="Verdana" w:hAnsi="Verdana"/>
          <w:sz w:val="18"/>
          <w:szCs w:val="18"/>
          <w:lang w:val="el-GR"/>
        </w:rPr>
        <w:t>mails</w:t>
      </w:r>
      <w:proofErr w:type="spellEnd"/>
      <w:r w:rsidRPr="00C22940">
        <w:rPr>
          <w:rFonts w:ascii="Verdana" w:hAnsi="Verdana"/>
          <w:sz w:val="18"/>
          <w:szCs w:val="18"/>
          <w:lang w:val="el-GR"/>
        </w:rPr>
        <w:t>).</w:t>
      </w:r>
      <w:r w:rsidR="007D6CB6" w:rsidRPr="007D6CB6">
        <w:rPr>
          <w:rFonts w:ascii="Verdana" w:hAnsi="Verdana"/>
          <w:sz w:val="18"/>
          <w:szCs w:val="18"/>
          <w:lang w:val="el-GR"/>
        </w:rPr>
        <w:t xml:space="preserve"> </w:t>
      </w:r>
      <w:r w:rsidR="005D656F">
        <w:rPr>
          <w:rFonts w:ascii="Verdana" w:hAnsi="Verdana"/>
          <w:sz w:val="18"/>
          <w:szCs w:val="18"/>
          <w:lang w:val="el-GR"/>
        </w:rPr>
        <w:t xml:space="preserve">Το </w:t>
      </w:r>
      <w:r w:rsidRPr="00AA788D">
        <w:rPr>
          <w:rFonts w:ascii="Verdana" w:hAnsi="Verdana"/>
          <w:sz w:val="18"/>
          <w:szCs w:val="18"/>
          <w:lang w:val="el-GR"/>
        </w:rPr>
        <w:t>2</w:t>
      </w:r>
      <w:r w:rsidR="001C6B5E">
        <w:rPr>
          <w:rFonts w:ascii="Verdana" w:hAnsi="Verdana"/>
          <w:sz w:val="18"/>
          <w:szCs w:val="18"/>
          <w:lang w:val="el-GR"/>
        </w:rPr>
        <w:t>2</w:t>
      </w:r>
      <w:r w:rsidRPr="00C22940">
        <w:rPr>
          <w:rFonts w:ascii="Verdana" w:hAnsi="Verdana"/>
          <w:sz w:val="18"/>
          <w:szCs w:val="18"/>
          <w:lang w:val="el-GR"/>
        </w:rPr>
        <w:t>,</w:t>
      </w:r>
      <w:r w:rsidR="00866283">
        <w:rPr>
          <w:rFonts w:ascii="Verdana" w:hAnsi="Verdana"/>
          <w:sz w:val="18"/>
          <w:szCs w:val="18"/>
          <w:lang w:val="el-GR"/>
        </w:rPr>
        <w:t>7</w:t>
      </w:r>
      <w:r w:rsidRPr="00C22940">
        <w:rPr>
          <w:rFonts w:ascii="Verdana" w:hAnsi="Verdana"/>
          <w:sz w:val="18"/>
          <w:szCs w:val="18"/>
          <w:lang w:val="el-GR"/>
        </w:rPr>
        <w:t xml:space="preserve">% των επιχειρήσεων έλαβαν παραγγελίες μέσω ιστότοπων ή </w:t>
      </w:r>
      <w:r>
        <w:rPr>
          <w:rFonts w:ascii="Verdana" w:hAnsi="Verdana"/>
          <w:sz w:val="18"/>
          <w:szCs w:val="18"/>
          <w:lang w:val="el-GR"/>
        </w:rPr>
        <w:t>εφαρμογών</w:t>
      </w:r>
      <w:r w:rsidRPr="00C22940">
        <w:rPr>
          <w:rFonts w:ascii="Verdana" w:hAnsi="Verdana"/>
          <w:sz w:val="18"/>
          <w:szCs w:val="18"/>
          <w:lang w:val="el-GR"/>
        </w:rPr>
        <w:t xml:space="preserve"> και</w:t>
      </w:r>
      <w:r w:rsidR="005D656F">
        <w:rPr>
          <w:rFonts w:ascii="Verdana" w:hAnsi="Verdana"/>
          <w:sz w:val="18"/>
          <w:szCs w:val="18"/>
          <w:lang w:val="el-GR"/>
        </w:rPr>
        <w:t xml:space="preserve"> το</w:t>
      </w:r>
      <w:r w:rsidRPr="00C22940">
        <w:rPr>
          <w:rFonts w:ascii="Verdana" w:hAnsi="Verdana"/>
          <w:sz w:val="18"/>
          <w:szCs w:val="18"/>
          <w:lang w:val="el-GR"/>
        </w:rPr>
        <w:t xml:space="preserve"> </w:t>
      </w:r>
      <w:r w:rsidR="00866283">
        <w:rPr>
          <w:rFonts w:ascii="Verdana" w:hAnsi="Verdana"/>
          <w:sz w:val="18"/>
          <w:szCs w:val="18"/>
          <w:lang w:val="el-GR"/>
        </w:rPr>
        <w:t>2</w:t>
      </w:r>
      <w:r w:rsidRPr="00C22940">
        <w:rPr>
          <w:rFonts w:ascii="Verdana" w:hAnsi="Verdana"/>
          <w:sz w:val="18"/>
          <w:szCs w:val="18"/>
          <w:lang w:val="el-GR"/>
        </w:rPr>
        <w:t>,</w:t>
      </w:r>
      <w:r w:rsidR="00866283">
        <w:rPr>
          <w:rFonts w:ascii="Verdana" w:hAnsi="Verdana"/>
          <w:sz w:val="18"/>
          <w:szCs w:val="18"/>
          <w:lang w:val="el-GR"/>
        </w:rPr>
        <w:t>5</w:t>
      </w:r>
      <w:r w:rsidRPr="00C22940">
        <w:rPr>
          <w:rFonts w:ascii="Verdana" w:hAnsi="Verdana"/>
          <w:sz w:val="18"/>
          <w:szCs w:val="18"/>
          <w:lang w:val="el-GR"/>
        </w:rPr>
        <w:t>% μέσω μηνυμάτων τύπου “EDI</w:t>
      </w:r>
      <w:r w:rsidRPr="001D23C3">
        <w:rPr>
          <w:rFonts w:ascii="Verdana" w:hAnsi="Verdana"/>
          <w:sz w:val="18"/>
          <w:szCs w:val="18"/>
          <w:lang w:val="el-GR"/>
        </w:rPr>
        <w:t>”</w:t>
      </w:r>
      <w:r w:rsidRPr="001D23C3">
        <w:rPr>
          <w:lang w:val="el-GR"/>
        </w:rPr>
        <w:t xml:space="preserve"> (</w:t>
      </w:r>
      <w:proofErr w:type="spellStart"/>
      <w:r w:rsidRPr="001D23C3">
        <w:rPr>
          <w:rFonts w:ascii="Verdana" w:hAnsi="Verdana"/>
          <w:sz w:val="18"/>
          <w:szCs w:val="18"/>
          <w:lang w:val="el-GR"/>
        </w:rPr>
        <w:t>Electronic</w:t>
      </w:r>
      <w:proofErr w:type="spellEnd"/>
      <w:r w:rsidRPr="001D23C3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1D23C3">
        <w:rPr>
          <w:rFonts w:ascii="Verdana" w:hAnsi="Verdana"/>
          <w:sz w:val="18"/>
          <w:szCs w:val="18"/>
          <w:lang w:val="el-GR"/>
        </w:rPr>
        <w:t>Data</w:t>
      </w:r>
      <w:proofErr w:type="spellEnd"/>
      <w:r w:rsidRPr="001D23C3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1D23C3">
        <w:rPr>
          <w:rFonts w:ascii="Verdana" w:hAnsi="Verdana"/>
          <w:sz w:val="18"/>
          <w:szCs w:val="18"/>
          <w:lang w:val="el-GR"/>
        </w:rPr>
        <w:t>Interchange</w:t>
      </w:r>
      <w:proofErr w:type="spellEnd"/>
      <w:r w:rsidRPr="001D23C3">
        <w:rPr>
          <w:rFonts w:ascii="Verdana" w:hAnsi="Verdana"/>
          <w:sz w:val="18"/>
          <w:szCs w:val="18"/>
          <w:lang w:val="el-GR"/>
        </w:rPr>
        <w:t>)</w:t>
      </w:r>
      <w:r w:rsidRPr="00C22940">
        <w:rPr>
          <w:rFonts w:ascii="Verdana" w:hAnsi="Verdana"/>
          <w:sz w:val="18"/>
          <w:szCs w:val="18"/>
          <w:lang w:val="el-GR"/>
        </w:rPr>
        <w:t>. Το 1</w:t>
      </w:r>
      <w:r w:rsidR="00866283">
        <w:rPr>
          <w:rFonts w:ascii="Verdana" w:hAnsi="Verdana"/>
          <w:sz w:val="18"/>
          <w:szCs w:val="18"/>
          <w:lang w:val="el-GR"/>
        </w:rPr>
        <w:t>7</w:t>
      </w:r>
      <w:r w:rsidRPr="00C22940">
        <w:rPr>
          <w:rFonts w:ascii="Verdana" w:hAnsi="Verdana"/>
          <w:sz w:val="18"/>
          <w:szCs w:val="18"/>
          <w:lang w:val="el-GR"/>
        </w:rPr>
        <w:t>,</w:t>
      </w:r>
      <w:r w:rsidR="00866283">
        <w:rPr>
          <w:rFonts w:ascii="Verdana" w:hAnsi="Verdana"/>
          <w:sz w:val="18"/>
          <w:szCs w:val="18"/>
          <w:lang w:val="el-GR"/>
        </w:rPr>
        <w:t>1</w:t>
      </w:r>
      <w:r w:rsidRPr="00C22940">
        <w:rPr>
          <w:rFonts w:ascii="Verdana" w:hAnsi="Verdana"/>
          <w:sz w:val="18"/>
          <w:szCs w:val="18"/>
          <w:lang w:val="el-GR"/>
        </w:rPr>
        <w:t xml:space="preserve">% των επιχειρήσεων έλαβε παραγγελίες για προϊόντα ή υπηρεσίες μέσω των ιστότοπων  ή εφαρμογών της ίδιας της επιχείρησης, ενώ το </w:t>
      </w:r>
      <w:r>
        <w:rPr>
          <w:rFonts w:ascii="Verdana" w:hAnsi="Verdana"/>
          <w:sz w:val="18"/>
          <w:szCs w:val="18"/>
          <w:lang w:val="el-GR"/>
        </w:rPr>
        <w:t>1</w:t>
      </w:r>
      <w:r w:rsidR="00866283">
        <w:rPr>
          <w:rFonts w:ascii="Verdana" w:hAnsi="Verdana"/>
          <w:sz w:val="18"/>
          <w:szCs w:val="18"/>
          <w:lang w:val="el-GR"/>
        </w:rPr>
        <w:t>4</w:t>
      </w:r>
      <w:r w:rsidRPr="00C22940">
        <w:rPr>
          <w:rFonts w:ascii="Verdana" w:hAnsi="Verdana"/>
          <w:sz w:val="18"/>
          <w:szCs w:val="18"/>
          <w:lang w:val="el-GR"/>
        </w:rPr>
        <w:t>,</w:t>
      </w:r>
      <w:r w:rsidR="00866283">
        <w:rPr>
          <w:rFonts w:ascii="Verdana" w:hAnsi="Verdana"/>
          <w:sz w:val="18"/>
          <w:szCs w:val="18"/>
          <w:lang w:val="el-GR"/>
        </w:rPr>
        <w:t>2</w:t>
      </w:r>
      <w:r w:rsidRPr="00C22940">
        <w:rPr>
          <w:rFonts w:ascii="Verdana" w:hAnsi="Verdana"/>
          <w:sz w:val="18"/>
          <w:szCs w:val="18"/>
          <w:lang w:val="el-GR"/>
        </w:rPr>
        <w:t>% έλαβε παραγγελίες μέσω ιστότοπων ηλεκτρονικής αγοράς ή εφαρμογών που χρησιμοποιούνται από διάφορες  επιχειρήσεις για εμπορία προϊόντων</w:t>
      </w:r>
      <w:r>
        <w:rPr>
          <w:rFonts w:ascii="Verdana" w:hAnsi="Verdana"/>
          <w:sz w:val="18"/>
          <w:szCs w:val="18"/>
          <w:lang w:val="el-GR"/>
        </w:rPr>
        <w:t>.</w:t>
      </w:r>
      <w:r w:rsidRPr="00D01570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Το </w:t>
      </w:r>
      <w:r w:rsidR="001C6B5E">
        <w:rPr>
          <w:rFonts w:ascii="Verdana" w:hAnsi="Verdana"/>
          <w:sz w:val="18"/>
          <w:szCs w:val="18"/>
          <w:lang w:val="el-GR"/>
        </w:rPr>
        <w:t>2</w:t>
      </w:r>
      <w:r w:rsidR="00866283">
        <w:rPr>
          <w:rFonts w:ascii="Verdana" w:hAnsi="Verdana"/>
          <w:sz w:val="18"/>
          <w:szCs w:val="18"/>
          <w:lang w:val="el-GR"/>
        </w:rPr>
        <w:t>1</w:t>
      </w:r>
      <w:r>
        <w:rPr>
          <w:rFonts w:ascii="Verdana" w:hAnsi="Verdana"/>
          <w:sz w:val="18"/>
          <w:szCs w:val="18"/>
          <w:lang w:val="el-GR"/>
        </w:rPr>
        <w:t>,</w:t>
      </w:r>
      <w:r w:rsidR="00866283">
        <w:rPr>
          <w:rFonts w:ascii="Verdana" w:hAnsi="Verdana"/>
          <w:sz w:val="18"/>
          <w:szCs w:val="18"/>
          <w:lang w:val="el-GR"/>
        </w:rPr>
        <w:t>2</w:t>
      </w:r>
      <w:r>
        <w:rPr>
          <w:rFonts w:ascii="Verdana" w:hAnsi="Verdana"/>
          <w:sz w:val="18"/>
          <w:szCs w:val="18"/>
          <w:lang w:val="el-GR"/>
        </w:rPr>
        <w:t>% των επιχειρήσεων έλαβε παραγγελίες για αγαθά ή υπηρεσίες μέσω ιστότοπων ή εφαρμογών από ιδιώτες καταναλωτές σε σύγκριση με 1</w:t>
      </w:r>
      <w:r w:rsidR="00866283">
        <w:rPr>
          <w:rFonts w:ascii="Verdana" w:hAnsi="Verdana"/>
          <w:sz w:val="18"/>
          <w:szCs w:val="18"/>
          <w:lang w:val="el-GR"/>
        </w:rPr>
        <w:t>1</w:t>
      </w:r>
      <w:r>
        <w:rPr>
          <w:rFonts w:ascii="Verdana" w:hAnsi="Verdana"/>
          <w:sz w:val="18"/>
          <w:szCs w:val="18"/>
          <w:lang w:val="el-GR"/>
        </w:rPr>
        <w:t>,</w:t>
      </w:r>
      <w:r w:rsidR="00866283">
        <w:rPr>
          <w:rFonts w:ascii="Verdana" w:hAnsi="Verdana"/>
          <w:sz w:val="18"/>
          <w:szCs w:val="18"/>
          <w:lang w:val="el-GR"/>
        </w:rPr>
        <w:t>4</w:t>
      </w:r>
      <w:r>
        <w:rPr>
          <w:rFonts w:ascii="Verdana" w:hAnsi="Verdana"/>
          <w:sz w:val="18"/>
          <w:szCs w:val="18"/>
          <w:lang w:val="el-GR"/>
        </w:rPr>
        <w:t xml:space="preserve">% των επιχειρήσεων που έλαβαν παραγγελίες από </w:t>
      </w:r>
      <w:r w:rsidRPr="002550C5">
        <w:rPr>
          <w:rFonts w:ascii="Verdana" w:hAnsi="Verdana"/>
          <w:sz w:val="18"/>
          <w:szCs w:val="18"/>
          <w:lang w:val="el-GR"/>
        </w:rPr>
        <w:t>άλλες επιχειρήσεις</w:t>
      </w:r>
      <w:r>
        <w:rPr>
          <w:rFonts w:ascii="Verdana" w:hAnsi="Verdana"/>
          <w:sz w:val="18"/>
          <w:szCs w:val="18"/>
          <w:lang w:val="el-GR"/>
        </w:rPr>
        <w:t xml:space="preserve"> ή/</w:t>
      </w:r>
      <w:r w:rsidRPr="002550C5">
        <w:rPr>
          <w:rFonts w:ascii="Verdana" w:hAnsi="Verdana"/>
          <w:sz w:val="18"/>
          <w:szCs w:val="18"/>
          <w:lang w:val="el-GR"/>
        </w:rPr>
        <w:t>και δημόσιες αρχές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C22940">
        <w:rPr>
          <w:rFonts w:ascii="Verdana" w:hAnsi="Verdana"/>
          <w:sz w:val="18"/>
          <w:szCs w:val="18"/>
          <w:lang w:val="el-GR"/>
        </w:rPr>
        <w:t xml:space="preserve">(Διάγραμμα </w:t>
      </w:r>
      <w:r w:rsidR="00866283">
        <w:rPr>
          <w:rFonts w:ascii="Verdana" w:hAnsi="Verdana"/>
          <w:sz w:val="18"/>
          <w:szCs w:val="18"/>
          <w:lang w:val="el-GR"/>
        </w:rPr>
        <w:t>2</w:t>
      </w:r>
      <w:r w:rsidRPr="00C22940">
        <w:rPr>
          <w:rFonts w:ascii="Verdana" w:hAnsi="Verdana"/>
          <w:sz w:val="18"/>
          <w:szCs w:val="18"/>
          <w:lang w:val="el-GR"/>
        </w:rPr>
        <w:t>)</w:t>
      </w:r>
    </w:p>
    <w:p w14:paraId="0840A04C" w14:textId="4A90060B" w:rsidR="00D01570" w:rsidRDefault="00EA2190" w:rsidP="00EA2190">
      <w:pPr>
        <w:tabs>
          <w:tab w:val="left" w:pos="7725"/>
        </w:tabs>
        <w:jc w:val="center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noProof/>
          <w:sz w:val="18"/>
          <w:szCs w:val="18"/>
          <w:lang w:val="el-GR"/>
        </w:rPr>
        <w:drawing>
          <wp:inline distT="0" distB="0" distL="0" distR="0" wp14:anchorId="2890B638" wp14:editId="13E4C616">
            <wp:extent cx="6132830" cy="4304030"/>
            <wp:effectExtent l="0" t="0" r="1270" b="1270"/>
            <wp:docPr id="151282874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30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E7443A" w14:textId="77777777" w:rsidR="00EA2190" w:rsidRDefault="00EA2190" w:rsidP="00D01570">
      <w:pPr>
        <w:tabs>
          <w:tab w:val="left" w:pos="7725"/>
        </w:tabs>
        <w:jc w:val="both"/>
        <w:rPr>
          <w:rFonts w:ascii="Verdana" w:hAnsi="Verdana"/>
          <w:sz w:val="18"/>
          <w:szCs w:val="18"/>
          <w:lang w:val="el-GR"/>
        </w:rPr>
      </w:pPr>
    </w:p>
    <w:p w14:paraId="1B20B966" w14:textId="3DDB9211" w:rsidR="00E96E18" w:rsidRPr="000D43BA" w:rsidRDefault="00866283" w:rsidP="000D43B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0D43BA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Διαφήμιση στο </w:t>
      </w:r>
      <w:r w:rsidR="000D43BA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</w:t>
      </w:r>
      <w:r w:rsidRPr="000D43BA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ιαδίκτυο</w:t>
      </w:r>
    </w:p>
    <w:p w14:paraId="2130B1C6" w14:textId="2F985BD9" w:rsidR="00454B95" w:rsidRDefault="00E96E18" w:rsidP="000D43BA">
      <w:pPr>
        <w:spacing w:before="120"/>
        <w:jc w:val="both"/>
        <w:rPr>
          <w:rFonts w:ascii="Verdana" w:hAnsi="Verdana" w:cs="Arial"/>
          <w:sz w:val="18"/>
          <w:szCs w:val="18"/>
          <w:lang w:val="el-GR"/>
        </w:rPr>
      </w:pPr>
      <w:r w:rsidRPr="00E96E18">
        <w:rPr>
          <w:rFonts w:ascii="Verdana" w:hAnsi="Verdana" w:cs="Arial"/>
          <w:sz w:val="18"/>
          <w:szCs w:val="18"/>
          <w:lang w:val="el-GR"/>
        </w:rPr>
        <w:t xml:space="preserve">Η διαφήμιση μέσω διαδικτύου αναφέρεται σε επιχειρήσεις που πληρώνουν για διαφήμιση στο διαδίκτυο με σκοπό την προώθηση των αγαθών και των υπηρεσιών τους. </w:t>
      </w:r>
      <w:r w:rsidR="00AC4F60">
        <w:rPr>
          <w:rFonts w:ascii="Verdana" w:hAnsi="Verdana" w:cs="Arial"/>
          <w:sz w:val="18"/>
          <w:szCs w:val="18"/>
          <w:lang w:val="el-GR"/>
        </w:rPr>
        <w:t>Το 2024 σχεδόν οι μισές επιχειρήσεις (</w:t>
      </w:r>
      <w:r w:rsidRPr="00E96E18">
        <w:rPr>
          <w:rFonts w:ascii="Verdana" w:hAnsi="Verdana" w:cs="Arial"/>
          <w:sz w:val="18"/>
          <w:szCs w:val="18"/>
          <w:lang w:val="el-GR"/>
        </w:rPr>
        <w:t>49,4%</w:t>
      </w:r>
      <w:r w:rsidR="00AC4F60">
        <w:rPr>
          <w:rFonts w:ascii="Verdana" w:hAnsi="Verdana" w:cs="Arial"/>
          <w:sz w:val="18"/>
          <w:szCs w:val="18"/>
          <w:lang w:val="el-GR"/>
        </w:rPr>
        <w:t>)</w:t>
      </w:r>
      <w:r w:rsidRPr="00E96E18">
        <w:rPr>
          <w:rFonts w:ascii="Verdana" w:hAnsi="Verdana" w:cs="Arial"/>
          <w:sz w:val="18"/>
          <w:szCs w:val="18"/>
          <w:lang w:val="el-GR"/>
        </w:rPr>
        <w:t xml:space="preserve"> δήλωσαν ότι πληρώνουν για να </w:t>
      </w:r>
      <w:r w:rsidR="003A600C" w:rsidRPr="00E96E18">
        <w:rPr>
          <w:rFonts w:ascii="Verdana" w:hAnsi="Verdana" w:cs="Arial"/>
          <w:sz w:val="18"/>
          <w:szCs w:val="18"/>
          <w:lang w:val="el-GR"/>
        </w:rPr>
        <w:t>διαφημίσ</w:t>
      </w:r>
      <w:r w:rsidR="003A600C">
        <w:rPr>
          <w:rFonts w:ascii="Verdana" w:hAnsi="Verdana" w:cs="Arial"/>
          <w:sz w:val="18"/>
          <w:szCs w:val="18"/>
          <w:lang w:val="el-GR"/>
        </w:rPr>
        <w:t>ουν</w:t>
      </w:r>
      <w:r w:rsidRPr="00E96E18">
        <w:rPr>
          <w:rFonts w:ascii="Verdana" w:hAnsi="Verdana" w:cs="Arial"/>
          <w:sz w:val="18"/>
          <w:szCs w:val="18"/>
          <w:lang w:val="el-GR"/>
        </w:rPr>
        <w:t xml:space="preserve"> στο διαδίκτυο</w:t>
      </w:r>
      <w:r w:rsidR="00AC4F60">
        <w:rPr>
          <w:rFonts w:ascii="Verdana" w:hAnsi="Verdana" w:cs="Arial"/>
          <w:sz w:val="18"/>
          <w:szCs w:val="18"/>
          <w:lang w:val="el-GR"/>
        </w:rPr>
        <w:t xml:space="preserve">, </w:t>
      </w:r>
      <w:r w:rsidR="00AC4F60" w:rsidRPr="00AC4F60">
        <w:rPr>
          <w:rFonts w:ascii="Verdana" w:hAnsi="Verdana" w:cs="Arial"/>
          <w:sz w:val="18"/>
          <w:szCs w:val="18"/>
          <w:lang w:val="el-GR"/>
        </w:rPr>
        <w:t xml:space="preserve">ποσοστό που έχει σχεδόν διπλασιαστεί </w:t>
      </w:r>
      <w:r w:rsidR="00AC4F60">
        <w:rPr>
          <w:rFonts w:ascii="Verdana" w:hAnsi="Verdana" w:cs="Arial"/>
          <w:sz w:val="18"/>
          <w:szCs w:val="18"/>
          <w:lang w:val="el-GR"/>
        </w:rPr>
        <w:t>σε σύγκριση με το</w:t>
      </w:r>
      <w:r w:rsidR="00AC4F60" w:rsidRPr="00AC4F60">
        <w:rPr>
          <w:rFonts w:ascii="Verdana" w:hAnsi="Verdana" w:cs="Arial"/>
          <w:sz w:val="18"/>
          <w:szCs w:val="18"/>
          <w:lang w:val="el-GR"/>
        </w:rPr>
        <w:t xml:space="preserve"> 2016</w:t>
      </w:r>
      <w:r w:rsidRPr="00E96E18">
        <w:rPr>
          <w:rFonts w:ascii="Verdana" w:hAnsi="Verdana" w:cs="Arial"/>
          <w:sz w:val="18"/>
          <w:szCs w:val="18"/>
          <w:lang w:val="el-GR"/>
        </w:rPr>
        <w:t xml:space="preserve">. Το 43,5% των επιχειρήσεων πλήρωσε για στοχευμένες διαφημίσεις με βάση τη γεωγραφική θέση των χρηστών του διαδικτύου, το 38,4% με βάση </w:t>
      </w:r>
      <w:r w:rsidR="003A600C">
        <w:rPr>
          <w:rFonts w:ascii="Verdana" w:hAnsi="Verdana" w:cs="Arial"/>
          <w:sz w:val="18"/>
          <w:szCs w:val="18"/>
          <w:lang w:val="el-GR"/>
        </w:rPr>
        <w:t xml:space="preserve">το </w:t>
      </w:r>
      <w:r w:rsidRPr="00E96E18">
        <w:rPr>
          <w:rFonts w:ascii="Verdana" w:hAnsi="Verdana" w:cs="Arial"/>
          <w:sz w:val="18"/>
          <w:szCs w:val="18"/>
          <w:lang w:val="el-GR"/>
        </w:rPr>
        <w:t>περιεχόμενο ή τις λέξεις κλειδιά που αναζητήθηκαν από τους χρήστες του διαδικτύου και το 28,7% πλήρωσαν για διαφημίσεις με βάση το ιστορικό περιήγησης ή το προφίλ των χρηστών του διαδικτύου</w:t>
      </w:r>
      <w:r w:rsidR="009D1DA6">
        <w:rPr>
          <w:rFonts w:ascii="Verdana" w:hAnsi="Verdana" w:cs="Arial"/>
          <w:sz w:val="18"/>
          <w:szCs w:val="18"/>
          <w:lang w:val="el-GR"/>
        </w:rPr>
        <w:t>.</w:t>
      </w:r>
      <w:r w:rsidRPr="00E96E18">
        <w:rPr>
          <w:rFonts w:ascii="Verdana" w:hAnsi="Verdana" w:cs="Arial"/>
          <w:sz w:val="18"/>
          <w:szCs w:val="18"/>
          <w:lang w:val="el-GR"/>
        </w:rPr>
        <w:t xml:space="preserve"> (</w:t>
      </w:r>
      <w:r w:rsidR="009D1DA6">
        <w:rPr>
          <w:rFonts w:ascii="Verdana" w:hAnsi="Verdana" w:cs="Arial"/>
          <w:sz w:val="18"/>
          <w:szCs w:val="18"/>
          <w:lang w:val="el-GR"/>
        </w:rPr>
        <w:t>Πίνακας 1</w:t>
      </w:r>
      <w:r w:rsidRPr="00E96E18">
        <w:rPr>
          <w:rFonts w:ascii="Verdana" w:hAnsi="Verdana" w:cs="Arial"/>
          <w:sz w:val="18"/>
          <w:szCs w:val="18"/>
          <w:lang w:val="el-GR"/>
        </w:rPr>
        <w:t>)</w:t>
      </w:r>
    </w:p>
    <w:p w14:paraId="4B39354A" w14:textId="77777777" w:rsidR="00FA1A62" w:rsidRPr="00E96E18" w:rsidRDefault="00FA1A62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07AEAB5" w14:textId="04BC650D" w:rsidR="00E96E18" w:rsidRPr="000D43BA" w:rsidRDefault="00E96E18" w:rsidP="000D43B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0D43BA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Εξειδικευμένο </w:t>
      </w:r>
      <w:r w:rsidR="000D43BA" w:rsidRPr="000D43BA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Προσωπικό </w:t>
      </w:r>
      <w:r w:rsidR="000D43BA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σ</w:t>
      </w:r>
      <w:r w:rsidR="000D43BA" w:rsidRPr="000D43BA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ε Θέματα Τ</w:t>
      </w:r>
      <w:r w:rsidR="000D43BA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ΠΕ</w:t>
      </w:r>
      <w:r w:rsidR="000D43BA" w:rsidRPr="000D43BA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 </w:t>
      </w:r>
      <w:r w:rsidR="000D43BA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</w:t>
      </w:r>
      <w:r w:rsidR="000D43BA" w:rsidRPr="000D43BA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αι Δεξιότητες</w:t>
      </w:r>
    </w:p>
    <w:p w14:paraId="111B9758" w14:textId="77777777" w:rsidR="00E96E18" w:rsidRPr="006637FF" w:rsidRDefault="00E96E18" w:rsidP="009D1DA6">
      <w:pPr>
        <w:spacing w:before="120" w:after="120"/>
        <w:jc w:val="both"/>
        <w:rPr>
          <w:rFonts w:ascii="Verdana" w:hAnsi="Verdana"/>
          <w:sz w:val="18"/>
          <w:szCs w:val="18"/>
          <w:lang w:val="el-GR"/>
        </w:rPr>
      </w:pPr>
      <w:r w:rsidRPr="006637FF">
        <w:rPr>
          <w:rFonts w:ascii="Verdana" w:hAnsi="Verdana"/>
          <w:sz w:val="18"/>
          <w:szCs w:val="18"/>
          <w:lang w:val="el-GR"/>
        </w:rPr>
        <w:t xml:space="preserve">Εξειδικευμένο προσωπικό σε θέματα ΤΠΕ θεωρείται το προσωπικό του οποίου η κύρια εργασία είναι η χρήση των ΤΠΕ. Για παράδειγμα, έχει τη δυνατότητα να αναπτύσσει, να σχεδιάζει, να λειτουργεί, να υποστηρίζει ή </w:t>
      </w:r>
      <w:r>
        <w:rPr>
          <w:rFonts w:ascii="Verdana" w:hAnsi="Verdana"/>
          <w:sz w:val="18"/>
          <w:szCs w:val="18"/>
          <w:lang w:val="el-GR"/>
        </w:rPr>
        <w:t xml:space="preserve">και </w:t>
      </w:r>
      <w:r w:rsidRPr="006637FF">
        <w:rPr>
          <w:rFonts w:ascii="Verdana" w:hAnsi="Verdana"/>
          <w:sz w:val="18"/>
          <w:szCs w:val="18"/>
          <w:lang w:val="el-GR"/>
        </w:rPr>
        <w:t xml:space="preserve">να συντηρεί συστήματα ΤΠΕ και εφαρμογές που χρησιμοποιούνται για την αποθήκευση, ανάκτηση και αποστολή δεδομένων. </w:t>
      </w:r>
    </w:p>
    <w:p w14:paraId="40171BB3" w14:textId="030861E9" w:rsidR="00E96E18" w:rsidRDefault="0093211E" w:rsidP="00E96E18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Το </w:t>
      </w:r>
      <w:r w:rsidR="00E96E18" w:rsidRPr="000A4204">
        <w:rPr>
          <w:rFonts w:ascii="Verdana" w:hAnsi="Verdana"/>
          <w:sz w:val="18"/>
          <w:szCs w:val="18"/>
          <w:lang w:val="el-GR"/>
        </w:rPr>
        <w:t>2</w:t>
      </w:r>
      <w:r>
        <w:rPr>
          <w:rFonts w:ascii="Verdana" w:hAnsi="Verdana"/>
          <w:sz w:val="18"/>
          <w:szCs w:val="18"/>
          <w:lang w:val="el-GR"/>
        </w:rPr>
        <w:t>7</w:t>
      </w:r>
      <w:r w:rsidR="00E96E18" w:rsidRPr="000A4204">
        <w:rPr>
          <w:rFonts w:ascii="Verdana" w:hAnsi="Verdana"/>
          <w:sz w:val="18"/>
          <w:szCs w:val="18"/>
          <w:lang w:val="el-GR"/>
        </w:rPr>
        <w:t>,</w:t>
      </w:r>
      <w:r>
        <w:rPr>
          <w:rFonts w:ascii="Verdana" w:hAnsi="Verdana"/>
          <w:sz w:val="18"/>
          <w:szCs w:val="18"/>
          <w:lang w:val="el-GR"/>
        </w:rPr>
        <w:t>5</w:t>
      </w:r>
      <w:r w:rsidR="00E96E18" w:rsidRPr="000A4204">
        <w:rPr>
          <w:rFonts w:ascii="Verdana" w:hAnsi="Verdana"/>
          <w:sz w:val="18"/>
          <w:szCs w:val="18"/>
          <w:lang w:val="el-GR"/>
        </w:rPr>
        <w:t>%</w:t>
      </w:r>
      <w:r>
        <w:rPr>
          <w:rFonts w:ascii="Verdana" w:hAnsi="Verdana"/>
          <w:sz w:val="18"/>
          <w:szCs w:val="18"/>
          <w:lang w:val="el-GR"/>
        </w:rPr>
        <w:t xml:space="preserve"> των επιχειρήσεων</w:t>
      </w:r>
      <w:r w:rsidR="00E96E18" w:rsidRPr="000A4204">
        <w:rPr>
          <w:rFonts w:ascii="Verdana" w:hAnsi="Verdana"/>
          <w:sz w:val="18"/>
          <w:szCs w:val="18"/>
          <w:lang w:val="el-GR"/>
        </w:rPr>
        <w:t xml:space="preserve"> </w:t>
      </w:r>
      <w:r w:rsidRPr="000A4204">
        <w:rPr>
          <w:rFonts w:ascii="Verdana" w:hAnsi="Verdana"/>
          <w:sz w:val="18"/>
          <w:szCs w:val="18"/>
          <w:lang w:val="el-GR"/>
        </w:rPr>
        <w:t>απασχολ</w:t>
      </w:r>
      <w:r>
        <w:rPr>
          <w:rFonts w:ascii="Verdana" w:hAnsi="Verdana"/>
          <w:sz w:val="18"/>
          <w:szCs w:val="18"/>
          <w:lang w:val="el-GR"/>
        </w:rPr>
        <w:t>ούν</w:t>
      </w:r>
      <w:r w:rsidR="00E96E18" w:rsidRPr="000A4204">
        <w:rPr>
          <w:rFonts w:ascii="Verdana" w:hAnsi="Verdana"/>
          <w:sz w:val="18"/>
          <w:szCs w:val="18"/>
          <w:lang w:val="el-GR"/>
        </w:rPr>
        <w:t xml:space="preserve"> εξειδικευμένο προσωπικό σε θέματα ΤΠΕ</w:t>
      </w:r>
      <w:r>
        <w:rPr>
          <w:rFonts w:ascii="Verdana" w:hAnsi="Verdana"/>
          <w:sz w:val="18"/>
          <w:szCs w:val="18"/>
          <w:lang w:val="el-GR"/>
        </w:rPr>
        <w:t xml:space="preserve"> κατά το 2024</w:t>
      </w:r>
      <w:r w:rsidR="00E96E18" w:rsidRPr="000A4204">
        <w:rPr>
          <w:rFonts w:ascii="Verdana" w:hAnsi="Verdana"/>
          <w:sz w:val="18"/>
          <w:szCs w:val="18"/>
          <w:lang w:val="el-GR"/>
        </w:rPr>
        <w:t xml:space="preserve">. Στις μεγάλες επιχειρήσεις το ποσοστό αυτό φτάνει το </w:t>
      </w:r>
      <w:r>
        <w:rPr>
          <w:rFonts w:ascii="Verdana" w:hAnsi="Verdana"/>
          <w:sz w:val="18"/>
          <w:szCs w:val="18"/>
          <w:lang w:val="el-GR"/>
        </w:rPr>
        <w:t>85</w:t>
      </w:r>
      <w:r w:rsidR="00E96E18" w:rsidRPr="000A4204">
        <w:rPr>
          <w:rFonts w:ascii="Verdana" w:hAnsi="Verdana"/>
          <w:sz w:val="18"/>
          <w:szCs w:val="18"/>
          <w:lang w:val="el-GR"/>
        </w:rPr>
        <w:t>,</w:t>
      </w:r>
      <w:r>
        <w:rPr>
          <w:rFonts w:ascii="Verdana" w:hAnsi="Verdana"/>
          <w:sz w:val="18"/>
          <w:szCs w:val="18"/>
          <w:lang w:val="el-GR"/>
        </w:rPr>
        <w:t>8</w:t>
      </w:r>
      <w:r w:rsidR="00E96E18" w:rsidRPr="000A4204">
        <w:rPr>
          <w:rFonts w:ascii="Verdana" w:hAnsi="Verdana"/>
          <w:sz w:val="18"/>
          <w:szCs w:val="18"/>
          <w:lang w:val="el-GR"/>
        </w:rPr>
        <w:t>%</w:t>
      </w:r>
      <w:r w:rsidR="00E96E18">
        <w:rPr>
          <w:rFonts w:ascii="Verdana" w:hAnsi="Verdana"/>
          <w:sz w:val="18"/>
          <w:szCs w:val="18"/>
          <w:lang w:val="el-GR"/>
        </w:rPr>
        <w:t>,</w:t>
      </w:r>
      <w:r w:rsidR="00E96E18" w:rsidRPr="000A4204">
        <w:rPr>
          <w:rFonts w:ascii="Verdana" w:hAnsi="Verdana"/>
          <w:sz w:val="18"/>
          <w:szCs w:val="18"/>
          <w:lang w:val="el-GR"/>
        </w:rPr>
        <w:t xml:space="preserve"> σε σύγκριση με </w:t>
      </w:r>
      <w:r w:rsidR="00E96E18">
        <w:rPr>
          <w:rFonts w:ascii="Verdana" w:hAnsi="Verdana"/>
          <w:sz w:val="18"/>
          <w:szCs w:val="18"/>
          <w:lang w:val="el-GR"/>
        </w:rPr>
        <w:t>4</w:t>
      </w:r>
      <w:r>
        <w:rPr>
          <w:rFonts w:ascii="Verdana" w:hAnsi="Verdana"/>
          <w:sz w:val="18"/>
          <w:szCs w:val="18"/>
          <w:lang w:val="el-GR"/>
        </w:rPr>
        <w:t>9</w:t>
      </w:r>
      <w:r w:rsidR="00E96E18">
        <w:rPr>
          <w:rFonts w:ascii="Verdana" w:hAnsi="Verdana"/>
          <w:sz w:val="18"/>
          <w:szCs w:val="18"/>
          <w:lang w:val="el-GR"/>
        </w:rPr>
        <w:t>,</w:t>
      </w:r>
      <w:r>
        <w:rPr>
          <w:rFonts w:ascii="Verdana" w:hAnsi="Verdana"/>
          <w:sz w:val="18"/>
          <w:szCs w:val="18"/>
          <w:lang w:val="el-GR"/>
        </w:rPr>
        <w:t>6</w:t>
      </w:r>
      <w:r w:rsidR="00E96E18">
        <w:rPr>
          <w:rFonts w:ascii="Verdana" w:hAnsi="Verdana"/>
          <w:sz w:val="18"/>
          <w:szCs w:val="18"/>
          <w:lang w:val="el-GR"/>
        </w:rPr>
        <w:t xml:space="preserve">% στις μεσαίες και </w:t>
      </w:r>
      <w:r w:rsidR="00E96E18" w:rsidRPr="000A4204">
        <w:rPr>
          <w:rFonts w:ascii="Verdana" w:hAnsi="Verdana"/>
          <w:sz w:val="18"/>
          <w:szCs w:val="18"/>
          <w:lang w:val="el-GR"/>
        </w:rPr>
        <w:t>2</w:t>
      </w:r>
      <w:r>
        <w:rPr>
          <w:rFonts w:ascii="Verdana" w:hAnsi="Verdana"/>
          <w:sz w:val="18"/>
          <w:szCs w:val="18"/>
          <w:lang w:val="el-GR"/>
        </w:rPr>
        <w:t>2</w:t>
      </w:r>
      <w:r w:rsidR="00E96E18" w:rsidRPr="000A4204">
        <w:rPr>
          <w:rFonts w:ascii="Verdana" w:hAnsi="Verdana"/>
          <w:sz w:val="18"/>
          <w:szCs w:val="18"/>
          <w:lang w:val="el-GR"/>
        </w:rPr>
        <w:t>,</w:t>
      </w:r>
      <w:r>
        <w:rPr>
          <w:rFonts w:ascii="Verdana" w:hAnsi="Verdana"/>
          <w:sz w:val="18"/>
          <w:szCs w:val="18"/>
          <w:lang w:val="el-GR"/>
        </w:rPr>
        <w:t>8</w:t>
      </w:r>
      <w:r w:rsidR="00E96E18" w:rsidRPr="000A4204">
        <w:rPr>
          <w:rFonts w:ascii="Verdana" w:hAnsi="Verdana"/>
          <w:sz w:val="18"/>
          <w:szCs w:val="18"/>
          <w:lang w:val="el-GR"/>
        </w:rPr>
        <w:t>% στις μικρές επιχειρήσεις</w:t>
      </w:r>
      <w:r w:rsidR="00E96E18">
        <w:rPr>
          <w:rFonts w:ascii="Verdana" w:hAnsi="Verdana"/>
          <w:sz w:val="18"/>
          <w:szCs w:val="18"/>
          <w:lang w:val="el-GR"/>
        </w:rPr>
        <w:t>.</w:t>
      </w:r>
      <w:r w:rsidR="00E96E18" w:rsidRPr="000A4204">
        <w:rPr>
          <w:rFonts w:ascii="Verdana" w:hAnsi="Verdana"/>
          <w:sz w:val="18"/>
          <w:szCs w:val="18"/>
          <w:lang w:val="el-GR"/>
        </w:rPr>
        <w:t xml:space="preserve"> (</w:t>
      </w:r>
      <w:r w:rsidR="00E96E18">
        <w:rPr>
          <w:rFonts w:ascii="Verdana" w:hAnsi="Verdana"/>
          <w:sz w:val="18"/>
          <w:szCs w:val="18"/>
          <w:lang w:val="el-GR"/>
        </w:rPr>
        <w:t>Πίνακας 2</w:t>
      </w:r>
      <w:r w:rsidR="00E96E18" w:rsidRPr="000A4204">
        <w:rPr>
          <w:rFonts w:ascii="Verdana" w:hAnsi="Verdana"/>
          <w:sz w:val="18"/>
          <w:szCs w:val="18"/>
          <w:lang w:val="el-GR"/>
        </w:rPr>
        <w:t>)</w:t>
      </w:r>
    </w:p>
    <w:p w14:paraId="62ED9CEA" w14:textId="7E8FB416" w:rsidR="00E96E18" w:rsidRDefault="00E96E18" w:rsidP="009D1DA6">
      <w:pPr>
        <w:spacing w:before="120" w:after="120"/>
        <w:jc w:val="both"/>
        <w:rPr>
          <w:rFonts w:ascii="Verdana" w:hAnsi="Verdana"/>
          <w:sz w:val="18"/>
          <w:szCs w:val="18"/>
          <w:lang w:val="el-GR"/>
        </w:rPr>
      </w:pPr>
      <w:r w:rsidRPr="000A4204">
        <w:rPr>
          <w:rFonts w:ascii="Verdana" w:hAnsi="Verdana"/>
          <w:sz w:val="18"/>
          <w:szCs w:val="18"/>
          <w:lang w:val="el-GR"/>
        </w:rPr>
        <w:t>Το ποσοστό των επιχειρήσεων που παρείχαν οποιοδήποτε είδος εκπαίδευσης κατά το 202</w:t>
      </w:r>
      <w:r w:rsidR="0093211E" w:rsidRPr="0093211E">
        <w:rPr>
          <w:rFonts w:ascii="Verdana" w:hAnsi="Verdana"/>
          <w:sz w:val="18"/>
          <w:szCs w:val="18"/>
          <w:lang w:val="el-GR"/>
        </w:rPr>
        <w:t>3</w:t>
      </w:r>
      <w:r w:rsidRPr="000A4204">
        <w:rPr>
          <w:rFonts w:ascii="Verdana" w:hAnsi="Verdana"/>
          <w:sz w:val="18"/>
          <w:szCs w:val="18"/>
          <w:lang w:val="el-GR"/>
        </w:rPr>
        <w:t xml:space="preserve"> σε εξειδικευμένο ή μη εξειδικευμένο προσωπικό παραμένει χαμηλό</w:t>
      </w:r>
      <w:r w:rsidR="003A600C">
        <w:rPr>
          <w:rFonts w:ascii="Verdana" w:hAnsi="Verdana"/>
          <w:sz w:val="18"/>
          <w:szCs w:val="18"/>
          <w:lang w:val="el-GR"/>
        </w:rPr>
        <w:t>,</w:t>
      </w:r>
      <w:r w:rsidRPr="000A4204">
        <w:rPr>
          <w:rFonts w:ascii="Verdana" w:hAnsi="Verdana"/>
          <w:sz w:val="18"/>
          <w:szCs w:val="18"/>
          <w:lang w:val="el-GR"/>
        </w:rPr>
        <w:t xml:space="preserve"> στο 1</w:t>
      </w:r>
      <w:r w:rsidR="0093211E" w:rsidRPr="0093211E">
        <w:rPr>
          <w:rFonts w:ascii="Verdana" w:hAnsi="Verdana"/>
          <w:sz w:val="18"/>
          <w:szCs w:val="18"/>
          <w:lang w:val="el-GR"/>
        </w:rPr>
        <w:t>5</w:t>
      </w:r>
      <w:r w:rsidRPr="000A4204">
        <w:rPr>
          <w:rFonts w:ascii="Verdana" w:hAnsi="Verdana"/>
          <w:sz w:val="18"/>
          <w:szCs w:val="18"/>
          <w:lang w:val="el-GR"/>
        </w:rPr>
        <w:t>,</w:t>
      </w:r>
      <w:r w:rsidR="0093211E" w:rsidRPr="0093211E">
        <w:rPr>
          <w:rFonts w:ascii="Verdana" w:hAnsi="Verdana"/>
          <w:sz w:val="18"/>
          <w:szCs w:val="18"/>
          <w:lang w:val="el-GR"/>
        </w:rPr>
        <w:t>3</w:t>
      </w:r>
      <w:r w:rsidRPr="000A4204">
        <w:rPr>
          <w:rFonts w:ascii="Verdana" w:hAnsi="Verdana"/>
          <w:sz w:val="18"/>
          <w:szCs w:val="18"/>
          <w:lang w:val="el-GR"/>
        </w:rPr>
        <w:t>% και 2</w:t>
      </w:r>
      <w:r w:rsidR="0093211E" w:rsidRPr="0093211E">
        <w:rPr>
          <w:rFonts w:ascii="Verdana" w:hAnsi="Verdana"/>
          <w:sz w:val="18"/>
          <w:szCs w:val="18"/>
          <w:lang w:val="el-GR"/>
        </w:rPr>
        <w:t>7</w:t>
      </w:r>
      <w:r w:rsidRPr="000A4204">
        <w:rPr>
          <w:rFonts w:ascii="Verdana" w:hAnsi="Verdana"/>
          <w:sz w:val="18"/>
          <w:szCs w:val="18"/>
          <w:lang w:val="el-GR"/>
        </w:rPr>
        <w:t>,</w:t>
      </w:r>
      <w:r w:rsidR="0093211E" w:rsidRPr="0093211E">
        <w:rPr>
          <w:rFonts w:ascii="Verdana" w:hAnsi="Verdana"/>
          <w:sz w:val="18"/>
          <w:szCs w:val="18"/>
          <w:lang w:val="el-GR"/>
        </w:rPr>
        <w:t>0</w:t>
      </w:r>
      <w:r w:rsidRPr="000A4204">
        <w:rPr>
          <w:rFonts w:ascii="Verdana" w:hAnsi="Verdana"/>
          <w:sz w:val="18"/>
          <w:szCs w:val="18"/>
          <w:lang w:val="el-GR"/>
        </w:rPr>
        <w:t xml:space="preserve">% αντίστοιχα. </w:t>
      </w:r>
      <w:r w:rsidRPr="00A911D2">
        <w:rPr>
          <w:rFonts w:ascii="Verdana" w:hAnsi="Verdana"/>
          <w:sz w:val="18"/>
          <w:szCs w:val="18"/>
          <w:lang w:val="el-GR"/>
        </w:rPr>
        <w:t>Στις μεγάλες επιχειρήσεις τα αντίστοιχα ποσοστά είναι 5</w:t>
      </w:r>
      <w:r w:rsidR="0093211E" w:rsidRPr="0093211E">
        <w:rPr>
          <w:rFonts w:ascii="Verdana" w:hAnsi="Verdana"/>
          <w:sz w:val="18"/>
          <w:szCs w:val="18"/>
          <w:lang w:val="el-GR"/>
        </w:rPr>
        <w:t>9</w:t>
      </w:r>
      <w:r w:rsidRPr="00A911D2">
        <w:rPr>
          <w:rFonts w:ascii="Verdana" w:hAnsi="Verdana"/>
          <w:sz w:val="18"/>
          <w:szCs w:val="18"/>
          <w:lang w:val="el-GR"/>
        </w:rPr>
        <w:t>,</w:t>
      </w:r>
      <w:r w:rsidR="0093211E" w:rsidRPr="0093211E">
        <w:rPr>
          <w:rFonts w:ascii="Verdana" w:hAnsi="Verdana"/>
          <w:sz w:val="18"/>
          <w:szCs w:val="18"/>
          <w:lang w:val="el-GR"/>
        </w:rPr>
        <w:t>4</w:t>
      </w:r>
      <w:r w:rsidRPr="00A911D2">
        <w:rPr>
          <w:rFonts w:ascii="Verdana" w:hAnsi="Verdana"/>
          <w:sz w:val="18"/>
          <w:szCs w:val="18"/>
          <w:lang w:val="el-GR"/>
        </w:rPr>
        <w:t xml:space="preserve">% σε εξειδικευμένο προσωπικό και </w:t>
      </w:r>
      <w:r w:rsidR="0093211E" w:rsidRPr="0093211E">
        <w:rPr>
          <w:rFonts w:ascii="Verdana" w:hAnsi="Verdana"/>
          <w:sz w:val="18"/>
          <w:szCs w:val="18"/>
          <w:lang w:val="el-GR"/>
        </w:rPr>
        <w:t>78</w:t>
      </w:r>
      <w:r w:rsidRPr="00A911D2">
        <w:rPr>
          <w:rFonts w:ascii="Verdana" w:hAnsi="Verdana"/>
          <w:sz w:val="18"/>
          <w:szCs w:val="18"/>
          <w:lang w:val="el-GR"/>
        </w:rPr>
        <w:t>,</w:t>
      </w:r>
      <w:r w:rsidR="0093211E" w:rsidRPr="0093211E">
        <w:rPr>
          <w:rFonts w:ascii="Verdana" w:hAnsi="Verdana"/>
          <w:sz w:val="18"/>
          <w:szCs w:val="18"/>
          <w:lang w:val="el-GR"/>
        </w:rPr>
        <w:t>3</w:t>
      </w:r>
      <w:r w:rsidRPr="00A911D2">
        <w:rPr>
          <w:rFonts w:ascii="Verdana" w:hAnsi="Verdana"/>
          <w:sz w:val="18"/>
          <w:szCs w:val="18"/>
          <w:lang w:val="el-GR"/>
        </w:rPr>
        <w:t>% σε μη εξειδικευμένο προσωπικό</w:t>
      </w:r>
      <w:r>
        <w:rPr>
          <w:rFonts w:ascii="Verdana" w:hAnsi="Verdana"/>
          <w:sz w:val="18"/>
          <w:szCs w:val="18"/>
          <w:lang w:val="el-GR"/>
        </w:rPr>
        <w:t>.</w:t>
      </w:r>
      <w:r w:rsidRPr="00A911D2">
        <w:rPr>
          <w:rFonts w:ascii="Verdana" w:hAnsi="Verdana"/>
          <w:sz w:val="18"/>
          <w:szCs w:val="18"/>
          <w:lang w:val="el-GR"/>
        </w:rPr>
        <w:t xml:space="preserve"> (</w:t>
      </w:r>
      <w:r>
        <w:rPr>
          <w:rFonts w:ascii="Verdana" w:hAnsi="Verdana"/>
          <w:sz w:val="18"/>
          <w:szCs w:val="18"/>
          <w:lang w:val="el-GR"/>
        </w:rPr>
        <w:t>Πίνακας 2</w:t>
      </w:r>
      <w:r w:rsidRPr="00A911D2">
        <w:rPr>
          <w:rFonts w:ascii="Verdana" w:hAnsi="Verdana"/>
          <w:sz w:val="18"/>
          <w:szCs w:val="18"/>
          <w:lang w:val="el-GR"/>
        </w:rPr>
        <w:t>)</w:t>
      </w:r>
    </w:p>
    <w:p w14:paraId="1515741E" w14:textId="45264595" w:rsidR="00E96E18" w:rsidRDefault="00E96E18" w:rsidP="00E96E18">
      <w:pPr>
        <w:jc w:val="both"/>
        <w:rPr>
          <w:rFonts w:ascii="Verdana" w:hAnsi="Verdana"/>
          <w:sz w:val="18"/>
          <w:szCs w:val="18"/>
          <w:lang w:val="el-GR"/>
        </w:rPr>
      </w:pPr>
      <w:r w:rsidRPr="006637FF">
        <w:rPr>
          <w:rFonts w:ascii="Verdana" w:hAnsi="Verdana"/>
          <w:sz w:val="18"/>
          <w:szCs w:val="18"/>
          <w:lang w:val="el-GR"/>
        </w:rPr>
        <w:lastRenderedPageBreak/>
        <w:t>Το 1</w:t>
      </w:r>
      <w:r w:rsidR="0093211E" w:rsidRPr="0093211E">
        <w:rPr>
          <w:rFonts w:ascii="Verdana" w:hAnsi="Verdana"/>
          <w:sz w:val="18"/>
          <w:szCs w:val="18"/>
          <w:lang w:val="el-GR"/>
        </w:rPr>
        <w:t>2</w:t>
      </w:r>
      <w:r w:rsidRPr="006637FF">
        <w:rPr>
          <w:rFonts w:ascii="Verdana" w:hAnsi="Verdana"/>
          <w:sz w:val="18"/>
          <w:szCs w:val="18"/>
          <w:lang w:val="el-GR"/>
        </w:rPr>
        <w:t>,</w:t>
      </w:r>
      <w:r w:rsidR="0093211E" w:rsidRPr="0093211E">
        <w:rPr>
          <w:rFonts w:ascii="Verdana" w:hAnsi="Verdana"/>
          <w:sz w:val="18"/>
          <w:szCs w:val="18"/>
          <w:lang w:val="el-GR"/>
        </w:rPr>
        <w:t>2</w:t>
      </w:r>
      <w:r w:rsidRPr="006637FF">
        <w:rPr>
          <w:rFonts w:ascii="Verdana" w:hAnsi="Verdana"/>
          <w:sz w:val="18"/>
          <w:szCs w:val="18"/>
          <w:lang w:val="el-GR"/>
        </w:rPr>
        <w:t xml:space="preserve">% των επιχειρήσεων με 10 ή περισσότερους υπαλλήλους προσέλαβε ή προσπάθησε να προσλάβει </w:t>
      </w:r>
      <w:bookmarkStart w:id="0" w:name="_Hlk117591622"/>
      <w:r w:rsidRPr="006637FF">
        <w:rPr>
          <w:rFonts w:ascii="Verdana" w:hAnsi="Verdana"/>
          <w:sz w:val="18"/>
          <w:szCs w:val="18"/>
          <w:lang w:val="el-GR"/>
        </w:rPr>
        <w:t xml:space="preserve">εξειδικευμένο προσωπικό σε θέματα ΤΠΕ </w:t>
      </w:r>
      <w:bookmarkEnd w:id="0"/>
      <w:r w:rsidR="0093211E">
        <w:rPr>
          <w:rFonts w:ascii="Verdana" w:hAnsi="Verdana"/>
          <w:sz w:val="18"/>
          <w:szCs w:val="18"/>
          <w:lang w:val="el-GR"/>
        </w:rPr>
        <w:t>κατά τ</w:t>
      </w:r>
      <w:r w:rsidRPr="006637FF">
        <w:rPr>
          <w:rFonts w:ascii="Verdana" w:hAnsi="Verdana"/>
          <w:sz w:val="18"/>
          <w:szCs w:val="18"/>
          <w:lang w:val="el-GR"/>
        </w:rPr>
        <w:t>ο 20</w:t>
      </w:r>
      <w:r>
        <w:rPr>
          <w:rFonts w:ascii="Verdana" w:hAnsi="Verdana"/>
          <w:sz w:val="18"/>
          <w:szCs w:val="18"/>
          <w:lang w:val="el-GR"/>
        </w:rPr>
        <w:t>2</w:t>
      </w:r>
      <w:r w:rsidR="0093211E" w:rsidRPr="0093211E">
        <w:rPr>
          <w:rFonts w:ascii="Verdana" w:hAnsi="Verdana"/>
          <w:sz w:val="18"/>
          <w:szCs w:val="18"/>
          <w:lang w:val="el-GR"/>
        </w:rPr>
        <w:t>3</w:t>
      </w:r>
      <w:r w:rsidRPr="006637FF">
        <w:rPr>
          <w:rFonts w:ascii="Verdana" w:hAnsi="Verdana"/>
          <w:sz w:val="18"/>
          <w:szCs w:val="18"/>
          <w:lang w:val="el-GR"/>
        </w:rPr>
        <w:t xml:space="preserve">. </w:t>
      </w:r>
      <w:r w:rsidR="0093211E">
        <w:rPr>
          <w:rFonts w:ascii="Verdana" w:hAnsi="Verdana"/>
          <w:sz w:val="18"/>
          <w:szCs w:val="18"/>
          <w:lang w:val="el-GR"/>
        </w:rPr>
        <w:t>Περισσότερες από τις μισές (6</w:t>
      </w:r>
      <w:r w:rsidRPr="006637FF">
        <w:rPr>
          <w:rFonts w:ascii="Verdana" w:hAnsi="Verdana"/>
          <w:sz w:val="18"/>
          <w:szCs w:val="18"/>
          <w:lang w:val="el-GR"/>
        </w:rPr>
        <w:t>,</w:t>
      </w:r>
      <w:r w:rsidR="0093211E">
        <w:rPr>
          <w:rFonts w:ascii="Verdana" w:hAnsi="Verdana"/>
          <w:sz w:val="18"/>
          <w:szCs w:val="18"/>
          <w:lang w:val="el-GR"/>
        </w:rPr>
        <w:t>4</w:t>
      </w:r>
      <w:r w:rsidRPr="006637FF">
        <w:rPr>
          <w:rFonts w:ascii="Verdana" w:hAnsi="Verdana"/>
          <w:sz w:val="18"/>
          <w:szCs w:val="18"/>
          <w:lang w:val="el-GR"/>
        </w:rPr>
        <w:t>%</w:t>
      </w:r>
      <w:r w:rsidR="0093211E">
        <w:rPr>
          <w:rFonts w:ascii="Verdana" w:hAnsi="Verdana"/>
          <w:sz w:val="18"/>
          <w:szCs w:val="18"/>
          <w:lang w:val="el-GR"/>
        </w:rPr>
        <w:t>)</w:t>
      </w:r>
      <w:r w:rsidRPr="006637FF">
        <w:rPr>
          <w:rFonts w:ascii="Verdana" w:hAnsi="Verdana"/>
          <w:sz w:val="18"/>
          <w:szCs w:val="18"/>
          <w:lang w:val="el-GR"/>
        </w:rPr>
        <w:t xml:space="preserve"> αντιμετώπισ</w:t>
      </w:r>
      <w:r w:rsidR="0093211E">
        <w:rPr>
          <w:rFonts w:ascii="Verdana" w:hAnsi="Verdana"/>
          <w:sz w:val="18"/>
          <w:szCs w:val="18"/>
          <w:lang w:val="el-GR"/>
        </w:rPr>
        <w:t>αν</w:t>
      </w:r>
      <w:r w:rsidRPr="006637FF">
        <w:rPr>
          <w:rFonts w:ascii="Verdana" w:hAnsi="Verdana"/>
          <w:sz w:val="18"/>
          <w:szCs w:val="18"/>
          <w:lang w:val="el-GR"/>
        </w:rPr>
        <w:t xml:space="preserve"> δυσκολίες στο να πληρώσ</w:t>
      </w:r>
      <w:r w:rsidR="0093211E">
        <w:rPr>
          <w:rFonts w:ascii="Verdana" w:hAnsi="Verdana"/>
          <w:sz w:val="18"/>
          <w:szCs w:val="18"/>
          <w:lang w:val="el-GR"/>
        </w:rPr>
        <w:t>ουν</w:t>
      </w:r>
      <w:r w:rsidRPr="006637FF">
        <w:rPr>
          <w:rFonts w:ascii="Verdana" w:hAnsi="Verdana"/>
          <w:sz w:val="18"/>
          <w:szCs w:val="18"/>
          <w:lang w:val="el-GR"/>
        </w:rPr>
        <w:t xml:space="preserve"> τις θέσεις</w:t>
      </w:r>
      <w:r w:rsidR="0093211E">
        <w:rPr>
          <w:rFonts w:ascii="Verdana" w:hAnsi="Verdana"/>
          <w:sz w:val="18"/>
          <w:szCs w:val="18"/>
          <w:lang w:val="el-GR"/>
        </w:rPr>
        <w:t xml:space="preserve"> αυτές </w:t>
      </w:r>
      <w:r>
        <w:rPr>
          <w:rFonts w:ascii="Verdana" w:hAnsi="Verdana"/>
          <w:sz w:val="18"/>
          <w:szCs w:val="18"/>
          <w:lang w:val="el-GR"/>
        </w:rPr>
        <w:t>κατά το 202</w:t>
      </w:r>
      <w:r w:rsidR="0093211E">
        <w:rPr>
          <w:rFonts w:ascii="Verdana" w:hAnsi="Verdana"/>
          <w:sz w:val="18"/>
          <w:szCs w:val="18"/>
          <w:lang w:val="el-GR"/>
        </w:rPr>
        <w:t>3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6637FF">
        <w:rPr>
          <w:rFonts w:ascii="Verdana" w:hAnsi="Verdana"/>
          <w:sz w:val="18"/>
          <w:szCs w:val="18"/>
          <w:lang w:val="el-GR"/>
        </w:rPr>
        <w:t>(</w:t>
      </w:r>
      <w:r>
        <w:rPr>
          <w:rFonts w:ascii="Verdana" w:hAnsi="Verdana"/>
          <w:sz w:val="18"/>
          <w:szCs w:val="18"/>
          <w:lang w:val="el-GR"/>
        </w:rPr>
        <w:t>Πίνακας 2</w:t>
      </w:r>
      <w:r w:rsidRPr="006637FF">
        <w:rPr>
          <w:rFonts w:ascii="Verdana" w:hAnsi="Verdana"/>
          <w:sz w:val="18"/>
          <w:szCs w:val="18"/>
          <w:lang w:val="el-GR"/>
        </w:rPr>
        <w:t xml:space="preserve">) </w:t>
      </w:r>
    </w:p>
    <w:p w14:paraId="10182F57" w14:textId="77777777" w:rsidR="00EA2190" w:rsidRDefault="00EA2190" w:rsidP="00E96E18">
      <w:pPr>
        <w:jc w:val="both"/>
        <w:rPr>
          <w:rFonts w:ascii="Verdana" w:hAnsi="Verdana"/>
          <w:sz w:val="18"/>
          <w:szCs w:val="18"/>
          <w:lang w:val="el-GR"/>
        </w:rPr>
      </w:pPr>
    </w:p>
    <w:p w14:paraId="13E7CEDF" w14:textId="2AA99801" w:rsidR="00E96E18" w:rsidRPr="00EA2190" w:rsidRDefault="00C60952" w:rsidP="00EA2190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EA2190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Ασφάλεια στις </w:t>
      </w:r>
      <w:r w:rsidR="00EA2190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ΤΠΕ</w:t>
      </w:r>
    </w:p>
    <w:p w14:paraId="3EF804D2" w14:textId="77777777" w:rsidR="00E96E18" w:rsidRDefault="00E96E18" w:rsidP="00EA2190">
      <w:pPr>
        <w:spacing w:before="120"/>
        <w:jc w:val="both"/>
        <w:rPr>
          <w:rFonts w:ascii="Verdana" w:hAnsi="Verdana"/>
          <w:sz w:val="18"/>
          <w:szCs w:val="18"/>
          <w:lang w:val="el-GR"/>
        </w:rPr>
      </w:pPr>
      <w:r w:rsidRPr="005650E6">
        <w:rPr>
          <w:rFonts w:ascii="Verdana" w:hAnsi="Verdana"/>
          <w:sz w:val="18"/>
          <w:szCs w:val="18"/>
          <w:lang w:val="el-GR"/>
        </w:rPr>
        <w:t>Με τον όρο «Ασφάλεια στις ΤΠΕ» εννοούμε τα μέτρα, τους ελέγχους και τις διαδικασίες που εφαρμόζονται στα συστήματα ΤΠΕ, έτσι ώστε να διασφαλίζεται η ακεραιότητα, η αυθεντικότητα, η διαθεσιμότητα και η εμπιστευτικότητα των δεδομένων και των συστημάτων.</w:t>
      </w:r>
    </w:p>
    <w:p w14:paraId="65A0A102" w14:textId="77777777" w:rsidR="00EA2190" w:rsidRPr="005650E6" w:rsidRDefault="00EA2190" w:rsidP="00EA2190">
      <w:pPr>
        <w:jc w:val="both"/>
        <w:rPr>
          <w:rFonts w:ascii="Verdana" w:hAnsi="Verdana"/>
          <w:sz w:val="18"/>
          <w:szCs w:val="18"/>
          <w:lang w:val="el-GR"/>
        </w:rPr>
      </w:pPr>
    </w:p>
    <w:p w14:paraId="4BDDD4E3" w14:textId="38FCC522" w:rsidR="00E96E18" w:rsidRPr="006E7BF6" w:rsidRDefault="00E96E18" w:rsidP="00EA2190">
      <w:pPr>
        <w:jc w:val="both"/>
        <w:rPr>
          <w:rFonts w:ascii="Verdana" w:hAnsi="Verdana"/>
          <w:sz w:val="18"/>
          <w:szCs w:val="18"/>
          <w:lang w:val="el-GR"/>
        </w:rPr>
      </w:pPr>
      <w:r w:rsidRPr="005650E6">
        <w:rPr>
          <w:rFonts w:ascii="Verdana" w:hAnsi="Verdana"/>
          <w:sz w:val="18"/>
          <w:szCs w:val="18"/>
          <w:lang w:val="el-GR"/>
        </w:rPr>
        <w:t>Τα πιο κοινά μέτρα που εφαρμόζονται από τις επιχειρήσεις είναι: ταυτοποίηση μέσω ισχυρού κωδικού πρόσβασης σε οποιοδήποτε σύστημα ή λογισμικό ΤΠΕ της επιχείρησης (</w:t>
      </w:r>
      <w:r>
        <w:rPr>
          <w:rFonts w:ascii="Verdana" w:hAnsi="Verdana"/>
          <w:sz w:val="18"/>
          <w:szCs w:val="18"/>
          <w:lang w:val="el-GR"/>
        </w:rPr>
        <w:t>95</w:t>
      </w:r>
      <w:r w:rsidRPr="005650E6">
        <w:rPr>
          <w:rFonts w:ascii="Verdana" w:hAnsi="Verdana"/>
          <w:sz w:val="18"/>
          <w:szCs w:val="18"/>
          <w:lang w:val="el-GR"/>
        </w:rPr>
        <w:t>,</w:t>
      </w:r>
      <w:r>
        <w:rPr>
          <w:rFonts w:ascii="Verdana" w:hAnsi="Verdana"/>
          <w:sz w:val="18"/>
          <w:szCs w:val="18"/>
          <w:lang w:val="el-GR"/>
        </w:rPr>
        <w:t>0</w:t>
      </w:r>
      <w:r w:rsidRPr="005650E6">
        <w:rPr>
          <w:rFonts w:ascii="Verdana" w:hAnsi="Verdana"/>
          <w:sz w:val="18"/>
          <w:szCs w:val="18"/>
          <w:lang w:val="el-GR"/>
        </w:rPr>
        <w:t>%), δημιουργία αντιγράφων ασφαλείας δεδομένων σε ξεχωριστή τοποθεσία (συμπεριλαμβανομένης της δημιουργίας αντιγράφων ασφαλείας στο cloud) (</w:t>
      </w:r>
      <w:r>
        <w:rPr>
          <w:rFonts w:ascii="Verdana" w:hAnsi="Verdana"/>
          <w:sz w:val="18"/>
          <w:szCs w:val="18"/>
          <w:lang w:val="el-GR"/>
        </w:rPr>
        <w:t>90</w:t>
      </w:r>
      <w:r w:rsidRPr="005650E6">
        <w:rPr>
          <w:rFonts w:ascii="Verdana" w:hAnsi="Verdana"/>
          <w:sz w:val="18"/>
          <w:szCs w:val="18"/>
          <w:lang w:val="el-GR"/>
        </w:rPr>
        <w:t>,</w:t>
      </w:r>
      <w:r>
        <w:rPr>
          <w:rFonts w:ascii="Verdana" w:hAnsi="Verdana"/>
          <w:sz w:val="18"/>
          <w:szCs w:val="18"/>
          <w:lang w:val="el-GR"/>
        </w:rPr>
        <w:t>0</w:t>
      </w:r>
      <w:r w:rsidRPr="005650E6">
        <w:rPr>
          <w:rFonts w:ascii="Verdana" w:hAnsi="Verdana"/>
          <w:sz w:val="18"/>
          <w:szCs w:val="18"/>
          <w:lang w:val="el-GR"/>
        </w:rPr>
        <w:t xml:space="preserve">%), έλεγχος πρόσβασης δικτύου (διαχείριση δικαιωμάτων χρήστη στο δίκτυο της επιχείρησης – </w:t>
      </w:r>
      <w:proofErr w:type="spellStart"/>
      <w:r w:rsidRPr="005650E6">
        <w:rPr>
          <w:rFonts w:ascii="Verdana" w:hAnsi="Verdana"/>
          <w:sz w:val="18"/>
          <w:szCs w:val="18"/>
          <w:lang w:val="el-GR"/>
        </w:rPr>
        <w:t>network</w:t>
      </w:r>
      <w:proofErr w:type="spellEnd"/>
      <w:r w:rsidRPr="005650E6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5650E6">
        <w:rPr>
          <w:rFonts w:ascii="Verdana" w:hAnsi="Verdana"/>
          <w:sz w:val="18"/>
          <w:szCs w:val="18"/>
          <w:lang w:val="el-GR"/>
        </w:rPr>
        <w:t>access</w:t>
      </w:r>
      <w:proofErr w:type="spellEnd"/>
      <w:r w:rsidRPr="005650E6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5650E6">
        <w:rPr>
          <w:rFonts w:ascii="Verdana" w:hAnsi="Verdana"/>
          <w:sz w:val="18"/>
          <w:szCs w:val="18"/>
          <w:lang w:val="el-GR"/>
        </w:rPr>
        <w:t>control</w:t>
      </w:r>
      <w:proofErr w:type="spellEnd"/>
      <w:r w:rsidRPr="005650E6">
        <w:rPr>
          <w:rFonts w:ascii="Verdana" w:hAnsi="Verdana"/>
          <w:sz w:val="18"/>
          <w:szCs w:val="18"/>
          <w:lang w:val="el-GR"/>
        </w:rPr>
        <w:t>) (7</w:t>
      </w:r>
      <w:r>
        <w:rPr>
          <w:rFonts w:ascii="Verdana" w:hAnsi="Verdana"/>
          <w:sz w:val="18"/>
          <w:szCs w:val="18"/>
          <w:lang w:val="el-GR"/>
        </w:rPr>
        <w:t>3</w:t>
      </w:r>
      <w:r w:rsidRPr="005650E6">
        <w:rPr>
          <w:rFonts w:ascii="Verdana" w:hAnsi="Verdana"/>
          <w:sz w:val="18"/>
          <w:szCs w:val="18"/>
          <w:lang w:val="el-GR"/>
        </w:rPr>
        <w:t>,</w:t>
      </w:r>
      <w:r>
        <w:rPr>
          <w:rFonts w:ascii="Verdana" w:hAnsi="Verdana"/>
          <w:sz w:val="18"/>
          <w:szCs w:val="18"/>
          <w:lang w:val="el-GR"/>
        </w:rPr>
        <w:t>9</w:t>
      </w:r>
      <w:r w:rsidRPr="005650E6">
        <w:rPr>
          <w:rFonts w:ascii="Verdana" w:hAnsi="Verdana"/>
          <w:sz w:val="18"/>
          <w:szCs w:val="18"/>
          <w:lang w:val="el-GR"/>
        </w:rPr>
        <w:t>%)</w:t>
      </w:r>
      <w:r w:rsidR="00C60952">
        <w:rPr>
          <w:rFonts w:ascii="Verdana" w:hAnsi="Verdana"/>
          <w:sz w:val="18"/>
          <w:szCs w:val="18"/>
          <w:lang w:val="el-GR"/>
        </w:rPr>
        <w:t>,</w:t>
      </w:r>
      <w:r w:rsidRPr="005650E6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εικονικό ιδιωτικό δίκτυο </w:t>
      </w:r>
      <w:r w:rsidRPr="00F166E3">
        <w:rPr>
          <w:rFonts w:ascii="Verdana" w:hAnsi="Verdana"/>
          <w:sz w:val="18"/>
          <w:szCs w:val="18"/>
          <w:lang w:val="el-GR"/>
        </w:rPr>
        <w:t>(</w:t>
      </w:r>
      <w:r>
        <w:rPr>
          <w:rFonts w:ascii="Verdana" w:hAnsi="Verdana"/>
          <w:sz w:val="18"/>
          <w:szCs w:val="18"/>
        </w:rPr>
        <w:t>VPN</w:t>
      </w:r>
      <w:r w:rsidRPr="00F166E3">
        <w:rPr>
          <w:rFonts w:ascii="Verdana" w:hAnsi="Verdana"/>
          <w:sz w:val="18"/>
          <w:szCs w:val="18"/>
          <w:lang w:val="el-GR"/>
        </w:rPr>
        <w:t>-</w:t>
      </w:r>
      <w:r>
        <w:rPr>
          <w:rFonts w:ascii="Verdana" w:hAnsi="Verdana"/>
          <w:sz w:val="18"/>
          <w:szCs w:val="18"/>
        </w:rPr>
        <w:t>Virtual</w:t>
      </w:r>
      <w:r w:rsidRPr="00F166E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Private</w:t>
      </w:r>
      <w:r w:rsidRPr="00F166E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Network</w:t>
      </w:r>
      <w:r w:rsidRPr="00F166E3">
        <w:rPr>
          <w:rFonts w:ascii="Verdana" w:hAnsi="Verdana"/>
          <w:sz w:val="18"/>
          <w:szCs w:val="18"/>
          <w:lang w:val="el-GR"/>
        </w:rPr>
        <w:t xml:space="preserve">) </w:t>
      </w:r>
      <w:r w:rsidRPr="005650E6">
        <w:rPr>
          <w:rFonts w:ascii="Verdana" w:hAnsi="Verdana"/>
          <w:sz w:val="18"/>
          <w:szCs w:val="18"/>
          <w:lang w:val="el-GR"/>
        </w:rPr>
        <w:t>(</w:t>
      </w:r>
      <w:r>
        <w:rPr>
          <w:rFonts w:ascii="Verdana" w:hAnsi="Verdana"/>
          <w:sz w:val="18"/>
          <w:szCs w:val="18"/>
          <w:lang w:val="el-GR"/>
        </w:rPr>
        <w:t>67</w:t>
      </w:r>
      <w:r w:rsidRPr="005650E6">
        <w:rPr>
          <w:rFonts w:ascii="Verdana" w:hAnsi="Verdana"/>
          <w:sz w:val="18"/>
          <w:szCs w:val="18"/>
          <w:lang w:val="el-GR"/>
        </w:rPr>
        <w:t>,</w:t>
      </w:r>
      <w:r>
        <w:rPr>
          <w:rFonts w:ascii="Verdana" w:hAnsi="Verdana"/>
          <w:sz w:val="18"/>
          <w:szCs w:val="18"/>
          <w:lang w:val="el-GR"/>
        </w:rPr>
        <w:t>3</w:t>
      </w:r>
      <w:r w:rsidRPr="005650E6">
        <w:rPr>
          <w:rFonts w:ascii="Verdana" w:hAnsi="Verdana"/>
          <w:sz w:val="18"/>
          <w:szCs w:val="18"/>
          <w:lang w:val="el-GR"/>
        </w:rPr>
        <w:t>%)</w:t>
      </w:r>
      <w:r w:rsidR="00C60952">
        <w:rPr>
          <w:rFonts w:ascii="Verdana" w:hAnsi="Verdana"/>
          <w:sz w:val="18"/>
          <w:szCs w:val="18"/>
          <w:lang w:val="el-GR"/>
        </w:rPr>
        <w:t xml:space="preserve"> και σύστημα παρακολούθησης ασφάλειας ΤΠΕ</w:t>
      </w:r>
      <w:r w:rsidRPr="005650E6">
        <w:rPr>
          <w:rFonts w:ascii="Verdana" w:hAnsi="Verdana"/>
          <w:sz w:val="18"/>
          <w:szCs w:val="18"/>
          <w:lang w:val="el-GR"/>
        </w:rPr>
        <w:t xml:space="preserve"> </w:t>
      </w:r>
      <w:r w:rsidR="00C60952" w:rsidRPr="00C60952">
        <w:rPr>
          <w:rFonts w:ascii="Verdana" w:hAnsi="Verdana"/>
          <w:sz w:val="18"/>
          <w:szCs w:val="18"/>
          <w:lang w:val="el-GR"/>
        </w:rPr>
        <w:t>που επιτρέπει τον εντοπισμό</w:t>
      </w:r>
      <w:r w:rsidR="00C60952">
        <w:rPr>
          <w:rFonts w:ascii="Verdana" w:hAnsi="Verdana"/>
          <w:sz w:val="18"/>
          <w:szCs w:val="18"/>
          <w:lang w:val="el-GR"/>
        </w:rPr>
        <w:t xml:space="preserve"> </w:t>
      </w:r>
      <w:r w:rsidR="00C60952" w:rsidRPr="00C60952">
        <w:rPr>
          <w:rFonts w:ascii="Verdana" w:hAnsi="Verdana"/>
          <w:sz w:val="18"/>
          <w:szCs w:val="18"/>
          <w:lang w:val="el-GR"/>
        </w:rPr>
        <w:t>ύποπτης δραστηριότητας στα συστήματα ΤΠΕ</w:t>
      </w:r>
      <w:r w:rsidR="00C60952">
        <w:rPr>
          <w:rFonts w:ascii="Verdana" w:hAnsi="Verdana"/>
          <w:sz w:val="18"/>
          <w:szCs w:val="18"/>
          <w:lang w:val="el-GR"/>
        </w:rPr>
        <w:t xml:space="preserve"> (</w:t>
      </w:r>
      <w:r w:rsidR="00C60952">
        <w:rPr>
          <w:rFonts w:ascii="Verdana" w:hAnsi="Verdana"/>
          <w:sz w:val="18"/>
          <w:szCs w:val="18"/>
        </w:rPr>
        <w:t>intrusion</w:t>
      </w:r>
      <w:r w:rsidR="00C60952" w:rsidRPr="00C60952">
        <w:rPr>
          <w:rFonts w:ascii="Verdana" w:hAnsi="Verdana"/>
          <w:sz w:val="18"/>
          <w:szCs w:val="18"/>
          <w:lang w:val="el-GR"/>
        </w:rPr>
        <w:t xml:space="preserve"> </w:t>
      </w:r>
      <w:r w:rsidR="00C60952">
        <w:rPr>
          <w:rFonts w:ascii="Verdana" w:hAnsi="Verdana"/>
          <w:sz w:val="18"/>
          <w:szCs w:val="18"/>
        </w:rPr>
        <w:t>detection</w:t>
      </w:r>
      <w:r w:rsidR="00C60952" w:rsidRPr="00C60952">
        <w:rPr>
          <w:rFonts w:ascii="Verdana" w:hAnsi="Verdana"/>
          <w:sz w:val="18"/>
          <w:szCs w:val="18"/>
          <w:lang w:val="el-GR"/>
        </w:rPr>
        <w:t xml:space="preserve"> </w:t>
      </w:r>
      <w:r w:rsidR="00C60952">
        <w:rPr>
          <w:rFonts w:ascii="Verdana" w:hAnsi="Verdana"/>
          <w:sz w:val="18"/>
          <w:szCs w:val="18"/>
        </w:rPr>
        <w:t>or</w:t>
      </w:r>
      <w:r w:rsidR="00C60952" w:rsidRPr="00C60952">
        <w:rPr>
          <w:rFonts w:ascii="Verdana" w:hAnsi="Verdana"/>
          <w:sz w:val="18"/>
          <w:szCs w:val="18"/>
          <w:lang w:val="el-GR"/>
        </w:rPr>
        <w:t xml:space="preserve"> </w:t>
      </w:r>
      <w:r w:rsidR="00C60952">
        <w:rPr>
          <w:rFonts w:ascii="Verdana" w:hAnsi="Verdana"/>
          <w:sz w:val="18"/>
          <w:szCs w:val="18"/>
        </w:rPr>
        <w:t>prevention</w:t>
      </w:r>
      <w:r w:rsidR="00C60952" w:rsidRPr="00C60952">
        <w:rPr>
          <w:rFonts w:ascii="Verdana" w:hAnsi="Verdana"/>
          <w:sz w:val="18"/>
          <w:szCs w:val="18"/>
          <w:lang w:val="el-GR"/>
        </w:rPr>
        <w:t xml:space="preserve"> </w:t>
      </w:r>
      <w:r w:rsidR="00C60952">
        <w:rPr>
          <w:rFonts w:ascii="Verdana" w:hAnsi="Verdana"/>
          <w:sz w:val="18"/>
          <w:szCs w:val="18"/>
        </w:rPr>
        <w:t>systems</w:t>
      </w:r>
      <w:r w:rsidR="00C60952" w:rsidRPr="00C60952">
        <w:rPr>
          <w:rFonts w:ascii="Verdana" w:hAnsi="Verdana"/>
          <w:sz w:val="18"/>
          <w:szCs w:val="18"/>
          <w:lang w:val="el-GR"/>
        </w:rPr>
        <w:t>) (</w:t>
      </w:r>
      <w:r w:rsidR="00C60952">
        <w:rPr>
          <w:rFonts w:ascii="Verdana" w:hAnsi="Verdana"/>
          <w:sz w:val="18"/>
          <w:szCs w:val="18"/>
          <w:lang w:val="el-GR"/>
        </w:rPr>
        <w:t>56,0%).</w:t>
      </w:r>
      <w:r w:rsidR="00C60952" w:rsidRPr="00C60952">
        <w:rPr>
          <w:rFonts w:ascii="Verdana" w:hAnsi="Verdana"/>
          <w:sz w:val="18"/>
          <w:szCs w:val="18"/>
          <w:lang w:val="el-GR"/>
        </w:rPr>
        <w:t xml:space="preserve"> </w:t>
      </w:r>
      <w:r w:rsidRPr="005650E6">
        <w:rPr>
          <w:rFonts w:ascii="Verdana" w:hAnsi="Verdana"/>
          <w:sz w:val="18"/>
          <w:szCs w:val="18"/>
          <w:lang w:val="el-GR"/>
        </w:rPr>
        <w:t xml:space="preserve">(Διάγραμμα </w:t>
      </w:r>
      <w:r w:rsidR="00C60952">
        <w:rPr>
          <w:rFonts w:ascii="Verdana" w:hAnsi="Verdana"/>
          <w:sz w:val="18"/>
          <w:szCs w:val="18"/>
          <w:lang w:val="el-GR"/>
        </w:rPr>
        <w:t>3</w:t>
      </w:r>
      <w:r w:rsidRPr="005650E6">
        <w:rPr>
          <w:rFonts w:ascii="Verdana" w:hAnsi="Verdana"/>
          <w:sz w:val="18"/>
          <w:szCs w:val="18"/>
          <w:lang w:val="el-GR"/>
        </w:rPr>
        <w:t>)</w:t>
      </w:r>
    </w:p>
    <w:p w14:paraId="0136B445" w14:textId="34C123E6" w:rsidR="00E96E18" w:rsidRDefault="00EA2190" w:rsidP="00EA2190">
      <w:pPr>
        <w:spacing w:before="120" w:after="120"/>
        <w:jc w:val="center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noProof/>
          <w:sz w:val="18"/>
          <w:szCs w:val="18"/>
          <w:lang w:val="el-GR"/>
        </w:rPr>
        <w:drawing>
          <wp:inline distT="0" distB="0" distL="0" distR="0" wp14:anchorId="2C5051D8" wp14:editId="46FEB70C">
            <wp:extent cx="6132830" cy="2603500"/>
            <wp:effectExtent l="0" t="0" r="1270" b="6350"/>
            <wp:docPr id="166048984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067510" w14:textId="77777777" w:rsidR="00EA2190" w:rsidRPr="00EA2190" w:rsidRDefault="00EA2190" w:rsidP="00EA2190">
      <w:pPr>
        <w:jc w:val="both"/>
        <w:rPr>
          <w:rFonts w:ascii="Verdana" w:hAnsi="Verdana"/>
          <w:sz w:val="18"/>
          <w:szCs w:val="18"/>
          <w:lang w:val="el-GR"/>
        </w:rPr>
      </w:pPr>
    </w:p>
    <w:p w14:paraId="5C49CF53" w14:textId="208F9D3D" w:rsidR="00C60952" w:rsidRPr="000D43BA" w:rsidRDefault="00C60952" w:rsidP="000D43B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0D43BA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Τεχνητή </w:t>
      </w:r>
      <w:r w:rsidR="000D43BA" w:rsidRPr="000D43BA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Νοημοσύνη (</w:t>
      </w:r>
      <w:proofErr w:type="spellStart"/>
      <w:r w:rsidR="000D43BA" w:rsidRPr="000D43BA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Artificial</w:t>
      </w:r>
      <w:proofErr w:type="spellEnd"/>
      <w:r w:rsidR="000D43BA" w:rsidRPr="000D43BA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 </w:t>
      </w:r>
      <w:proofErr w:type="spellStart"/>
      <w:r w:rsidR="000D43BA" w:rsidRPr="000D43BA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Intelligence</w:t>
      </w:r>
      <w:proofErr w:type="spellEnd"/>
      <w:r w:rsidR="000D43BA" w:rsidRPr="000D43BA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)</w:t>
      </w:r>
    </w:p>
    <w:p w14:paraId="07567195" w14:textId="541DD806" w:rsidR="00C60952" w:rsidRPr="00A1596C" w:rsidRDefault="00C60952" w:rsidP="00C60952">
      <w:pPr>
        <w:spacing w:before="120" w:after="120"/>
        <w:jc w:val="both"/>
        <w:rPr>
          <w:rFonts w:ascii="Verdana" w:hAnsi="Verdana"/>
          <w:sz w:val="18"/>
          <w:szCs w:val="18"/>
          <w:lang w:val="el-GR"/>
        </w:rPr>
      </w:pPr>
      <w:r w:rsidRPr="00244B0A">
        <w:rPr>
          <w:rFonts w:ascii="Verdana" w:hAnsi="Verdana"/>
          <w:sz w:val="18"/>
          <w:szCs w:val="18"/>
          <w:lang w:val="el-GR"/>
        </w:rPr>
        <w:t>Κατά το 202</w:t>
      </w:r>
      <w:r>
        <w:rPr>
          <w:rFonts w:ascii="Verdana" w:hAnsi="Verdana"/>
          <w:sz w:val="18"/>
          <w:szCs w:val="18"/>
          <w:lang w:val="el-GR"/>
        </w:rPr>
        <w:t>4</w:t>
      </w:r>
      <w:r w:rsidRPr="00244B0A">
        <w:rPr>
          <w:rFonts w:ascii="Verdana" w:hAnsi="Verdana"/>
          <w:sz w:val="18"/>
          <w:szCs w:val="18"/>
          <w:lang w:val="el-GR"/>
        </w:rPr>
        <w:t xml:space="preserve">, στην Κύπρο το </w:t>
      </w:r>
      <w:r>
        <w:rPr>
          <w:rFonts w:ascii="Verdana" w:hAnsi="Verdana"/>
          <w:sz w:val="18"/>
          <w:szCs w:val="18"/>
          <w:lang w:val="el-GR"/>
        </w:rPr>
        <w:t>7</w:t>
      </w:r>
      <w:r w:rsidRPr="00244B0A">
        <w:rPr>
          <w:rFonts w:ascii="Verdana" w:hAnsi="Verdana"/>
          <w:sz w:val="18"/>
          <w:szCs w:val="18"/>
          <w:lang w:val="el-GR"/>
        </w:rPr>
        <w:t>,</w:t>
      </w:r>
      <w:r>
        <w:rPr>
          <w:rFonts w:ascii="Verdana" w:hAnsi="Verdana"/>
          <w:sz w:val="18"/>
          <w:szCs w:val="18"/>
          <w:lang w:val="el-GR"/>
        </w:rPr>
        <w:t>9</w:t>
      </w:r>
      <w:r w:rsidRPr="00244B0A">
        <w:rPr>
          <w:rFonts w:ascii="Verdana" w:hAnsi="Verdana"/>
          <w:sz w:val="18"/>
          <w:szCs w:val="18"/>
          <w:lang w:val="el-GR"/>
        </w:rPr>
        <w:t>% των επιχειρήσεων χρησιμοποίησε κάποι</w:t>
      </w:r>
      <w:r>
        <w:rPr>
          <w:rFonts w:ascii="Verdana" w:hAnsi="Verdana"/>
          <w:sz w:val="18"/>
          <w:szCs w:val="18"/>
          <w:lang w:val="el-GR"/>
        </w:rPr>
        <w:t>α</w:t>
      </w:r>
      <w:r w:rsidRPr="00244B0A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τεχνολογία</w:t>
      </w:r>
      <w:r w:rsidRPr="00244B0A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τ</w:t>
      </w:r>
      <w:r w:rsidRPr="00244B0A">
        <w:rPr>
          <w:rFonts w:ascii="Verdana" w:hAnsi="Verdana"/>
          <w:sz w:val="18"/>
          <w:szCs w:val="18"/>
          <w:lang w:val="el-GR"/>
        </w:rPr>
        <w:t xml:space="preserve">εχνητής </w:t>
      </w:r>
      <w:r>
        <w:rPr>
          <w:rFonts w:ascii="Verdana" w:hAnsi="Verdana"/>
          <w:sz w:val="18"/>
          <w:szCs w:val="18"/>
          <w:lang w:val="el-GR"/>
        </w:rPr>
        <w:t>ν</w:t>
      </w:r>
      <w:r w:rsidRPr="00244B0A">
        <w:rPr>
          <w:rFonts w:ascii="Verdana" w:hAnsi="Verdana"/>
          <w:sz w:val="18"/>
          <w:szCs w:val="18"/>
          <w:lang w:val="el-GR"/>
        </w:rPr>
        <w:t>οημοσύνης</w:t>
      </w:r>
      <w:r w:rsidR="003A600C">
        <w:rPr>
          <w:rFonts w:ascii="Verdana" w:hAnsi="Verdana"/>
          <w:sz w:val="18"/>
          <w:szCs w:val="18"/>
          <w:lang w:val="el-GR"/>
        </w:rPr>
        <w:t xml:space="preserve"> έναντι 4,7% το 2023</w:t>
      </w:r>
      <w:r w:rsidRPr="00244B0A">
        <w:rPr>
          <w:rFonts w:ascii="Verdana" w:hAnsi="Verdana"/>
          <w:sz w:val="18"/>
          <w:szCs w:val="18"/>
          <w:lang w:val="el-GR"/>
        </w:rPr>
        <w:t xml:space="preserve">. Το </w:t>
      </w:r>
      <w:r>
        <w:rPr>
          <w:rFonts w:ascii="Verdana" w:hAnsi="Verdana"/>
          <w:sz w:val="18"/>
          <w:szCs w:val="18"/>
          <w:lang w:val="el-GR"/>
        </w:rPr>
        <w:t>34</w:t>
      </w:r>
      <w:r w:rsidRPr="00244B0A">
        <w:rPr>
          <w:rFonts w:ascii="Verdana" w:hAnsi="Verdana"/>
          <w:sz w:val="18"/>
          <w:szCs w:val="18"/>
          <w:lang w:val="el-GR"/>
        </w:rPr>
        <w:t>,</w:t>
      </w:r>
      <w:r>
        <w:rPr>
          <w:rFonts w:ascii="Verdana" w:hAnsi="Verdana"/>
          <w:sz w:val="18"/>
          <w:szCs w:val="18"/>
          <w:lang w:val="el-GR"/>
        </w:rPr>
        <w:t>9</w:t>
      </w:r>
      <w:r w:rsidRPr="00244B0A">
        <w:rPr>
          <w:rFonts w:ascii="Verdana" w:hAnsi="Verdana"/>
          <w:sz w:val="18"/>
          <w:szCs w:val="18"/>
          <w:lang w:val="el-GR"/>
        </w:rPr>
        <w:t>% των μεγάλων επιχειρήσεων</w:t>
      </w:r>
      <w:r>
        <w:rPr>
          <w:rFonts w:ascii="Verdana" w:hAnsi="Verdana"/>
          <w:sz w:val="18"/>
          <w:szCs w:val="18"/>
          <w:lang w:val="el-GR"/>
        </w:rPr>
        <w:t xml:space="preserve"> κάνει </w:t>
      </w:r>
      <w:r w:rsidRPr="00244B0A">
        <w:rPr>
          <w:rFonts w:ascii="Verdana" w:hAnsi="Verdana"/>
          <w:sz w:val="18"/>
          <w:szCs w:val="18"/>
          <w:lang w:val="el-GR"/>
        </w:rPr>
        <w:t>χρήσ</w:t>
      </w:r>
      <w:r>
        <w:rPr>
          <w:rFonts w:ascii="Verdana" w:hAnsi="Verdana"/>
          <w:sz w:val="18"/>
          <w:szCs w:val="18"/>
          <w:lang w:val="el-GR"/>
        </w:rPr>
        <w:t>η τεχνολογιών</w:t>
      </w:r>
      <w:r w:rsidRPr="00244B0A">
        <w:rPr>
          <w:rFonts w:ascii="Verdana" w:hAnsi="Verdana"/>
          <w:sz w:val="18"/>
          <w:szCs w:val="18"/>
          <w:lang w:val="el-GR"/>
        </w:rPr>
        <w:t xml:space="preserve"> τεχνητή</w:t>
      </w:r>
      <w:r>
        <w:rPr>
          <w:rFonts w:ascii="Verdana" w:hAnsi="Verdana"/>
          <w:sz w:val="18"/>
          <w:szCs w:val="18"/>
          <w:lang w:val="el-GR"/>
        </w:rPr>
        <w:t>ς</w:t>
      </w:r>
      <w:r w:rsidRPr="00244B0A">
        <w:rPr>
          <w:rFonts w:ascii="Verdana" w:hAnsi="Verdana"/>
          <w:sz w:val="18"/>
          <w:szCs w:val="18"/>
          <w:lang w:val="el-GR"/>
        </w:rPr>
        <w:t xml:space="preserve"> νοημοσύνη</w:t>
      </w:r>
      <w:r>
        <w:rPr>
          <w:rFonts w:ascii="Verdana" w:hAnsi="Verdana"/>
          <w:sz w:val="18"/>
          <w:szCs w:val="18"/>
          <w:lang w:val="el-GR"/>
        </w:rPr>
        <w:t>ς</w:t>
      </w:r>
      <w:r w:rsidRPr="00244B0A">
        <w:rPr>
          <w:rFonts w:ascii="Verdana" w:hAnsi="Verdana"/>
          <w:sz w:val="18"/>
          <w:szCs w:val="18"/>
          <w:lang w:val="el-GR"/>
        </w:rPr>
        <w:t xml:space="preserve">, το </w:t>
      </w:r>
      <w:r>
        <w:rPr>
          <w:rFonts w:ascii="Verdana" w:hAnsi="Verdana"/>
          <w:sz w:val="18"/>
          <w:szCs w:val="18"/>
          <w:lang w:val="el-GR"/>
        </w:rPr>
        <w:t>14</w:t>
      </w:r>
      <w:r w:rsidRPr="00244B0A">
        <w:rPr>
          <w:rFonts w:ascii="Verdana" w:hAnsi="Verdana"/>
          <w:sz w:val="18"/>
          <w:szCs w:val="18"/>
          <w:lang w:val="el-GR"/>
        </w:rPr>
        <w:t>,</w:t>
      </w:r>
      <w:r>
        <w:rPr>
          <w:rFonts w:ascii="Verdana" w:hAnsi="Verdana"/>
          <w:sz w:val="18"/>
          <w:szCs w:val="18"/>
          <w:lang w:val="el-GR"/>
        </w:rPr>
        <w:t>3</w:t>
      </w:r>
      <w:r w:rsidRPr="00244B0A">
        <w:rPr>
          <w:rFonts w:ascii="Verdana" w:hAnsi="Verdana"/>
          <w:sz w:val="18"/>
          <w:szCs w:val="18"/>
          <w:lang w:val="el-GR"/>
        </w:rPr>
        <w:t xml:space="preserve">% των μεσαίων επιχειρήσεων και το </w:t>
      </w:r>
      <w:r>
        <w:rPr>
          <w:rFonts w:ascii="Verdana" w:hAnsi="Verdana"/>
          <w:sz w:val="18"/>
          <w:szCs w:val="18"/>
          <w:lang w:val="el-GR"/>
        </w:rPr>
        <w:t>6</w:t>
      </w:r>
      <w:r w:rsidRPr="00244B0A">
        <w:rPr>
          <w:rFonts w:ascii="Verdana" w:hAnsi="Verdana"/>
          <w:sz w:val="18"/>
          <w:szCs w:val="18"/>
          <w:lang w:val="el-GR"/>
        </w:rPr>
        <w:t>,</w:t>
      </w:r>
      <w:r>
        <w:rPr>
          <w:rFonts w:ascii="Verdana" w:hAnsi="Verdana"/>
          <w:sz w:val="18"/>
          <w:szCs w:val="18"/>
          <w:lang w:val="el-GR"/>
        </w:rPr>
        <w:t>3</w:t>
      </w:r>
      <w:r w:rsidRPr="00244B0A">
        <w:rPr>
          <w:rFonts w:ascii="Verdana" w:hAnsi="Verdana"/>
          <w:sz w:val="18"/>
          <w:szCs w:val="18"/>
          <w:lang w:val="el-GR"/>
        </w:rPr>
        <w:t>% των μικρών επιχειρήσεων</w:t>
      </w:r>
      <w:r w:rsidR="001274DC">
        <w:rPr>
          <w:rFonts w:ascii="Verdana" w:hAnsi="Verdana"/>
          <w:sz w:val="18"/>
          <w:szCs w:val="18"/>
          <w:lang w:val="el-GR"/>
        </w:rPr>
        <w:t xml:space="preserve">. </w:t>
      </w:r>
      <w:r w:rsidRPr="00244B0A">
        <w:rPr>
          <w:rFonts w:ascii="Verdana" w:hAnsi="Verdana"/>
          <w:sz w:val="18"/>
          <w:szCs w:val="18"/>
          <w:lang w:val="el-GR"/>
        </w:rPr>
        <w:t xml:space="preserve">(Διάγραμμα </w:t>
      </w:r>
      <w:r w:rsidR="001274DC">
        <w:rPr>
          <w:rFonts w:ascii="Verdana" w:hAnsi="Verdana"/>
          <w:sz w:val="18"/>
          <w:szCs w:val="18"/>
          <w:lang w:val="el-GR"/>
        </w:rPr>
        <w:t>4</w:t>
      </w:r>
      <w:r w:rsidRPr="00244B0A">
        <w:rPr>
          <w:rFonts w:ascii="Verdana" w:hAnsi="Verdana"/>
          <w:sz w:val="18"/>
          <w:szCs w:val="18"/>
          <w:lang w:val="el-GR"/>
        </w:rPr>
        <w:t>)</w:t>
      </w:r>
    </w:p>
    <w:p w14:paraId="4BC594D0" w14:textId="40699215" w:rsidR="00E96E18" w:rsidRPr="00A92BB5" w:rsidRDefault="00E96E18" w:rsidP="00E96E18">
      <w:pPr>
        <w:spacing w:before="120" w:after="120"/>
        <w:jc w:val="both"/>
        <w:rPr>
          <w:rFonts w:ascii="Verdana" w:hAnsi="Verdana"/>
          <w:sz w:val="18"/>
          <w:szCs w:val="18"/>
          <w:lang w:val="el-GR"/>
        </w:rPr>
      </w:pPr>
      <w:r w:rsidRPr="00A92BB5">
        <w:rPr>
          <w:rFonts w:ascii="Verdana" w:hAnsi="Verdana"/>
          <w:sz w:val="18"/>
          <w:szCs w:val="18"/>
          <w:lang w:val="el-GR"/>
        </w:rPr>
        <w:t xml:space="preserve">Η τεχνητή νοημοσύνη αναφέρεται σε συστήματα που χρησιμοποιούν τεχνολογίες όπως text mining, computer vision, αναγνώριση ομιλίας, παραγωγή φυσικής γλώσσας, </w:t>
      </w:r>
      <w:proofErr w:type="spellStart"/>
      <w:r w:rsidRPr="00A92BB5">
        <w:rPr>
          <w:rFonts w:ascii="Verdana" w:hAnsi="Verdana"/>
          <w:sz w:val="18"/>
          <w:szCs w:val="18"/>
          <w:lang w:val="el-GR"/>
        </w:rPr>
        <w:t>machine</w:t>
      </w:r>
      <w:proofErr w:type="spellEnd"/>
      <w:r w:rsidRPr="00A92BB5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A92BB5">
        <w:rPr>
          <w:rFonts w:ascii="Verdana" w:hAnsi="Verdana"/>
          <w:sz w:val="18"/>
          <w:szCs w:val="18"/>
          <w:lang w:val="el-GR"/>
        </w:rPr>
        <w:t>learning</w:t>
      </w:r>
      <w:proofErr w:type="spellEnd"/>
      <w:r w:rsidRPr="00A92BB5">
        <w:rPr>
          <w:rFonts w:ascii="Verdana" w:hAnsi="Verdana"/>
          <w:sz w:val="18"/>
          <w:szCs w:val="18"/>
          <w:lang w:val="el-GR"/>
        </w:rPr>
        <w:t xml:space="preserve"> και </w:t>
      </w:r>
      <w:proofErr w:type="spellStart"/>
      <w:r w:rsidRPr="00A92BB5">
        <w:rPr>
          <w:rFonts w:ascii="Verdana" w:hAnsi="Verdana"/>
          <w:sz w:val="18"/>
          <w:szCs w:val="18"/>
          <w:lang w:val="el-GR"/>
        </w:rPr>
        <w:t>deep</w:t>
      </w:r>
      <w:proofErr w:type="spellEnd"/>
      <w:r w:rsidRPr="00A92BB5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A92BB5">
        <w:rPr>
          <w:rFonts w:ascii="Verdana" w:hAnsi="Verdana"/>
          <w:sz w:val="18"/>
          <w:szCs w:val="18"/>
          <w:lang w:val="el-GR"/>
        </w:rPr>
        <w:t>learning</w:t>
      </w:r>
      <w:proofErr w:type="spellEnd"/>
      <w:r w:rsidRPr="00A92BB5">
        <w:rPr>
          <w:rFonts w:ascii="Verdana" w:hAnsi="Verdana"/>
          <w:sz w:val="18"/>
          <w:szCs w:val="18"/>
          <w:lang w:val="el-GR"/>
        </w:rPr>
        <w:t xml:space="preserve"> για τη συλλογή και τη χρήση δεδομένων με αυτονομία, για την πρόβλεψη και τη λήψη των καλύτερων δυνατών αποφάσεων </w:t>
      </w:r>
      <w:r>
        <w:rPr>
          <w:rFonts w:ascii="Verdana" w:hAnsi="Verdana"/>
          <w:sz w:val="18"/>
          <w:szCs w:val="18"/>
          <w:lang w:val="el-GR"/>
        </w:rPr>
        <w:t xml:space="preserve">με σκοπό </w:t>
      </w:r>
      <w:r w:rsidRPr="00A92BB5">
        <w:rPr>
          <w:rFonts w:ascii="Verdana" w:hAnsi="Verdana"/>
          <w:sz w:val="18"/>
          <w:szCs w:val="18"/>
          <w:lang w:val="el-GR"/>
        </w:rPr>
        <w:t>την επίτευξη συγκεκριμένων στόχων.</w:t>
      </w:r>
    </w:p>
    <w:p w14:paraId="72B2E727" w14:textId="18292EB2" w:rsidR="00E96E18" w:rsidRDefault="00E96E18" w:rsidP="00E96E18">
      <w:pPr>
        <w:spacing w:before="120" w:after="120"/>
        <w:jc w:val="both"/>
        <w:rPr>
          <w:rFonts w:ascii="Verdana" w:hAnsi="Verdana"/>
          <w:sz w:val="18"/>
          <w:szCs w:val="18"/>
          <w:lang w:val="el-GR"/>
        </w:rPr>
      </w:pPr>
      <w:r w:rsidRPr="001D38EF">
        <w:rPr>
          <w:rFonts w:ascii="Verdana" w:hAnsi="Verdana"/>
          <w:sz w:val="18"/>
          <w:szCs w:val="18"/>
          <w:lang w:val="el-GR"/>
        </w:rPr>
        <w:t xml:space="preserve">Η υιοθέτηση τεχνολογιών τεχνητής νοημοσύνης αυξάνεται σταθερά </w:t>
      </w:r>
      <w:r>
        <w:rPr>
          <w:rFonts w:ascii="Verdana" w:hAnsi="Verdana"/>
          <w:sz w:val="18"/>
          <w:szCs w:val="18"/>
          <w:lang w:val="el-GR"/>
        </w:rPr>
        <w:t xml:space="preserve">σε όλες τις </w:t>
      </w:r>
      <w:r w:rsidRPr="001D38EF">
        <w:rPr>
          <w:rFonts w:ascii="Verdana" w:hAnsi="Verdana"/>
          <w:sz w:val="18"/>
          <w:szCs w:val="18"/>
          <w:lang w:val="el-GR"/>
        </w:rPr>
        <w:t>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1D38EF">
        <w:rPr>
          <w:rFonts w:ascii="Verdana" w:hAnsi="Verdana"/>
          <w:sz w:val="18"/>
          <w:szCs w:val="18"/>
          <w:lang w:val="el-GR"/>
        </w:rPr>
        <w:t xml:space="preserve">Οι μεγάλες επιχειρήσεις έχουν το υψηλότερο ποσοστό υιοθέτησης </w:t>
      </w:r>
      <w:r>
        <w:rPr>
          <w:rFonts w:ascii="Verdana" w:hAnsi="Verdana"/>
          <w:sz w:val="18"/>
          <w:szCs w:val="18"/>
          <w:lang w:val="el-GR"/>
        </w:rPr>
        <w:t xml:space="preserve">τεχνολογιών </w:t>
      </w:r>
      <w:r w:rsidRPr="001D38EF">
        <w:rPr>
          <w:rFonts w:ascii="Verdana" w:hAnsi="Verdana"/>
          <w:sz w:val="18"/>
          <w:szCs w:val="18"/>
          <w:lang w:val="el-GR"/>
        </w:rPr>
        <w:t xml:space="preserve">τεχνητής νοημοσύνης. </w:t>
      </w:r>
      <w:r>
        <w:rPr>
          <w:rFonts w:ascii="Verdana" w:hAnsi="Verdana"/>
          <w:sz w:val="18"/>
          <w:szCs w:val="18"/>
          <w:lang w:val="el-GR"/>
        </w:rPr>
        <w:t>Τ</w:t>
      </w:r>
      <w:r w:rsidRPr="001D38EF">
        <w:rPr>
          <w:rFonts w:ascii="Verdana" w:hAnsi="Verdana"/>
          <w:sz w:val="18"/>
          <w:szCs w:val="18"/>
          <w:lang w:val="el-GR"/>
        </w:rPr>
        <w:t xml:space="preserve">ο </w:t>
      </w:r>
      <w:r>
        <w:rPr>
          <w:rFonts w:ascii="Verdana" w:hAnsi="Verdana"/>
          <w:sz w:val="18"/>
          <w:szCs w:val="18"/>
          <w:lang w:val="el-GR"/>
        </w:rPr>
        <w:t>34,9%</w:t>
      </w:r>
      <w:r w:rsidRPr="001D38EF">
        <w:rPr>
          <w:rFonts w:ascii="Verdana" w:hAnsi="Verdana"/>
          <w:sz w:val="18"/>
          <w:szCs w:val="18"/>
          <w:lang w:val="el-GR"/>
        </w:rPr>
        <w:t xml:space="preserve"> των μεγάλων επιχειρήσεων χρησιμοποίησε τεχνολογίες τεχνητής νοημοσύνης </w:t>
      </w:r>
      <w:r>
        <w:rPr>
          <w:rFonts w:ascii="Verdana" w:hAnsi="Verdana"/>
          <w:sz w:val="18"/>
          <w:szCs w:val="18"/>
          <w:lang w:val="el-GR"/>
        </w:rPr>
        <w:t xml:space="preserve">κατά το 2024, σε σύγκριση με </w:t>
      </w:r>
      <w:r w:rsidRPr="001D38EF">
        <w:rPr>
          <w:rFonts w:ascii="Verdana" w:hAnsi="Verdana"/>
          <w:sz w:val="18"/>
          <w:szCs w:val="18"/>
          <w:lang w:val="el-GR"/>
        </w:rPr>
        <w:t>1</w:t>
      </w:r>
      <w:r>
        <w:rPr>
          <w:rFonts w:ascii="Verdana" w:hAnsi="Verdana"/>
          <w:sz w:val="18"/>
          <w:szCs w:val="18"/>
          <w:lang w:val="el-GR"/>
        </w:rPr>
        <w:t>5,5</w:t>
      </w:r>
      <w:r w:rsidRPr="001D38EF">
        <w:rPr>
          <w:rFonts w:ascii="Verdana" w:hAnsi="Verdana"/>
          <w:sz w:val="18"/>
          <w:szCs w:val="18"/>
          <w:lang w:val="el-GR"/>
        </w:rPr>
        <w:t xml:space="preserve">% το 2023 και </w:t>
      </w:r>
      <w:r>
        <w:rPr>
          <w:rFonts w:ascii="Verdana" w:hAnsi="Verdana"/>
          <w:sz w:val="18"/>
          <w:szCs w:val="18"/>
          <w:lang w:val="el-GR"/>
        </w:rPr>
        <w:t>με 1</w:t>
      </w:r>
      <w:r w:rsidRPr="001D38EF">
        <w:rPr>
          <w:rFonts w:ascii="Verdana" w:hAnsi="Verdana"/>
          <w:sz w:val="18"/>
          <w:szCs w:val="18"/>
          <w:lang w:val="el-GR"/>
        </w:rPr>
        <w:t>3,</w:t>
      </w:r>
      <w:r>
        <w:rPr>
          <w:rFonts w:ascii="Verdana" w:hAnsi="Verdana"/>
          <w:sz w:val="18"/>
          <w:szCs w:val="18"/>
          <w:lang w:val="el-GR"/>
        </w:rPr>
        <w:t>0</w:t>
      </w:r>
      <w:r w:rsidRPr="001D38EF">
        <w:rPr>
          <w:rFonts w:ascii="Verdana" w:hAnsi="Verdana"/>
          <w:sz w:val="18"/>
          <w:szCs w:val="18"/>
          <w:lang w:val="el-GR"/>
        </w:rPr>
        <w:t>% το 202</w:t>
      </w:r>
      <w:r>
        <w:rPr>
          <w:rFonts w:ascii="Verdana" w:hAnsi="Verdana"/>
          <w:sz w:val="18"/>
          <w:szCs w:val="18"/>
          <w:lang w:val="el-GR"/>
        </w:rPr>
        <w:t>1</w:t>
      </w:r>
      <w:r w:rsidR="00245599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25914">
        <w:rPr>
          <w:rFonts w:ascii="Verdana" w:hAnsi="Verdana"/>
          <w:sz w:val="18"/>
          <w:szCs w:val="18"/>
          <w:lang w:val="el-GR"/>
        </w:rPr>
        <w:t xml:space="preserve">(Διάγραμμα </w:t>
      </w:r>
      <w:r w:rsidR="00245599">
        <w:rPr>
          <w:rFonts w:ascii="Verdana" w:hAnsi="Verdana"/>
          <w:sz w:val="18"/>
          <w:szCs w:val="18"/>
          <w:lang w:val="el-GR"/>
        </w:rPr>
        <w:t>4</w:t>
      </w:r>
      <w:r w:rsidRPr="00A25914">
        <w:rPr>
          <w:rFonts w:ascii="Verdana" w:hAnsi="Verdana"/>
          <w:sz w:val="18"/>
          <w:szCs w:val="18"/>
          <w:lang w:val="el-GR"/>
        </w:rPr>
        <w:t>)</w:t>
      </w:r>
      <w:r w:rsidRPr="001D38EF">
        <w:rPr>
          <w:rFonts w:ascii="Verdana" w:hAnsi="Verdana"/>
          <w:sz w:val="18"/>
          <w:szCs w:val="18"/>
          <w:lang w:val="el-GR"/>
        </w:rPr>
        <w:t xml:space="preserve">. </w:t>
      </w:r>
    </w:p>
    <w:p w14:paraId="16641752" w14:textId="2C840D3B" w:rsidR="00E96E18" w:rsidRPr="00E96E18" w:rsidRDefault="00EA2190" w:rsidP="00EA2190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77A700F8" wp14:editId="018A2A43">
            <wp:extent cx="6127115" cy="2353310"/>
            <wp:effectExtent l="0" t="0" r="6985" b="8890"/>
            <wp:docPr id="12566805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D5010" w14:textId="77777777" w:rsidR="00E96E18" w:rsidRPr="00E96E18" w:rsidRDefault="00E96E18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W w:w="9812" w:type="dxa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4754"/>
        <w:gridCol w:w="843"/>
        <w:gridCol w:w="499"/>
        <w:gridCol w:w="850"/>
        <w:gridCol w:w="992"/>
        <w:gridCol w:w="993"/>
        <w:gridCol w:w="881"/>
      </w:tblGrid>
      <w:tr w:rsidR="006B407D" w:rsidRPr="00B86583" w14:paraId="03AA325B" w14:textId="77777777" w:rsidTr="000D43BA">
        <w:trPr>
          <w:trHeight w:val="376"/>
          <w:jc w:val="center"/>
        </w:trPr>
        <w:tc>
          <w:tcPr>
            <w:tcW w:w="475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B96E019" w14:textId="4D2F4018" w:rsidR="006B407D" w:rsidRPr="00696AC4" w:rsidRDefault="006B407D" w:rsidP="008D758D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6B407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Πίνακας</w:t>
            </w:r>
            <w:r w:rsidRPr="00B8658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61FD781" w14:textId="77777777" w:rsidR="006B407D" w:rsidRPr="00553164" w:rsidRDefault="006B407D" w:rsidP="008D758D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E9B4117" w14:textId="77777777" w:rsidR="006B407D" w:rsidRPr="00553164" w:rsidRDefault="006B407D" w:rsidP="008D758D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51CBEEF" w14:textId="77777777" w:rsidR="006B407D" w:rsidRPr="00553164" w:rsidRDefault="006B407D" w:rsidP="008D758D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AD5BDC6" w14:textId="77777777" w:rsidR="006B407D" w:rsidRPr="00553164" w:rsidRDefault="006B407D" w:rsidP="008D758D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4DE44CB" w14:textId="77777777" w:rsidR="006B407D" w:rsidRPr="00553164" w:rsidRDefault="006B407D" w:rsidP="008D758D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E02274B" w14:textId="77777777" w:rsidR="006B407D" w:rsidRPr="00553164" w:rsidRDefault="006B407D" w:rsidP="008D758D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</w:tr>
      <w:tr w:rsidR="006B407D" w:rsidRPr="00553164" w14:paraId="72A1ED94" w14:textId="77777777" w:rsidTr="000D43BA">
        <w:trPr>
          <w:trHeight w:val="530"/>
          <w:jc w:val="center"/>
        </w:trPr>
        <w:tc>
          <w:tcPr>
            <w:tcW w:w="475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2BA6860" w14:textId="7262FE64" w:rsidR="009A6993" w:rsidRPr="006B407D" w:rsidRDefault="009A6993" w:rsidP="009A6993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Διαφήμιση στο διαδίκτυο</w:t>
            </w:r>
          </w:p>
          <w:p w14:paraId="2FF3D11C" w14:textId="079EC014" w:rsidR="006B407D" w:rsidRPr="009A6993" w:rsidRDefault="009A6993" w:rsidP="009A6993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9A6993">
              <w:rPr>
                <w:rFonts w:ascii="Verdana" w:eastAsia="Malgun Gothic" w:hAnsi="Verdana" w:cs="Arial"/>
                <w:bCs/>
                <w:color w:val="365F91"/>
                <w:sz w:val="18"/>
                <w:szCs w:val="18"/>
                <w:lang w:val="el-GR"/>
              </w:rPr>
              <w:t>(% επί του συνόλου των επιχειρήσεων)</w:t>
            </w:r>
          </w:p>
        </w:tc>
        <w:tc>
          <w:tcPr>
            <w:tcW w:w="84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7A9EB73" w14:textId="77777777" w:rsidR="006B407D" w:rsidRPr="009A6993" w:rsidRDefault="006B407D" w:rsidP="008D758D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49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CBA712C" w14:textId="77777777" w:rsidR="006B407D" w:rsidRPr="009A6993" w:rsidRDefault="006B407D" w:rsidP="008D758D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7946904" w14:textId="77777777" w:rsidR="006B407D" w:rsidRPr="00B6762B" w:rsidRDefault="006B407D" w:rsidP="008D758D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55316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38DBBF5" w14:textId="77777777" w:rsidR="006B407D" w:rsidRPr="00B6762B" w:rsidRDefault="006B407D" w:rsidP="008D758D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F70895C" w14:textId="77777777" w:rsidR="006B407D" w:rsidRPr="0057636D" w:rsidRDefault="006B407D" w:rsidP="008D758D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88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B5262B8" w14:textId="77777777" w:rsidR="006B407D" w:rsidRPr="00826B62" w:rsidRDefault="006B407D" w:rsidP="008D758D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2024</w:t>
            </w:r>
          </w:p>
        </w:tc>
      </w:tr>
      <w:tr w:rsidR="006B407D" w:rsidRPr="00553164" w14:paraId="667842F6" w14:textId="77777777" w:rsidTr="000D43BA">
        <w:trPr>
          <w:trHeight w:val="417"/>
          <w:jc w:val="center"/>
        </w:trPr>
        <w:tc>
          <w:tcPr>
            <w:tcW w:w="6096" w:type="dxa"/>
            <w:gridSpan w:val="3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44492" w14:textId="6731D068" w:rsidR="006B407D" w:rsidRPr="009A6993" w:rsidRDefault="009A6993" w:rsidP="009A6993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9A699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Επιχειρήσεις που πληρώνουν για διαφήμιση στο </w:t>
            </w:r>
            <w:r w:rsidR="002F312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</w:t>
            </w:r>
            <w:r w:rsidRPr="009A699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ιαδίκτυο</w:t>
            </w:r>
          </w:p>
        </w:tc>
        <w:tc>
          <w:tcPr>
            <w:tcW w:w="850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76DFB" w14:textId="77777777" w:rsidR="006B407D" w:rsidRPr="005C447C" w:rsidRDefault="006B407D" w:rsidP="008D758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300F7" w14:textId="77777777" w:rsidR="006B407D" w:rsidRPr="005C447C" w:rsidRDefault="006B407D" w:rsidP="008D758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32,9</w:t>
            </w:r>
          </w:p>
        </w:tc>
        <w:tc>
          <w:tcPr>
            <w:tcW w:w="993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8C1D9" w14:textId="77777777" w:rsidR="006B407D" w:rsidRPr="005C447C" w:rsidRDefault="006B407D" w:rsidP="008D758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43,5</w:t>
            </w:r>
          </w:p>
        </w:tc>
        <w:tc>
          <w:tcPr>
            <w:tcW w:w="881" w:type="dxa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16B90" w14:textId="77777777" w:rsidR="006B407D" w:rsidRPr="00826B62" w:rsidRDefault="006B407D" w:rsidP="008D758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49,4</w:t>
            </w:r>
          </w:p>
        </w:tc>
      </w:tr>
      <w:tr w:rsidR="006B407D" w:rsidRPr="00553164" w14:paraId="32820BEB" w14:textId="77777777" w:rsidTr="000D43BA">
        <w:trPr>
          <w:trHeight w:val="701"/>
          <w:jc w:val="center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DB46E" w14:textId="2C84E712" w:rsidR="006B407D" w:rsidRPr="009A6993" w:rsidRDefault="009A6993" w:rsidP="009A6993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9A699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Επιχειρήσεις που πληρώνουν για διαφήμιση στο </w:t>
            </w:r>
            <w:r w:rsidR="002F312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</w:t>
            </w:r>
            <w:r w:rsidRPr="009A699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ιαδίκτυο με βάση το περιεχόμενο δικτυακών τόπων ή λέξεων κλειδιών που αναζητούνται από χρήστες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FAA5D" w14:textId="77777777" w:rsidR="006B407D" w:rsidRPr="005C447C" w:rsidRDefault="006B407D" w:rsidP="008D758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99C8" w14:textId="77777777" w:rsidR="006B407D" w:rsidRPr="005C447C" w:rsidRDefault="006B407D" w:rsidP="008D758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27,2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3925C" w14:textId="77777777" w:rsidR="006B407D" w:rsidRPr="005C447C" w:rsidRDefault="006B407D" w:rsidP="008D758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33,0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27AE8" w14:textId="77777777" w:rsidR="006B407D" w:rsidRPr="00826B62" w:rsidRDefault="006B407D" w:rsidP="008D758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38,4</w:t>
            </w:r>
          </w:p>
        </w:tc>
      </w:tr>
      <w:tr w:rsidR="006B407D" w:rsidRPr="00553164" w14:paraId="7FDD1447" w14:textId="77777777" w:rsidTr="000D43BA">
        <w:trPr>
          <w:trHeight w:val="839"/>
          <w:jc w:val="center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0171B" w14:textId="26404605" w:rsidR="006B407D" w:rsidRPr="009A6993" w:rsidRDefault="009A6993" w:rsidP="009A6993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9A699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Επιχειρήσεις που πληρώνουν για διαφήμιση στο </w:t>
            </w:r>
            <w:r w:rsidR="002F312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</w:t>
            </w:r>
            <w:r w:rsidRPr="009A699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ιαδίκτυο με βάση την παρακολούθηση του ιστορικού περιήγησης ή του προφίλ των χρηστών του διαδικτύου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32D63" w14:textId="77777777" w:rsidR="006B407D" w:rsidRDefault="006B407D" w:rsidP="008D758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13336" w14:textId="77777777" w:rsidR="006B407D" w:rsidRDefault="006B407D" w:rsidP="008D758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68F62" w14:textId="77777777" w:rsidR="006B407D" w:rsidRDefault="006B407D" w:rsidP="008D758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21,8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78A9B" w14:textId="77777777" w:rsidR="006B407D" w:rsidRDefault="006B407D" w:rsidP="008D758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28,7</w:t>
            </w:r>
          </w:p>
        </w:tc>
      </w:tr>
      <w:tr w:rsidR="006B407D" w:rsidRPr="00553164" w14:paraId="67556EA9" w14:textId="77777777" w:rsidTr="000D43BA">
        <w:trPr>
          <w:trHeight w:val="709"/>
          <w:jc w:val="center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vAlign w:val="center"/>
          </w:tcPr>
          <w:p w14:paraId="5F5FDBEE" w14:textId="29A6D892" w:rsidR="006B407D" w:rsidRPr="009A6993" w:rsidRDefault="009A6993" w:rsidP="009A6993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9A699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Επιχειρήσεις που πληρώνουν για διαφήμιση στο </w:t>
            </w:r>
            <w:r w:rsidR="002F312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</w:t>
            </w:r>
            <w:r w:rsidRPr="009A6993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ιαδίκτυο με βάση τη γεωγραφική θέση των χρηστών του διαδικτύου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vAlign w:val="center"/>
          </w:tcPr>
          <w:p w14:paraId="7B852847" w14:textId="77777777" w:rsidR="006B407D" w:rsidRPr="005C447C" w:rsidRDefault="006B407D" w:rsidP="008D758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vAlign w:val="center"/>
          </w:tcPr>
          <w:p w14:paraId="3E671E6F" w14:textId="77777777" w:rsidR="006B407D" w:rsidRPr="005C447C" w:rsidRDefault="006B407D" w:rsidP="008D758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vAlign w:val="center"/>
          </w:tcPr>
          <w:p w14:paraId="15075EDF" w14:textId="77777777" w:rsidR="006B407D" w:rsidRPr="005C447C" w:rsidRDefault="006B407D" w:rsidP="008D758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28,5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vAlign w:val="center"/>
          </w:tcPr>
          <w:p w14:paraId="56CF3C9E" w14:textId="77777777" w:rsidR="006B407D" w:rsidRPr="00107382" w:rsidRDefault="006B407D" w:rsidP="008D758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43,5</w:t>
            </w:r>
          </w:p>
        </w:tc>
      </w:tr>
    </w:tbl>
    <w:p w14:paraId="12CFC353" w14:textId="77777777" w:rsidR="00E96E18" w:rsidRDefault="00E96E18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8DE27F2" w14:textId="77777777" w:rsidR="006B407D" w:rsidRDefault="006B407D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W w:w="5101" w:type="pct"/>
        <w:jc w:val="center"/>
        <w:tblLook w:val="04A0" w:firstRow="1" w:lastRow="0" w:firstColumn="1" w:lastColumn="0" w:noHBand="0" w:noVBand="1"/>
      </w:tblPr>
      <w:tblGrid>
        <w:gridCol w:w="4338"/>
        <w:gridCol w:w="468"/>
        <w:gridCol w:w="223"/>
        <w:gridCol w:w="407"/>
        <w:gridCol w:w="949"/>
        <w:gridCol w:w="125"/>
        <w:gridCol w:w="1002"/>
        <w:gridCol w:w="1135"/>
        <w:gridCol w:w="1135"/>
      </w:tblGrid>
      <w:tr w:rsidR="006B407D" w:rsidRPr="00EA3FD6" w14:paraId="72B54544" w14:textId="77777777" w:rsidTr="000D43BA">
        <w:trPr>
          <w:trHeight w:val="389"/>
          <w:jc w:val="center"/>
        </w:trPr>
        <w:tc>
          <w:tcPr>
            <w:tcW w:w="5000" w:type="pct"/>
            <w:gridSpan w:val="9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0FDED59B" w14:textId="1323D324" w:rsidR="006B407D" w:rsidRPr="00EA3FD6" w:rsidRDefault="006B407D" w:rsidP="008D758D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6B407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Πίνακας</w:t>
            </w:r>
            <w:r w:rsidRPr="00EA3FD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</w:p>
        </w:tc>
      </w:tr>
      <w:tr w:rsidR="003A600C" w:rsidRPr="00EA3FD6" w14:paraId="6E0C3E92" w14:textId="77777777" w:rsidTr="000D43BA">
        <w:trPr>
          <w:trHeight w:val="743"/>
          <w:jc w:val="center"/>
        </w:trPr>
        <w:tc>
          <w:tcPr>
            <w:tcW w:w="2218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7BDBE1C0" w14:textId="77777777" w:rsidR="006B407D" w:rsidRPr="006B407D" w:rsidRDefault="006B407D" w:rsidP="006B407D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6B407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Εξειδικευμένο προσωπικό σε θέματα ΤΠΕ</w:t>
            </w:r>
          </w:p>
          <w:p w14:paraId="416245A7" w14:textId="5322F7DD" w:rsidR="006B407D" w:rsidRPr="009A6993" w:rsidRDefault="006B407D" w:rsidP="006B407D">
            <w:pPr>
              <w:rPr>
                <w:rFonts w:ascii="Verdana" w:eastAsia="Malgun Gothic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A6993">
              <w:rPr>
                <w:rFonts w:ascii="Verdana" w:eastAsia="Malgun Gothic" w:hAnsi="Verdana" w:cs="Arial"/>
                <w:bCs/>
                <w:color w:val="365F91"/>
                <w:sz w:val="18"/>
                <w:szCs w:val="18"/>
                <w:lang w:val="el-GR"/>
              </w:rPr>
              <w:t>(% επί του συνόλου των επιχειρήσεων</w:t>
            </w:r>
            <w:r w:rsidR="009A6993">
              <w:rPr>
                <w:rFonts w:ascii="Verdana" w:eastAsia="Malgun Gothic" w:hAnsi="Verdana" w:cs="Arial"/>
                <w:bCs/>
                <w:color w:val="365F91"/>
                <w:sz w:val="18"/>
                <w:szCs w:val="18"/>
                <w:lang w:val="el-GR"/>
              </w:rPr>
              <w:t xml:space="preserve"> </w:t>
            </w:r>
            <w:r w:rsidRPr="009A6993">
              <w:rPr>
                <w:rFonts w:ascii="Verdana" w:eastAsia="Malgun Gothic" w:hAnsi="Verdana" w:cs="Arial"/>
                <w:bCs/>
                <w:color w:val="365F91"/>
                <w:sz w:val="18"/>
                <w:szCs w:val="18"/>
                <w:lang w:val="el-GR"/>
              </w:rPr>
              <w:t>)</w:t>
            </w:r>
          </w:p>
        </w:tc>
        <w:tc>
          <w:tcPr>
            <w:tcW w:w="239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7216E3A4" w14:textId="77777777" w:rsidR="006B407D" w:rsidRPr="006B407D" w:rsidRDefault="006B407D" w:rsidP="006B407D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4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732811D2" w14:textId="77777777" w:rsidR="006B407D" w:rsidRPr="006B407D" w:rsidRDefault="006B407D" w:rsidP="006B407D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08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6340A03F" w14:textId="77777777" w:rsidR="006B407D" w:rsidRPr="006B407D" w:rsidRDefault="006B407D" w:rsidP="006B407D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485" w:type="pct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41506D93" w14:textId="7B69DF7D" w:rsidR="006B407D" w:rsidRPr="00C4008B" w:rsidRDefault="006B407D" w:rsidP="00D4241D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304EB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576" w:type="pct"/>
            <w:gridSpan w:val="2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45886E54" w14:textId="72E5972B" w:rsidR="006B407D" w:rsidRPr="00C4008B" w:rsidRDefault="006B407D" w:rsidP="00D4241D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304EB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Μικρές</w:t>
            </w:r>
            <w:r w:rsidR="003A600C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(10-49 απασχ.)</w:t>
            </w:r>
          </w:p>
        </w:tc>
        <w:tc>
          <w:tcPr>
            <w:tcW w:w="580" w:type="pct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1DFD62C3" w14:textId="73A8C962" w:rsidR="006B407D" w:rsidRPr="00EA3FD6" w:rsidRDefault="006B407D" w:rsidP="00D4241D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304EB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Μεσαίες</w:t>
            </w:r>
            <w:r w:rsidR="003A600C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(50-249 απασχ.)</w:t>
            </w:r>
          </w:p>
        </w:tc>
        <w:tc>
          <w:tcPr>
            <w:tcW w:w="580" w:type="pct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1CC288F1" w14:textId="0D3727C0" w:rsidR="006B407D" w:rsidRPr="00396B90" w:rsidRDefault="006B407D" w:rsidP="00D4241D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304EB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Μεγάλες</w:t>
            </w:r>
            <w:r w:rsidR="003A600C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(250+ απασχ.)</w:t>
            </w:r>
          </w:p>
        </w:tc>
      </w:tr>
      <w:tr w:rsidR="006B407D" w:rsidRPr="00F34133" w14:paraId="21FCD55C" w14:textId="77777777" w:rsidTr="00EA2190">
        <w:trPr>
          <w:trHeight w:val="374"/>
          <w:jc w:val="center"/>
        </w:trPr>
        <w:tc>
          <w:tcPr>
            <w:tcW w:w="2779" w:type="pct"/>
            <w:gridSpan w:val="4"/>
            <w:tcBorders>
              <w:top w:val="single" w:sz="4" w:space="0" w:color="4472C4" w:themeColor="accent1"/>
            </w:tcBorders>
            <w:shd w:val="clear" w:color="auto" w:fill="auto"/>
            <w:vAlign w:val="center"/>
          </w:tcPr>
          <w:p w14:paraId="66C949A5" w14:textId="1DCA8A27" w:rsidR="006B407D" w:rsidRPr="009A6993" w:rsidRDefault="009A6993" w:rsidP="009A6993">
            <w:pP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6B690B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Επιχειρήσεις που απασχολούν εξειδικευμένο προσωπικό ΤΠΕ</w:t>
            </w:r>
          </w:p>
        </w:tc>
        <w:tc>
          <w:tcPr>
            <w:tcW w:w="549" w:type="pct"/>
            <w:gridSpan w:val="2"/>
            <w:tcBorders>
              <w:top w:val="single" w:sz="4" w:space="0" w:color="4472C4" w:themeColor="accent1"/>
            </w:tcBorders>
            <w:shd w:val="clear" w:color="auto" w:fill="auto"/>
            <w:vAlign w:val="center"/>
          </w:tcPr>
          <w:p w14:paraId="531B1A47" w14:textId="77777777" w:rsidR="006B407D" w:rsidRPr="00645790" w:rsidRDefault="006B407D" w:rsidP="00EA2190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27,5</w:t>
            </w:r>
          </w:p>
        </w:tc>
        <w:tc>
          <w:tcPr>
            <w:tcW w:w="512" w:type="pct"/>
            <w:tcBorders>
              <w:top w:val="single" w:sz="4" w:space="0" w:color="4472C4" w:themeColor="accent1"/>
            </w:tcBorders>
            <w:shd w:val="clear" w:color="auto" w:fill="auto"/>
            <w:vAlign w:val="center"/>
          </w:tcPr>
          <w:p w14:paraId="51CBFFBE" w14:textId="77777777" w:rsidR="006B407D" w:rsidRPr="00645790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22,8</w:t>
            </w:r>
          </w:p>
        </w:tc>
        <w:tc>
          <w:tcPr>
            <w:tcW w:w="580" w:type="pct"/>
            <w:tcBorders>
              <w:top w:val="single" w:sz="4" w:space="0" w:color="4472C4" w:themeColor="accent1"/>
            </w:tcBorders>
            <w:shd w:val="clear" w:color="auto" w:fill="auto"/>
            <w:vAlign w:val="center"/>
          </w:tcPr>
          <w:p w14:paraId="1A1EEFB9" w14:textId="77777777" w:rsidR="006B407D" w:rsidRPr="00645790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49,6</w:t>
            </w:r>
          </w:p>
        </w:tc>
        <w:tc>
          <w:tcPr>
            <w:tcW w:w="580" w:type="pct"/>
            <w:tcBorders>
              <w:top w:val="single" w:sz="4" w:space="0" w:color="4472C4" w:themeColor="accent1"/>
            </w:tcBorders>
            <w:shd w:val="clear" w:color="auto" w:fill="auto"/>
            <w:vAlign w:val="center"/>
          </w:tcPr>
          <w:p w14:paraId="2FDF3B90" w14:textId="77777777" w:rsidR="006B407D" w:rsidRPr="00645790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85,8</w:t>
            </w:r>
          </w:p>
        </w:tc>
      </w:tr>
      <w:tr w:rsidR="006B407D" w:rsidRPr="00B104C1" w14:paraId="6D559131" w14:textId="77777777" w:rsidTr="00EA2190">
        <w:trPr>
          <w:trHeight w:val="982"/>
          <w:jc w:val="center"/>
        </w:trPr>
        <w:tc>
          <w:tcPr>
            <w:tcW w:w="2779" w:type="pct"/>
            <w:gridSpan w:val="4"/>
            <w:shd w:val="clear" w:color="auto" w:fill="auto"/>
            <w:vAlign w:val="center"/>
          </w:tcPr>
          <w:p w14:paraId="7B920049" w14:textId="18CE9AC5" w:rsidR="006B407D" w:rsidRPr="009A6993" w:rsidRDefault="009A6993" w:rsidP="009A6993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511FC2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Επιχειρήσεις που παρείχαν εκπαίδευση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σε εξειδικευμένο προσωπικό</w:t>
            </w:r>
            <w:r w:rsidRPr="00511FC2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ΤΠΕ </w:t>
            </w:r>
            <w:r w:rsidRPr="00511FC2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για να αναπτύξ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ει</w:t>
            </w:r>
            <w:r w:rsidRPr="00511FC2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ή να αναβαθμίσ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ει</w:t>
            </w:r>
            <w:r w:rsidRPr="00511FC2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δεξιότητες σχετικές με τη χρήση ΤΠΕ, κατά τη διάρκεια του προηγούμενου έτους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14:paraId="2B21F6DE" w14:textId="77777777" w:rsidR="006B407D" w:rsidRPr="00EA3FD6" w:rsidRDefault="006B407D" w:rsidP="00EA2190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15,3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1087059" w14:textId="77777777" w:rsidR="006B407D" w:rsidRPr="00EA3FD6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11,9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BCAEE08" w14:textId="77777777" w:rsidR="006B407D" w:rsidRPr="00EA3FD6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31,3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31A91BB" w14:textId="77777777" w:rsidR="006B407D" w:rsidRPr="00EA3FD6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59,4</w:t>
            </w:r>
          </w:p>
        </w:tc>
      </w:tr>
      <w:tr w:rsidR="006B407D" w:rsidRPr="00B104C1" w14:paraId="2AD5C811" w14:textId="77777777" w:rsidTr="00EA2190">
        <w:trPr>
          <w:trHeight w:val="996"/>
          <w:jc w:val="center"/>
        </w:trPr>
        <w:tc>
          <w:tcPr>
            <w:tcW w:w="2779" w:type="pct"/>
            <w:gridSpan w:val="4"/>
            <w:shd w:val="clear" w:color="auto" w:fill="auto"/>
            <w:vAlign w:val="center"/>
          </w:tcPr>
          <w:p w14:paraId="06AFF1FA" w14:textId="2D270E4F" w:rsidR="006B407D" w:rsidRPr="009A6993" w:rsidRDefault="009A6993" w:rsidP="009A6993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511FC2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Επιχειρήσεις που παρείχαν εκπαίδευση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σε άλλους εργαζομένους</w:t>
            </w:r>
            <w:r w:rsidRPr="00511FC2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για να αναπτύξουν ή να αναβαθμίσουν δεξιότητες σχετικές με τη χρήση ΤΠΕ, κατά τη διάρκεια του προηγούμενου έτους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14:paraId="26E2A9F6" w14:textId="77777777" w:rsidR="006B407D" w:rsidRDefault="006B407D" w:rsidP="00EA2190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27,0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09F074D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22,7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FE7F302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47,9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0626BFF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78,3</w:t>
            </w:r>
          </w:p>
        </w:tc>
      </w:tr>
      <w:tr w:rsidR="006B407D" w:rsidRPr="00B104C1" w14:paraId="6B09B9EA" w14:textId="77777777" w:rsidTr="00EA2190">
        <w:trPr>
          <w:trHeight w:val="1122"/>
          <w:jc w:val="center"/>
        </w:trPr>
        <w:tc>
          <w:tcPr>
            <w:tcW w:w="2779" w:type="pct"/>
            <w:gridSpan w:val="4"/>
            <w:shd w:val="clear" w:color="auto" w:fill="auto"/>
            <w:vAlign w:val="center"/>
          </w:tcPr>
          <w:p w14:paraId="6668F104" w14:textId="245AE58E" w:rsidR="006B407D" w:rsidRPr="009A6993" w:rsidRDefault="009A6993" w:rsidP="009A6993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511FC2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Επιχειρήσεις που προσέλαβαν ή προσπάθησαν να προσλάβουν προσωπικό για εργασίες που απαιτούσαν εξειδικευμένες δεξιότητες ΤΠΕ, κατά τη διάρκεια του προηγούμενου έτους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14:paraId="62F3132C" w14:textId="77777777" w:rsidR="006B407D" w:rsidRDefault="006B407D" w:rsidP="00EA2190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12,2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2336E54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9,7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A1C6336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23,0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E16C82A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49,1</w:t>
            </w:r>
          </w:p>
        </w:tc>
      </w:tr>
      <w:tr w:rsidR="006B407D" w:rsidRPr="00B104C1" w14:paraId="0C37428E" w14:textId="77777777" w:rsidTr="00EA2190">
        <w:trPr>
          <w:trHeight w:val="1012"/>
          <w:jc w:val="center"/>
        </w:trPr>
        <w:tc>
          <w:tcPr>
            <w:tcW w:w="2779" w:type="pct"/>
            <w:gridSpan w:val="4"/>
            <w:shd w:val="clear" w:color="auto" w:fill="auto"/>
            <w:vAlign w:val="center"/>
          </w:tcPr>
          <w:p w14:paraId="6F2E2ADC" w14:textId="653BF82D" w:rsidR="006B407D" w:rsidRPr="009A6993" w:rsidRDefault="009A6993" w:rsidP="009A6993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511FC2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Επιχειρήσεις που είχαν κενές θέσεις εργασίας που απαιτούσαν εξειδικευμένες δεξιότητες ΤΠΕ και ήταν δύσκολο να πληρωθούν, κατά τη διάρκεια του προηγούμενου έτους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14:paraId="592F26A4" w14:textId="77777777" w:rsidR="006B407D" w:rsidRDefault="006B407D" w:rsidP="00EA2190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6,4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0EA5100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4,9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832244C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13,4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6A75365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26,4</w:t>
            </w:r>
          </w:p>
        </w:tc>
      </w:tr>
      <w:tr w:rsidR="006B407D" w:rsidRPr="000D43BA" w14:paraId="53B10374" w14:textId="77777777" w:rsidTr="00EA2190">
        <w:trPr>
          <w:trHeight w:val="558"/>
          <w:jc w:val="center"/>
        </w:trPr>
        <w:tc>
          <w:tcPr>
            <w:tcW w:w="2779" w:type="pct"/>
            <w:gridSpan w:val="4"/>
            <w:shd w:val="clear" w:color="auto" w:fill="auto"/>
            <w:vAlign w:val="center"/>
          </w:tcPr>
          <w:p w14:paraId="3F00F49D" w14:textId="02831FCD" w:rsidR="006B407D" w:rsidRPr="009A6993" w:rsidRDefault="009A6993" w:rsidP="009A6993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11FC2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Επιχειρήσεις που αντιμετώπισαν δυσκολία κατά την διαδικασία πρόσληψης προσωπικού με εξειδικευμένες δεξιότητες ΤΠΕ, κατά τη διάρκεια του προηγούμενου έτους, λόγω:  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14:paraId="22B4F943" w14:textId="77777777" w:rsidR="006B407D" w:rsidRPr="009A6993" w:rsidRDefault="006B407D" w:rsidP="00EA2190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13CB4B18" w14:textId="77777777" w:rsidR="006B407D" w:rsidRPr="009A6993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790CA3B1" w14:textId="77777777" w:rsidR="006B407D" w:rsidRPr="009A6993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74F0C48B" w14:textId="77777777" w:rsidR="006B407D" w:rsidRPr="009A6993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</w:p>
        </w:tc>
      </w:tr>
      <w:tr w:rsidR="006B407D" w:rsidRPr="00B104C1" w14:paraId="78E709D1" w14:textId="77777777" w:rsidTr="00EA2190">
        <w:trPr>
          <w:trHeight w:val="334"/>
          <w:jc w:val="center"/>
        </w:trPr>
        <w:tc>
          <w:tcPr>
            <w:tcW w:w="2779" w:type="pct"/>
            <w:gridSpan w:val="4"/>
            <w:shd w:val="clear" w:color="auto" w:fill="auto"/>
            <w:vAlign w:val="center"/>
          </w:tcPr>
          <w:p w14:paraId="48DE55D4" w14:textId="4B3A753F" w:rsidR="006B407D" w:rsidRPr="007D60AE" w:rsidRDefault="009A6993" w:rsidP="009A699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proofErr w:type="spellStart"/>
            <w:r w:rsidRPr="00511FC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έλλειψης</w:t>
            </w:r>
            <w:proofErr w:type="spellEnd"/>
            <w:r w:rsidRPr="00511FC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α</w:t>
            </w:r>
            <w:proofErr w:type="spellStart"/>
            <w:r w:rsidRPr="00511FC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ιτήσεων</w:t>
            </w:r>
            <w:proofErr w:type="spellEnd"/>
            <w:r w:rsidRPr="00511FC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(</w:t>
            </w:r>
            <w:proofErr w:type="spellStart"/>
            <w:r w:rsidRPr="00511FC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μειωμένο</w:t>
            </w:r>
            <w:proofErr w:type="spellEnd"/>
            <w:r w:rsidRPr="00511FC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511FC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ενδι</w:t>
            </w:r>
            <w:proofErr w:type="spellEnd"/>
            <w:r w:rsidRPr="00511FC2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αφέρον)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14:paraId="148F73F2" w14:textId="77777777" w:rsidR="006B407D" w:rsidRDefault="006B407D" w:rsidP="00EA2190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4,6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E5FBACB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3,5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98DDA36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9,8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1F902A3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17,9</w:t>
            </w:r>
          </w:p>
        </w:tc>
      </w:tr>
      <w:tr w:rsidR="006B407D" w:rsidRPr="00B104C1" w14:paraId="26A02C0E" w14:textId="77777777" w:rsidTr="00EA2190">
        <w:trPr>
          <w:trHeight w:val="491"/>
          <w:jc w:val="center"/>
        </w:trPr>
        <w:tc>
          <w:tcPr>
            <w:tcW w:w="2779" w:type="pct"/>
            <w:gridSpan w:val="4"/>
            <w:shd w:val="clear" w:color="auto" w:fill="auto"/>
            <w:vAlign w:val="center"/>
          </w:tcPr>
          <w:p w14:paraId="527098A0" w14:textId="05A37875" w:rsidR="006B407D" w:rsidRPr="007D60AE" w:rsidRDefault="009A6993" w:rsidP="009A699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44744D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έλλειψης προσόντων των ενδιαφερόμενων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14:paraId="449C1C26" w14:textId="77777777" w:rsidR="006B407D" w:rsidRDefault="006B407D" w:rsidP="00EA2190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4,7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3F0B878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3,5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4E1A531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10,3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F8B1B39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17,9</w:t>
            </w:r>
          </w:p>
        </w:tc>
      </w:tr>
      <w:tr w:rsidR="006B407D" w:rsidRPr="00B104C1" w14:paraId="5EFAD879" w14:textId="77777777" w:rsidTr="00EA2190">
        <w:trPr>
          <w:trHeight w:val="416"/>
          <w:jc w:val="center"/>
        </w:trPr>
        <w:tc>
          <w:tcPr>
            <w:tcW w:w="2779" w:type="pct"/>
            <w:gridSpan w:val="4"/>
            <w:shd w:val="clear" w:color="auto" w:fill="auto"/>
            <w:vAlign w:val="center"/>
          </w:tcPr>
          <w:p w14:paraId="69C6E076" w14:textId="50E436D1" w:rsidR="006B407D" w:rsidRPr="009A6993" w:rsidRDefault="009A6993" w:rsidP="009A699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44744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έλλειψης εργασιακής πείρας (των ενδιαφερόμενων) σε συναφή θέση (ΤΠΕ)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14:paraId="0D9E04BC" w14:textId="77777777" w:rsidR="006B407D" w:rsidRDefault="006B407D" w:rsidP="00EA2190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4,4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2284910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3,2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E879718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10,2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2BC5AFA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18,9</w:t>
            </w:r>
          </w:p>
        </w:tc>
      </w:tr>
      <w:tr w:rsidR="006B407D" w:rsidRPr="00B104C1" w14:paraId="31F06DAF" w14:textId="77777777" w:rsidTr="00EA2190">
        <w:trPr>
          <w:trHeight w:val="280"/>
          <w:jc w:val="center"/>
        </w:trPr>
        <w:tc>
          <w:tcPr>
            <w:tcW w:w="2779" w:type="pct"/>
            <w:gridSpan w:val="4"/>
            <w:shd w:val="clear" w:color="auto" w:fill="auto"/>
            <w:vAlign w:val="center"/>
          </w:tcPr>
          <w:p w14:paraId="584F87E0" w14:textId="738B1C4F" w:rsidR="006B407D" w:rsidRPr="009A6993" w:rsidRDefault="009A6993" w:rsidP="009A699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44744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αυξημένων μισθολογικών απαιτήσεων των ενδιαφερόμενων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14:paraId="7E1C881E" w14:textId="77777777" w:rsidR="006B407D" w:rsidRDefault="006B407D" w:rsidP="00EA2190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4,7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79EEEBF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3,6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739D501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8,8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0AD4302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24,5</w:t>
            </w:r>
          </w:p>
        </w:tc>
      </w:tr>
      <w:tr w:rsidR="006B407D" w:rsidRPr="00B104C1" w14:paraId="088FDCFA" w14:textId="77777777" w:rsidTr="00EA2190">
        <w:trPr>
          <w:trHeight w:val="892"/>
          <w:jc w:val="center"/>
        </w:trPr>
        <w:tc>
          <w:tcPr>
            <w:tcW w:w="2779" w:type="pct"/>
            <w:gridSpan w:val="4"/>
            <w:shd w:val="clear" w:color="auto" w:fill="auto"/>
            <w:vAlign w:val="center"/>
          </w:tcPr>
          <w:p w14:paraId="4A3A7FE7" w14:textId="7D450845" w:rsidR="006B407D" w:rsidRPr="009A6993" w:rsidRDefault="009A6993" w:rsidP="009A6993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 xml:space="preserve">Εκτέλεση </w:t>
            </w:r>
            <w:r w:rsidRPr="0044744D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των λειτουργιών ΤΠΕ για την επιχείρηση, κατά τη διάρκεια του προηγούμενου έτους, από εργαζόμενους της επιχείρησης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14:paraId="41498C85" w14:textId="77777777" w:rsidR="006B407D" w:rsidRDefault="006B407D" w:rsidP="00EA2190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40,9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DA0AEB9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36,9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85BB1F8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59,8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0C74ADD" w14:textId="77777777" w:rsidR="006B407D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93,4</w:t>
            </w:r>
          </w:p>
        </w:tc>
      </w:tr>
      <w:tr w:rsidR="006B407D" w:rsidRPr="00B104C1" w14:paraId="575AAF05" w14:textId="77777777" w:rsidTr="00EA2190">
        <w:trPr>
          <w:trHeight w:val="562"/>
          <w:jc w:val="center"/>
        </w:trPr>
        <w:tc>
          <w:tcPr>
            <w:tcW w:w="2779" w:type="pct"/>
            <w:gridSpan w:val="4"/>
            <w:shd w:val="clear" w:color="auto" w:fill="auto"/>
            <w:vAlign w:val="center"/>
          </w:tcPr>
          <w:p w14:paraId="121D0A63" w14:textId="74AC9C0D" w:rsidR="006B407D" w:rsidRPr="009A6993" w:rsidRDefault="009A6993" w:rsidP="009A6993">
            <w:pPr>
              <w:jc w:val="both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Εκτέλεση </w:t>
            </w:r>
            <w:r w:rsidRPr="0044744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των λειτουργιών ΤΠΕ για την επιχείρηση, κατά τη διάρκεια του προηγούμενου έτους, από εξωτερικούς προμηθευτές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14:paraId="7F2427D7" w14:textId="77777777" w:rsidR="006B407D" w:rsidRPr="00EA3FD6" w:rsidRDefault="006B407D" w:rsidP="00EA2190">
            <w:pPr>
              <w:ind w:right="227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84,5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91965EF" w14:textId="77777777" w:rsidR="006B407D" w:rsidRPr="00EA3FD6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84,8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E683AFE" w14:textId="77777777" w:rsidR="006B407D" w:rsidRPr="00EA3FD6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84,2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FAC12D2" w14:textId="77777777" w:rsidR="006B407D" w:rsidRPr="00EA3FD6" w:rsidRDefault="006B407D" w:rsidP="00EA2190">
            <w:pPr>
              <w:ind w:right="17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 w:rsidRPr="00645790">
              <w:rPr>
                <w:rFonts w:ascii="Verdana" w:hAnsi="Verdana" w:cs="Arial"/>
                <w:color w:val="365F91"/>
                <w:sz w:val="18"/>
                <w:szCs w:val="18"/>
              </w:rPr>
              <w:t>77,4</w:t>
            </w:r>
          </w:p>
        </w:tc>
      </w:tr>
      <w:tr w:rsidR="006B407D" w:rsidRPr="00B104C1" w14:paraId="40E67A7C" w14:textId="77777777" w:rsidTr="000D43BA">
        <w:trPr>
          <w:trHeight w:val="144"/>
          <w:jc w:val="center"/>
        </w:trPr>
        <w:tc>
          <w:tcPr>
            <w:tcW w:w="2779" w:type="pct"/>
            <w:gridSpan w:val="4"/>
            <w:tcBorders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4CF93D84" w14:textId="77777777" w:rsidR="006B407D" w:rsidRPr="00EA4201" w:rsidRDefault="006B407D" w:rsidP="006B407D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bottom w:val="single" w:sz="4" w:space="0" w:color="4472C4" w:themeColor="accent1"/>
            </w:tcBorders>
            <w:shd w:val="clear" w:color="auto" w:fill="auto"/>
            <w:vAlign w:val="bottom"/>
          </w:tcPr>
          <w:p w14:paraId="10B9BD9C" w14:textId="77777777" w:rsidR="006B407D" w:rsidRPr="00645790" w:rsidRDefault="006B407D" w:rsidP="006B407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4472C4" w:themeColor="accent1"/>
            </w:tcBorders>
            <w:shd w:val="clear" w:color="auto" w:fill="auto"/>
            <w:vAlign w:val="bottom"/>
          </w:tcPr>
          <w:p w14:paraId="40ABB62E" w14:textId="77777777" w:rsidR="006B407D" w:rsidRPr="00645790" w:rsidRDefault="006B407D" w:rsidP="006B407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580" w:type="pct"/>
            <w:tcBorders>
              <w:bottom w:val="single" w:sz="4" w:space="0" w:color="4472C4" w:themeColor="accent1"/>
            </w:tcBorders>
            <w:shd w:val="clear" w:color="auto" w:fill="auto"/>
            <w:vAlign w:val="bottom"/>
          </w:tcPr>
          <w:p w14:paraId="1678D882" w14:textId="77777777" w:rsidR="006B407D" w:rsidRPr="00645790" w:rsidRDefault="006B407D" w:rsidP="006B407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580" w:type="pct"/>
            <w:tcBorders>
              <w:bottom w:val="single" w:sz="4" w:space="0" w:color="4472C4" w:themeColor="accent1"/>
            </w:tcBorders>
            <w:shd w:val="clear" w:color="auto" w:fill="auto"/>
            <w:vAlign w:val="bottom"/>
          </w:tcPr>
          <w:p w14:paraId="3516A5E1" w14:textId="77777777" w:rsidR="006B407D" w:rsidRPr="00645790" w:rsidRDefault="006B407D" w:rsidP="006B407D">
            <w:pPr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</w:tc>
      </w:tr>
    </w:tbl>
    <w:p w14:paraId="19BD57D2" w14:textId="77777777" w:rsidR="006B407D" w:rsidRDefault="006B407D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BC17F8" w14:textId="77777777" w:rsidR="006B407D" w:rsidRDefault="006B407D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D6A94A" w14:textId="77777777" w:rsidR="006B407D" w:rsidRDefault="006B407D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2ED56F" w14:textId="77777777" w:rsidR="001E47E3" w:rsidRPr="000304EB" w:rsidRDefault="001E47E3" w:rsidP="001E47E3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0304EB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0BEE4CF" w14:textId="77777777" w:rsidR="001E47E3" w:rsidRPr="000304EB" w:rsidRDefault="001E47E3" w:rsidP="001E47E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95C65B3" w14:textId="77777777" w:rsidR="001E47E3" w:rsidRPr="000304EB" w:rsidRDefault="001E47E3" w:rsidP="001E47E3">
      <w:pPr>
        <w:spacing w:after="120"/>
        <w:jc w:val="both"/>
        <w:rPr>
          <w:rFonts w:ascii="Verdana" w:eastAsia="SimSun" w:hAnsi="Verdana"/>
          <w:b/>
          <w:sz w:val="18"/>
          <w:szCs w:val="18"/>
          <w:u w:val="single"/>
          <w:lang w:val="el-GR" w:eastAsia="zh-CN"/>
        </w:rPr>
      </w:pPr>
      <w:r w:rsidRPr="000304EB">
        <w:rPr>
          <w:rFonts w:ascii="Verdana" w:eastAsia="SimSun" w:hAnsi="Verdana"/>
          <w:b/>
          <w:sz w:val="18"/>
          <w:szCs w:val="18"/>
          <w:u w:val="single"/>
          <w:lang w:val="el-GR" w:eastAsia="zh-CN"/>
        </w:rPr>
        <w:t xml:space="preserve">Σκοπός </w:t>
      </w:r>
    </w:p>
    <w:p w14:paraId="02DB67F8" w14:textId="2AB82779" w:rsidR="00E355A5" w:rsidRPr="004F4CE8" w:rsidRDefault="00E355A5" w:rsidP="00E355A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  <w:lang w:val="el-GR"/>
        </w:rPr>
      </w:pPr>
      <w:r w:rsidRPr="00C22940">
        <w:rPr>
          <w:rFonts w:ascii="Verdana" w:hAnsi="Verdana"/>
          <w:color w:val="000000"/>
          <w:sz w:val="18"/>
          <w:szCs w:val="18"/>
          <w:lang w:val="el-GR"/>
        </w:rPr>
        <w:t xml:space="preserve">Σκοπός της έρευνας είναι η συλλογή στοιχείων για τη χρήση των τεχνολογιών πληροφορικής και επικοινωνιών στις επιχειρήσεις, τη χρήση του διαδικτύου, το ηλεκτρονικό εμπόριο, </w:t>
      </w:r>
      <w:r w:rsidR="00470B14" w:rsidRPr="00470B14">
        <w:rPr>
          <w:rFonts w:ascii="Verdana" w:hAnsi="Verdana"/>
          <w:color w:val="000000"/>
          <w:sz w:val="18"/>
          <w:szCs w:val="18"/>
          <w:lang w:val="el-GR"/>
        </w:rPr>
        <w:t>τη χρήση εξειδικευμένου προσωπικού σε θέματα ΤΠΕ και τις δεξιότητ</w:t>
      </w:r>
      <w:r w:rsidR="003A600C">
        <w:rPr>
          <w:rFonts w:ascii="Verdana" w:hAnsi="Verdana"/>
          <w:color w:val="000000"/>
          <w:sz w:val="18"/>
          <w:szCs w:val="18"/>
          <w:lang w:val="el-GR"/>
        </w:rPr>
        <w:t>έ</w:t>
      </w:r>
      <w:r w:rsidR="00470B14" w:rsidRPr="00470B14">
        <w:rPr>
          <w:rFonts w:ascii="Verdana" w:hAnsi="Verdana"/>
          <w:color w:val="000000"/>
          <w:sz w:val="18"/>
          <w:szCs w:val="18"/>
          <w:lang w:val="el-GR"/>
        </w:rPr>
        <w:t xml:space="preserve">ς τους, την ασφάλεια στις ΤΠΕ </w:t>
      </w:r>
      <w:r w:rsidR="00470B14">
        <w:rPr>
          <w:rFonts w:ascii="Verdana" w:hAnsi="Verdana"/>
          <w:color w:val="000000"/>
          <w:sz w:val="18"/>
          <w:szCs w:val="18"/>
          <w:lang w:val="el-GR"/>
        </w:rPr>
        <w:t xml:space="preserve">και </w:t>
      </w:r>
      <w:r w:rsidR="00EC36EB" w:rsidRPr="00EC36EB">
        <w:rPr>
          <w:rFonts w:ascii="Verdana" w:hAnsi="Verdana"/>
          <w:color w:val="000000"/>
          <w:sz w:val="18"/>
          <w:szCs w:val="18"/>
          <w:lang w:val="el-GR"/>
        </w:rPr>
        <w:t xml:space="preserve">τη χρήση τεχνολογιών τεχνητής νοημοσύνης. </w:t>
      </w:r>
      <w:r w:rsidRPr="00C22940">
        <w:rPr>
          <w:rFonts w:ascii="Verdana" w:hAnsi="Verdana"/>
          <w:color w:val="000000"/>
          <w:sz w:val="18"/>
          <w:szCs w:val="18"/>
          <w:lang w:val="el-GR"/>
        </w:rPr>
        <w:t>Τα στοιχεία είναι απαραίτητα για την υποβοήθηση εφαρμογής προγραμμάτων πολιτικής από το</w:t>
      </w:r>
      <w:r w:rsidR="00D419BB">
        <w:rPr>
          <w:rFonts w:ascii="Verdana" w:hAnsi="Verdana"/>
          <w:color w:val="000000"/>
          <w:sz w:val="18"/>
          <w:szCs w:val="18"/>
          <w:lang w:val="el-GR"/>
        </w:rPr>
        <w:t>ν</w:t>
      </w:r>
      <w:r w:rsidRPr="00C22940">
        <w:rPr>
          <w:rFonts w:ascii="Verdana" w:hAnsi="Verdana"/>
          <w:color w:val="000000"/>
          <w:sz w:val="18"/>
          <w:szCs w:val="18"/>
          <w:lang w:val="el-GR"/>
        </w:rPr>
        <w:t xml:space="preserve"> δημόσιο και τον ιδιωτικό τομέα.</w:t>
      </w:r>
      <w:r w:rsidR="004F4CE8" w:rsidRPr="004F4CE8">
        <w:rPr>
          <w:rFonts w:ascii="Verdana" w:hAnsi="Verdana"/>
          <w:color w:val="000000"/>
          <w:sz w:val="18"/>
          <w:szCs w:val="18"/>
          <w:lang w:val="el-GR"/>
        </w:rPr>
        <w:t xml:space="preserve"> </w:t>
      </w:r>
      <w:r w:rsidR="004F4CE8" w:rsidRPr="00045495">
        <w:rPr>
          <w:rFonts w:ascii="Verdana" w:hAnsi="Verdana"/>
          <w:color w:val="000000"/>
          <w:sz w:val="18"/>
          <w:szCs w:val="18"/>
          <w:lang w:val="el-GR"/>
        </w:rPr>
        <w:t xml:space="preserve">Η έρευνα συγχρηματοδοτείται από την Ευρωπαϊκή </w:t>
      </w:r>
      <w:r w:rsidR="00D419BB">
        <w:rPr>
          <w:rFonts w:ascii="Verdana" w:hAnsi="Verdana"/>
          <w:color w:val="000000"/>
          <w:sz w:val="18"/>
          <w:szCs w:val="18"/>
          <w:lang w:val="el-GR"/>
        </w:rPr>
        <w:t>Ένωση</w:t>
      </w:r>
      <w:r w:rsidR="003A600C">
        <w:rPr>
          <w:rFonts w:ascii="Verdana" w:hAnsi="Verdana"/>
          <w:color w:val="000000"/>
          <w:sz w:val="18"/>
          <w:szCs w:val="18"/>
          <w:lang w:val="el-GR"/>
        </w:rPr>
        <w:t xml:space="preserve"> και διενεργείται ταυτόχρονα σε όλα τα Κράτη Μέλη της ΕΕ</w:t>
      </w:r>
      <w:r w:rsidR="004F4CE8" w:rsidRPr="00045495">
        <w:rPr>
          <w:rFonts w:ascii="Verdana" w:hAnsi="Verdana"/>
          <w:color w:val="000000"/>
          <w:sz w:val="18"/>
          <w:szCs w:val="18"/>
          <w:lang w:val="el-GR"/>
        </w:rPr>
        <w:t>.</w:t>
      </w:r>
      <w:r w:rsidR="004F4CE8">
        <w:rPr>
          <w:rFonts w:ascii="Verdana" w:hAnsi="Verdana"/>
          <w:color w:val="000000"/>
          <w:sz w:val="18"/>
          <w:szCs w:val="18"/>
          <w:lang w:val="el-GR"/>
        </w:rPr>
        <w:t xml:space="preserve"> </w:t>
      </w:r>
    </w:p>
    <w:p w14:paraId="7D7C9B32" w14:textId="77777777" w:rsidR="00E355A5" w:rsidRDefault="00E355A5" w:rsidP="001E47E3">
      <w:pPr>
        <w:spacing w:after="120"/>
        <w:jc w:val="both"/>
        <w:rPr>
          <w:rFonts w:ascii="Verdana" w:eastAsia="SimSun" w:hAnsi="Verdana"/>
          <w:b/>
          <w:sz w:val="18"/>
          <w:szCs w:val="18"/>
          <w:u w:val="single"/>
          <w:lang w:val="el-GR" w:eastAsia="zh-CN"/>
        </w:rPr>
      </w:pPr>
    </w:p>
    <w:p w14:paraId="057893A1" w14:textId="1A9C6933" w:rsidR="001E47E3" w:rsidRPr="000304EB" w:rsidRDefault="001E47E3" w:rsidP="001E47E3">
      <w:pPr>
        <w:spacing w:after="120"/>
        <w:jc w:val="both"/>
        <w:rPr>
          <w:rFonts w:ascii="Verdana" w:eastAsia="SimSun" w:hAnsi="Verdana"/>
          <w:b/>
          <w:sz w:val="18"/>
          <w:szCs w:val="18"/>
          <w:u w:val="single"/>
          <w:lang w:val="el-GR" w:eastAsia="zh-CN"/>
        </w:rPr>
      </w:pPr>
      <w:r w:rsidRPr="000304EB">
        <w:rPr>
          <w:rFonts w:ascii="Verdana" w:eastAsia="SimSun" w:hAnsi="Verdana"/>
          <w:b/>
          <w:sz w:val="18"/>
          <w:szCs w:val="18"/>
          <w:u w:val="single"/>
          <w:lang w:val="el-GR" w:eastAsia="zh-CN"/>
        </w:rPr>
        <w:t xml:space="preserve">Κάλυψη </w:t>
      </w:r>
    </w:p>
    <w:p w14:paraId="7DC4356A" w14:textId="637B4563" w:rsidR="001E47E3" w:rsidRPr="000304EB" w:rsidRDefault="001E47E3" w:rsidP="001E47E3">
      <w:pPr>
        <w:spacing w:after="120"/>
        <w:jc w:val="both"/>
        <w:rPr>
          <w:rFonts w:ascii="Verdana" w:eastAsia="SimSun" w:hAnsi="Verdana"/>
          <w:sz w:val="18"/>
          <w:szCs w:val="18"/>
          <w:lang w:val="el-GR" w:eastAsia="zh-CN"/>
        </w:rPr>
      </w:pPr>
      <w:r w:rsidRPr="000304EB">
        <w:rPr>
          <w:rFonts w:ascii="Verdana" w:eastAsia="SimSun" w:hAnsi="Verdana"/>
          <w:sz w:val="18"/>
          <w:szCs w:val="18"/>
          <w:lang w:val="el-GR" w:eastAsia="zh-CN"/>
        </w:rPr>
        <w:t xml:space="preserve">Η έρευνα πραγματοποιήθηκε κατά την περίοδο </w:t>
      </w:r>
      <w:r>
        <w:rPr>
          <w:rFonts w:ascii="Verdana" w:eastAsia="SimSun" w:hAnsi="Verdana"/>
          <w:sz w:val="18"/>
          <w:szCs w:val="18"/>
          <w:lang w:val="el-GR" w:eastAsia="zh-CN"/>
        </w:rPr>
        <w:t>Φεβρουαρίου</w:t>
      </w:r>
      <w:r w:rsidRPr="000304EB">
        <w:rPr>
          <w:rFonts w:ascii="Verdana" w:eastAsia="SimSun" w:hAnsi="Verdana"/>
          <w:sz w:val="18"/>
          <w:szCs w:val="18"/>
          <w:lang w:val="el-GR" w:eastAsia="zh-CN"/>
        </w:rPr>
        <w:t xml:space="preserve"> – </w:t>
      </w:r>
      <w:r w:rsidR="00E355A5">
        <w:rPr>
          <w:rFonts w:ascii="Verdana" w:eastAsia="SimSun" w:hAnsi="Verdana"/>
          <w:sz w:val="18"/>
          <w:szCs w:val="18"/>
          <w:lang w:val="el-GR" w:eastAsia="zh-CN"/>
        </w:rPr>
        <w:t>Ιουνίου</w:t>
      </w:r>
      <w:r w:rsidRPr="000304EB">
        <w:rPr>
          <w:rFonts w:ascii="Verdana" w:eastAsia="SimSun" w:hAnsi="Verdana"/>
          <w:sz w:val="18"/>
          <w:szCs w:val="18"/>
          <w:lang w:val="el-GR" w:eastAsia="zh-CN"/>
        </w:rPr>
        <w:t xml:space="preserve"> 202</w:t>
      </w:r>
      <w:r w:rsidR="00470B14">
        <w:rPr>
          <w:rFonts w:ascii="Verdana" w:eastAsia="SimSun" w:hAnsi="Verdana"/>
          <w:sz w:val="18"/>
          <w:szCs w:val="18"/>
          <w:lang w:val="el-GR" w:eastAsia="zh-CN"/>
        </w:rPr>
        <w:t>4</w:t>
      </w:r>
      <w:r w:rsidRPr="000304EB">
        <w:rPr>
          <w:rFonts w:ascii="Verdana" w:eastAsia="SimSun" w:hAnsi="Verdana"/>
          <w:sz w:val="18"/>
          <w:szCs w:val="18"/>
          <w:lang w:val="el-GR" w:eastAsia="zh-CN"/>
        </w:rPr>
        <w:t xml:space="preserve"> και κάλυψε </w:t>
      </w:r>
      <w:r w:rsidR="00EC36EB">
        <w:rPr>
          <w:rFonts w:ascii="Verdana" w:eastAsia="SimSun" w:hAnsi="Verdana"/>
          <w:sz w:val="18"/>
          <w:szCs w:val="18"/>
          <w:lang w:val="el-GR" w:eastAsia="zh-CN"/>
        </w:rPr>
        <w:t xml:space="preserve">περίπου </w:t>
      </w:r>
      <w:r w:rsidR="00791013">
        <w:rPr>
          <w:rFonts w:ascii="Verdana" w:eastAsia="SimSun" w:hAnsi="Verdana"/>
          <w:sz w:val="18"/>
          <w:szCs w:val="18"/>
          <w:lang w:val="el-GR" w:eastAsia="zh-CN"/>
        </w:rPr>
        <w:t>4</w:t>
      </w:r>
      <w:r w:rsidRPr="000304EB">
        <w:rPr>
          <w:rFonts w:ascii="Verdana" w:eastAsia="SimSun" w:hAnsi="Verdana"/>
          <w:sz w:val="18"/>
          <w:szCs w:val="18"/>
          <w:lang w:val="el-GR" w:eastAsia="zh-CN"/>
        </w:rPr>
        <w:t>.</w:t>
      </w:r>
      <w:r w:rsidR="00470B14">
        <w:rPr>
          <w:rFonts w:ascii="Verdana" w:eastAsia="SimSun" w:hAnsi="Verdana"/>
          <w:sz w:val="18"/>
          <w:szCs w:val="18"/>
          <w:lang w:val="el-GR" w:eastAsia="zh-CN"/>
        </w:rPr>
        <w:t>950</w:t>
      </w:r>
      <w:r w:rsidRPr="000304EB">
        <w:rPr>
          <w:rFonts w:ascii="Verdana" w:eastAsia="SimSun" w:hAnsi="Verdana"/>
          <w:sz w:val="18"/>
          <w:szCs w:val="18"/>
          <w:lang w:val="el-GR" w:eastAsia="zh-CN"/>
        </w:rPr>
        <w:t xml:space="preserve"> επιχειρήσεις που απασχολούν τουλάχιστον 10 </w:t>
      </w:r>
      <w:r w:rsidR="0092404B">
        <w:rPr>
          <w:rFonts w:ascii="Verdana" w:eastAsia="SimSun" w:hAnsi="Verdana"/>
          <w:sz w:val="18"/>
          <w:szCs w:val="18"/>
          <w:lang w:val="el-GR" w:eastAsia="zh-CN"/>
        </w:rPr>
        <w:t>άτομα</w:t>
      </w:r>
      <w:r w:rsidRPr="000304EB">
        <w:rPr>
          <w:rFonts w:ascii="Verdana" w:eastAsia="SimSun" w:hAnsi="Verdana"/>
          <w:sz w:val="18"/>
          <w:szCs w:val="18"/>
          <w:lang w:val="el-GR" w:eastAsia="zh-CN"/>
        </w:rPr>
        <w:t xml:space="preserve"> </w:t>
      </w:r>
      <w:r w:rsidR="00A13281">
        <w:rPr>
          <w:rFonts w:ascii="Verdana" w:eastAsia="SimSun" w:hAnsi="Verdana"/>
          <w:sz w:val="18"/>
          <w:szCs w:val="18"/>
          <w:lang w:val="el-GR" w:eastAsia="zh-CN"/>
        </w:rPr>
        <w:t>στους ακόλουθους τομείς</w:t>
      </w:r>
      <w:r w:rsidRPr="000304EB">
        <w:rPr>
          <w:rFonts w:ascii="Verdana" w:eastAsia="SimSun" w:hAnsi="Verdana"/>
          <w:sz w:val="18"/>
          <w:szCs w:val="18"/>
          <w:lang w:val="el-GR" w:eastAsia="zh-CN"/>
        </w:rPr>
        <w:t xml:space="preserve"> οικονομικής δραστηριότητας:</w:t>
      </w:r>
    </w:p>
    <w:tbl>
      <w:tblPr>
        <w:tblW w:w="8930" w:type="dxa"/>
        <w:tblInd w:w="534" w:type="dxa"/>
        <w:tblLook w:val="01E0" w:firstRow="1" w:lastRow="1" w:firstColumn="1" w:lastColumn="1" w:noHBand="0" w:noVBand="0"/>
      </w:tblPr>
      <w:tblGrid>
        <w:gridCol w:w="1526"/>
        <w:gridCol w:w="7404"/>
      </w:tblGrid>
      <w:tr w:rsidR="001E47E3" w:rsidRPr="000304EB" w14:paraId="592671EA" w14:textId="77777777" w:rsidTr="00BE73E2">
        <w:trPr>
          <w:trHeight w:val="350"/>
        </w:trPr>
        <w:tc>
          <w:tcPr>
            <w:tcW w:w="1526" w:type="dxa"/>
          </w:tcPr>
          <w:p w14:paraId="655D97E5" w14:textId="77777777" w:rsidR="001E47E3" w:rsidRPr="000304EB" w:rsidRDefault="001E47E3" w:rsidP="00BE73E2">
            <w:pPr>
              <w:spacing w:after="120"/>
              <w:jc w:val="both"/>
              <w:rPr>
                <w:rFonts w:ascii="Verdana" w:eastAsia="SimSun" w:hAnsi="Verdana"/>
                <w:b/>
                <w:sz w:val="18"/>
                <w:szCs w:val="18"/>
                <w:lang w:val="el-GR" w:eastAsia="zh-CN"/>
              </w:rPr>
            </w:pPr>
            <w:r w:rsidRPr="000304EB">
              <w:rPr>
                <w:rFonts w:ascii="Verdana" w:eastAsia="SimSun" w:hAnsi="Verdana"/>
                <w:b/>
                <w:sz w:val="18"/>
                <w:szCs w:val="18"/>
                <w:lang w:val="el-GR" w:eastAsia="zh-CN"/>
              </w:rPr>
              <w:t>NACE Αναθ.2</w:t>
            </w:r>
          </w:p>
        </w:tc>
        <w:tc>
          <w:tcPr>
            <w:tcW w:w="7404" w:type="dxa"/>
          </w:tcPr>
          <w:p w14:paraId="52992B7E" w14:textId="77777777" w:rsidR="001E47E3" w:rsidRPr="000304EB" w:rsidRDefault="001E47E3" w:rsidP="00BE73E2">
            <w:pPr>
              <w:spacing w:after="120"/>
              <w:jc w:val="both"/>
              <w:rPr>
                <w:rFonts w:ascii="Verdana" w:eastAsia="SimSun" w:hAnsi="Verdana"/>
                <w:b/>
                <w:sz w:val="18"/>
                <w:szCs w:val="18"/>
                <w:lang w:val="el-GR" w:eastAsia="zh-CN"/>
              </w:rPr>
            </w:pPr>
            <w:r w:rsidRPr="000304EB">
              <w:rPr>
                <w:rFonts w:ascii="Verdana" w:eastAsia="SimSun" w:hAnsi="Verdana"/>
                <w:b/>
                <w:sz w:val="18"/>
                <w:szCs w:val="18"/>
                <w:lang w:val="el-GR" w:eastAsia="zh-CN"/>
              </w:rPr>
              <w:t>Περιγραφή</w:t>
            </w:r>
          </w:p>
        </w:tc>
      </w:tr>
      <w:tr w:rsidR="001E47E3" w:rsidRPr="000304EB" w14:paraId="17D417BB" w14:textId="77777777" w:rsidTr="00BE73E2">
        <w:trPr>
          <w:trHeight w:val="350"/>
        </w:trPr>
        <w:tc>
          <w:tcPr>
            <w:tcW w:w="1526" w:type="dxa"/>
          </w:tcPr>
          <w:p w14:paraId="32ED027D" w14:textId="77777777" w:rsidR="001E47E3" w:rsidRPr="000304EB" w:rsidRDefault="001E47E3" w:rsidP="00BE73E2">
            <w:pPr>
              <w:spacing w:after="120"/>
              <w:jc w:val="center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>
              <w:rPr>
                <w:rFonts w:ascii="Verdana" w:eastAsia="SimSun" w:hAnsi="Verdana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7404" w:type="dxa"/>
          </w:tcPr>
          <w:p w14:paraId="49853F24" w14:textId="77777777" w:rsidR="001E47E3" w:rsidRPr="000304EB" w:rsidRDefault="001E47E3" w:rsidP="00470B14">
            <w:pPr>
              <w:spacing w:after="120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 w:rsidRPr="000304EB"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Μεταποιητικές Βιομηχανίες</w:t>
            </w:r>
          </w:p>
        </w:tc>
      </w:tr>
      <w:tr w:rsidR="001E47E3" w:rsidRPr="000D43BA" w14:paraId="3FF7E19D" w14:textId="77777777" w:rsidTr="00BE73E2">
        <w:trPr>
          <w:trHeight w:val="304"/>
        </w:trPr>
        <w:tc>
          <w:tcPr>
            <w:tcW w:w="1526" w:type="dxa"/>
          </w:tcPr>
          <w:p w14:paraId="3E9F17A2" w14:textId="77777777" w:rsidR="001E47E3" w:rsidRPr="000304EB" w:rsidRDefault="001E47E3" w:rsidP="00BE73E2">
            <w:pPr>
              <w:spacing w:after="80"/>
              <w:jc w:val="center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D</w:t>
            </w:r>
          </w:p>
        </w:tc>
        <w:tc>
          <w:tcPr>
            <w:tcW w:w="7404" w:type="dxa"/>
          </w:tcPr>
          <w:p w14:paraId="785A6C41" w14:textId="77777777" w:rsidR="001E47E3" w:rsidRPr="000304EB" w:rsidRDefault="001E47E3" w:rsidP="00470B14">
            <w:pPr>
              <w:spacing w:after="80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 w:rsidRPr="000304EB"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Παροχή Ηλεκτρικού Ρεύματος, Φυσικού Αερίου, Ατμού και Κλιματισμού</w:t>
            </w:r>
          </w:p>
        </w:tc>
      </w:tr>
      <w:tr w:rsidR="001E47E3" w:rsidRPr="000D43BA" w14:paraId="5B2A3330" w14:textId="77777777" w:rsidTr="00BE73E2">
        <w:trPr>
          <w:trHeight w:val="518"/>
        </w:trPr>
        <w:tc>
          <w:tcPr>
            <w:tcW w:w="1526" w:type="dxa"/>
          </w:tcPr>
          <w:p w14:paraId="2397225F" w14:textId="77777777" w:rsidR="001E47E3" w:rsidRPr="000304EB" w:rsidRDefault="001E47E3" w:rsidP="00BE73E2">
            <w:pPr>
              <w:spacing w:after="80"/>
              <w:jc w:val="center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E</w:t>
            </w:r>
          </w:p>
        </w:tc>
        <w:tc>
          <w:tcPr>
            <w:tcW w:w="7404" w:type="dxa"/>
          </w:tcPr>
          <w:p w14:paraId="780E6449" w14:textId="77777777" w:rsidR="001E47E3" w:rsidRPr="000304EB" w:rsidRDefault="001E47E3" w:rsidP="00470B14">
            <w:pPr>
              <w:spacing w:after="80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 w:rsidRPr="000304EB"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Παροχή Νερού, Επεξεργασία Λυμάτων, Διαχείριση Αποβλήτων και Δραστηριότητες Εξυγίανσης</w:t>
            </w:r>
          </w:p>
        </w:tc>
      </w:tr>
      <w:tr w:rsidR="001E47E3" w:rsidRPr="000304EB" w14:paraId="5EB135A8" w14:textId="77777777" w:rsidTr="00BE73E2">
        <w:trPr>
          <w:trHeight w:val="304"/>
        </w:trPr>
        <w:tc>
          <w:tcPr>
            <w:tcW w:w="1526" w:type="dxa"/>
          </w:tcPr>
          <w:p w14:paraId="7CFA9D36" w14:textId="77777777" w:rsidR="001E47E3" w:rsidRPr="000304EB" w:rsidRDefault="001E47E3" w:rsidP="00BE73E2">
            <w:pPr>
              <w:spacing w:after="80"/>
              <w:jc w:val="center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F</w:t>
            </w:r>
          </w:p>
        </w:tc>
        <w:tc>
          <w:tcPr>
            <w:tcW w:w="7404" w:type="dxa"/>
          </w:tcPr>
          <w:p w14:paraId="356E2C96" w14:textId="77777777" w:rsidR="001E47E3" w:rsidRPr="000304EB" w:rsidRDefault="001E47E3" w:rsidP="00470B14">
            <w:pPr>
              <w:spacing w:after="80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 w:rsidRPr="000304EB"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Κατασκευές</w:t>
            </w:r>
          </w:p>
        </w:tc>
      </w:tr>
      <w:tr w:rsidR="001E47E3" w:rsidRPr="000D43BA" w14:paraId="5255AD13" w14:textId="77777777" w:rsidTr="00BE73E2">
        <w:trPr>
          <w:trHeight w:val="518"/>
        </w:trPr>
        <w:tc>
          <w:tcPr>
            <w:tcW w:w="1526" w:type="dxa"/>
          </w:tcPr>
          <w:p w14:paraId="4F644C97" w14:textId="77777777" w:rsidR="001E47E3" w:rsidRPr="000304EB" w:rsidRDefault="001E47E3" w:rsidP="00BE73E2">
            <w:pPr>
              <w:spacing w:after="80"/>
              <w:jc w:val="center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G</w:t>
            </w:r>
          </w:p>
        </w:tc>
        <w:tc>
          <w:tcPr>
            <w:tcW w:w="7404" w:type="dxa"/>
          </w:tcPr>
          <w:p w14:paraId="55DB1F89" w14:textId="77777777" w:rsidR="001E47E3" w:rsidRPr="000304EB" w:rsidRDefault="001E47E3" w:rsidP="00470B14">
            <w:pPr>
              <w:spacing w:after="80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 w:rsidRPr="000304EB"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Χονδρικό και Λιανικό Εμπόριο, Επισκευή Μηχανοκίνητων Οχημάτων και Μοτοσικλετών</w:t>
            </w:r>
          </w:p>
        </w:tc>
      </w:tr>
      <w:tr w:rsidR="001E47E3" w:rsidRPr="000304EB" w14:paraId="4BB6B98F" w14:textId="77777777" w:rsidTr="00BE73E2">
        <w:trPr>
          <w:trHeight w:val="304"/>
        </w:trPr>
        <w:tc>
          <w:tcPr>
            <w:tcW w:w="1526" w:type="dxa"/>
          </w:tcPr>
          <w:p w14:paraId="3BDD97BB" w14:textId="77777777" w:rsidR="001E47E3" w:rsidRPr="000304EB" w:rsidRDefault="001E47E3" w:rsidP="00BE73E2">
            <w:pPr>
              <w:spacing w:after="80"/>
              <w:jc w:val="center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H</w:t>
            </w:r>
          </w:p>
        </w:tc>
        <w:tc>
          <w:tcPr>
            <w:tcW w:w="7404" w:type="dxa"/>
          </w:tcPr>
          <w:p w14:paraId="3F12B501" w14:textId="77777777" w:rsidR="001E47E3" w:rsidRPr="000304EB" w:rsidRDefault="001E47E3" w:rsidP="00470B14">
            <w:pPr>
              <w:spacing w:after="80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 w:rsidRPr="000304EB"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Μεταφορές και Αποθήκευση</w:t>
            </w:r>
          </w:p>
        </w:tc>
      </w:tr>
      <w:tr w:rsidR="001E47E3" w:rsidRPr="000D43BA" w14:paraId="7523ACEE" w14:textId="77777777" w:rsidTr="00BE73E2">
        <w:trPr>
          <w:trHeight w:val="304"/>
        </w:trPr>
        <w:tc>
          <w:tcPr>
            <w:tcW w:w="1526" w:type="dxa"/>
          </w:tcPr>
          <w:p w14:paraId="3BF986C1" w14:textId="77777777" w:rsidR="001E47E3" w:rsidRPr="000304EB" w:rsidRDefault="001E47E3" w:rsidP="00BE73E2">
            <w:pPr>
              <w:spacing w:after="80"/>
              <w:jc w:val="center"/>
              <w:rPr>
                <w:rFonts w:ascii="Verdana" w:eastAsia="SimSun" w:hAnsi="Verdana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I</w:t>
            </w:r>
          </w:p>
        </w:tc>
        <w:tc>
          <w:tcPr>
            <w:tcW w:w="7404" w:type="dxa"/>
          </w:tcPr>
          <w:p w14:paraId="6EB371DA" w14:textId="77777777" w:rsidR="001E47E3" w:rsidRPr="000304EB" w:rsidRDefault="001E47E3" w:rsidP="00470B14">
            <w:pPr>
              <w:spacing w:after="80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 w:rsidRPr="000304EB"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Δραστηριότητες Υπηρεσιών Παροχής Καταλύματος και Υπηρεσιών Εστίασης</w:t>
            </w:r>
          </w:p>
        </w:tc>
      </w:tr>
      <w:tr w:rsidR="001E47E3" w:rsidRPr="000304EB" w14:paraId="2FF54A4C" w14:textId="77777777" w:rsidTr="00BE73E2">
        <w:trPr>
          <w:trHeight w:val="304"/>
        </w:trPr>
        <w:tc>
          <w:tcPr>
            <w:tcW w:w="1526" w:type="dxa"/>
          </w:tcPr>
          <w:p w14:paraId="74AE26A9" w14:textId="77777777" w:rsidR="001E47E3" w:rsidRPr="000304EB" w:rsidRDefault="001E47E3" w:rsidP="00BE73E2">
            <w:pPr>
              <w:spacing w:after="80"/>
              <w:jc w:val="center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J</w:t>
            </w:r>
          </w:p>
        </w:tc>
        <w:tc>
          <w:tcPr>
            <w:tcW w:w="7404" w:type="dxa"/>
          </w:tcPr>
          <w:p w14:paraId="580E1981" w14:textId="77777777" w:rsidR="001E47E3" w:rsidRPr="000304EB" w:rsidRDefault="001E47E3" w:rsidP="00470B14">
            <w:pPr>
              <w:spacing w:after="80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 w:rsidRPr="000304EB"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Ενημέρωση και Επικοινωνία</w:t>
            </w:r>
          </w:p>
        </w:tc>
      </w:tr>
      <w:tr w:rsidR="001E47E3" w:rsidRPr="000304EB" w14:paraId="4273C009" w14:textId="77777777" w:rsidTr="00BE73E2">
        <w:trPr>
          <w:trHeight w:val="304"/>
        </w:trPr>
        <w:tc>
          <w:tcPr>
            <w:tcW w:w="1526" w:type="dxa"/>
          </w:tcPr>
          <w:p w14:paraId="703016AE" w14:textId="77777777" w:rsidR="001E47E3" w:rsidRPr="000304EB" w:rsidRDefault="001E47E3" w:rsidP="00BE73E2">
            <w:pPr>
              <w:spacing w:after="80"/>
              <w:jc w:val="center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L</w:t>
            </w:r>
          </w:p>
        </w:tc>
        <w:tc>
          <w:tcPr>
            <w:tcW w:w="7404" w:type="dxa"/>
          </w:tcPr>
          <w:p w14:paraId="7FE2FF94" w14:textId="77777777" w:rsidR="001E47E3" w:rsidRPr="000304EB" w:rsidRDefault="001E47E3" w:rsidP="00470B14">
            <w:pPr>
              <w:spacing w:after="80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 w:rsidRPr="000304EB"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Διαχείριση Ακίνητης Περιουσίας</w:t>
            </w:r>
          </w:p>
        </w:tc>
      </w:tr>
      <w:tr w:rsidR="001E47E3" w:rsidRPr="000D43BA" w14:paraId="7F01AC81" w14:textId="77777777" w:rsidTr="00BE73E2">
        <w:trPr>
          <w:trHeight w:val="304"/>
        </w:trPr>
        <w:tc>
          <w:tcPr>
            <w:tcW w:w="1526" w:type="dxa"/>
          </w:tcPr>
          <w:p w14:paraId="6D9AE911" w14:textId="77777777" w:rsidR="001E47E3" w:rsidRPr="000304EB" w:rsidRDefault="001E47E3" w:rsidP="00BE73E2">
            <w:pPr>
              <w:spacing w:after="80"/>
              <w:jc w:val="center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M</w:t>
            </w:r>
          </w:p>
        </w:tc>
        <w:tc>
          <w:tcPr>
            <w:tcW w:w="7404" w:type="dxa"/>
          </w:tcPr>
          <w:p w14:paraId="6AEC1C2C" w14:textId="77777777" w:rsidR="001E47E3" w:rsidRPr="000304EB" w:rsidRDefault="001E47E3" w:rsidP="00470B14">
            <w:pPr>
              <w:spacing w:after="80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 w:rsidRPr="000304EB"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Επαγγελματικές, Επιστημονικές και Τεχνικές Δραστηριότητες</w:t>
            </w:r>
          </w:p>
        </w:tc>
      </w:tr>
      <w:tr w:rsidR="001E47E3" w:rsidRPr="000304EB" w14:paraId="0221DA4E" w14:textId="77777777" w:rsidTr="00BE73E2">
        <w:trPr>
          <w:trHeight w:val="304"/>
        </w:trPr>
        <w:tc>
          <w:tcPr>
            <w:tcW w:w="1526" w:type="dxa"/>
          </w:tcPr>
          <w:p w14:paraId="7E43E00C" w14:textId="77777777" w:rsidR="001E47E3" w:rsidRPr="000304EB" w:rsidRDefault="001E47E3" w:rsidP="00BE73E2">
            <w:pPr>
              <w:spacing w:after="80"/>
              <w:jc w:val="center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N</w:t>
            </w:r>
          </w:p>
        </w:tc>
        <w:tc>
          <w:tcPr>
            <w:tcW w:w="7404" w:type="dxa"/>
          </w:tcPr>
          <w:p w14:paraId="0CF73110" w14:textId="77777777" w:rsidR="001E47E3" w:rsidRPr="000304EB" w:rsidRDefault="001E47E3" w:rsidP="00470B14">
            <w:pPr>
              <w:spacing w:after="80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 w:rsidRPr="000304EB"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Διοικητικές και Υποστηρικτικές Δραστηριότητες</w:t>
            </w:r>
          </w:p>
        </w:tc>
      </w:tr>
      <w:tr w:rsidR="001E47E3" w:rsidRPr="000304EB" w14:paraId="140C819C" w14:textId="77777777" w:rsidTr="00BE73E2">
        <w:trPr>
          <w:trHeight w:val="304"/>
        </w:trPr>
        <w:tc>
          <w:tcPr>
            <w:tcW w:w="1526" w:type="dxa"/>
          </w:tcPr>
          <w:p w14:paraId="67C08B3F" w14:textId="77777777" w:rsidR="001E47E3" w:rsidRPr="000304EB" w:rsidRDefault="001E47E3" w:rsidP="00BE73E2">
            <w:pPr>
              <w:spacing w:after="80"/>
              <w:jc w:val="center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S</w:t>
            </w:r>
          </w:p>
        </w:tc>
        <w:tc>
          <w:tcPr>
            <w:tcW w:w="7404" w:type="dxa"/>
          </w:tcPr>
          <w:p w14:paraId="60AAD078" w14:textId="77777777" w:rsidR="001E47E3" w:rsidRPr="000304EB" w:rsidRDefault="001E47E3" w:rsidP="00470B14">
            <w:pPr>
              <w:spacing w:after="80"/>
              <w:rPr>
                <w:rFonts w:ascii="Verdana" w:eastAsia="SimSun" w:hAnsi="Verdana"/>
                <w:sz w:val="18"/>
                <w:szCs w:val="18"/>
                <w:lang w:val="el-GR" w:eastAsia="zh-CN"/>
              </w:rPr>
            </w:pPr>
            <w:r w:rsidRPr="000304EB">
              <w:rPr>
                <w:rFonts w:ascii="Verdana" w:eastAsia="SimSun" w:hAnsi="Verdana"/>
                <w:sz w:val="18"/>
                <w:szCs w:val="18"/>
                <w:lang w:val="el-GR" w:eastAsia="zh-CN"/>
              </w:rPr>
              <w:t>Άλλες Δραστηριότητες Παροχής Υπηρεσιών</w:t>
            </w:r>
          </w:p>
        </w:tc>
      </w:tr>
    </w:tbl>
    <w:p w14:paraId="103CBB03" w14:textId="3108A7AE" w:rsidR="001E47E3" w:rsidRPr="000304EB" w:rsidRDefault="001E47E3" w:rsidP="009D7581">
      <w:pPr>
        <w:spacing w:after="120"/>
        <w:jc w:val="both"/>
        <w:rPr>
          <w:rFonts w:ascii="Verdana" w:eastAsia="SimSun" w:hAnsi="Verdana"/>
          <w:b/>
          <w:color w:val="000000"/>
          <w:sz w:val="18"/>
          <w:szCs w:val="18"/>
          <w:u w:val="single"/>
          <w:lang w:val="el-GR" w:eastAsia="zh-CN"/>
        </w:rPr>
      </w:pPr>
      <w:r w:rsidRPr="000304EB">
        <w:rPr>
          <w:rFonts w:ascii="Verdana" w:eastAsia="SimSun" w:hAnsi="Verdana"/>
          <w:color w:val="000000"/>
          <w:sz w:val="18"/>
          <w:szCs w:val="18"/>
          <w:lang w:val="el-GR" w:eastAsia="zh-CN"/>
        </w:rPr>
        <w:br/>
      </w:r>
      <w:r w:rsidRPr="000304EB">
        <w:rPr>
          <w:rFonts w:ascii="Verdana" w:eastAsia="SimSun" w:hAnsi="Verdana"/>
          <w:b/>
          <w:color w:val="000000"/>
          <w:sz w:val="18"/>
          <w:szCs w:val="18"/>
          <w:u w:val="single"/>
          <w:lang w:val="el-GR" w:eastAsia="zh-CN"/>
        </w:rPr>
        <w:t>Δειγματοληψία</w:t>
      </w:r>
    </w:p>
    <w:p w14:paraId="04DF1A11" w14:textId="4FC51EEF" w:rsidR="001E47E3" w:rsidRPr="000304EB" w:rsidRDefault="001E47E3" w:rsidP="001E47E3">
      <w:pPr>
        <w:jc w:val="both"/>
        <w:rPr>
          <w:rFonts w:ascii="Verdana" w:eastAsia="SimSun" w:hAnsi="Verdana"/>
          <w:color w:val="000000"/>
          <w:sz w:val="18"/>
          <w:szCs w:val="18"/>
          <w:lang w:val="el-GR" w:eastAsia="zh-CN"/>
        </w:rPr>
      </w:pPr>
      <w:r w:rsidRPr="000304EB">
        <w:rPr>
          <w:rFonts w:ascii="Verdana" w:eastAsia="SimSun" w:hAnsi="Verdana"/>
          <w:color w:val="000000"/>
          <w:sz w:val="18"/>
          <w:szCs w:val="18"/>
          <w:lang w:val="el-GR" w:eastAsia="zh-CN"/>
        </w:rPr>
        <w:t xml:space="preserve">Για </w:t>
      </w:r>
      <w:r>
        <w:rPr>
          <w:rFonts w:ascii="Verdana" w:eastAsia="SimSun" w:hAnsi="Verdana"/>
          <w:color w:val="000000"/>
          <w:sz w:val="18"/>
          <w:szCs w:val="18"/>
          <w:lang w:val="el-GR" w:eastAsia="zh-CN"/>
        </w:rPr>
        <w:t>το 202</w:t>
      </w:r>
      <w:r w:rsidR="00470B14">
        <w:rPr>
          <w:rFonts w:ascii="Verdana" w:eastAsia="SimSun" w:hAnsi="Verdana"/>
          <w:color w:val="000000"/>
          <w:sz w:val="18"/>
          <w:szCs w:val="18"/>
          <w:lang w:val="el-GR" w:eastAsia="zh-CN"/>
        </w:rPr>
        <w:t>4</w:t>
      </w:r>
      <w:r>
        <w:rPr>
          <w:rFonts w:ascii="Verdana" w:eastAsia="SimSun" w:hAnsi="Verdana"/>
          <w:color w:val="000000"/>
          <w:sz w:val="18"/>
          <w:szCs w:val="18"/>
          <w:lang w:val="el-GR" w:eastAsia="zh-CN"/>
        </w:rPr>
        <w:t xml:space="preserve"> στην </w:t>
      </w:r>
      <w:r w:rsidRPr="000304EB">
        <w:rPr>
          <w:rFonts w:ascii="Verdana" w:eastAsia="SimSun" w:hAnsi="Verdana"/>
          <w:color w:val="000000"/>
          <w:sz w:val="18"/>
          <w:szCs w:val="18"/>
          <w:lang w:val="el-GR" w:eastAsia="zh-CN"/>
        </w:rPr>
        <w:t xml:space="preserve">έρευνα </w:t>
      </w:r>
      <w:r>
        <w:rPr>
          <w:rFonts w:ascii="Verdana" w:eastAsia="SimSun" w:hAnsi="Verdana"/>
          <w:color w:val="000000"/>
          <w:sz w:val="18"/>
          <w:szCs w:val="18"/>
          <w:lang w:val="el-GR" w:eastAsia="zh-CN"/>
        </w:rPr>
        <w:t>συμπεριλήφθηκαν</w:t>
      </w:r>
      <w:r w:rsidR="00D419BB">
        <w:rPr>
          <w:rFonts w:ascii="Verdana" w:eastAsia="SimSun" w:hAnsi="Verdana"/>
          <w:color w:val="000000"/>
          <w:sz w:val="18"/>
          <w:szCs w:val="18"/>
          <w:lang w:val="el-GR" w:eastAsia="zh-CN"/>
        </w:rPr>
        <w:t xml:space="preserve"> απογραφικά</w:t>
      </w:r>
      <w:r>
        <w:rPr>
          <w:rFonts w:ascii="Verdana" w:eastAsia="SimSun" w:hAnsi="Verdana"/>
          <w:color w:val="000000"/>
          <w:sz w:val="18"/>
          <w:szCs w:val="18"/>
          <w:lang w:val="el-GR" w:eastAsia="zh-CN"/>
        </w:rPr>
        <w:t xml:space="preserve"> όλες οι επιχειρήσεις με 10 ή περισσότερους απασχολούμενους. </w:t>
      </w:r>
      <w:r w:rsidRPr="000304EB">
        <w:rPr>
          <w:rFonts w:ascii="Verdana" w:eastAsia="SimSun" w:hAnsi="Verdana"/>
          <w:color w:val="000000"/>
          <w:sz w:val="18"/>
          <w:szCs w:val="18"/>
          <w:lang w:val="el-GR" w:eastAsia="zh-CN"/>
        </w:rPr>
        <w:t xml:space="preserve">Συνολικά περιλήφθηκαν </w:t>
      </w:r>
      <w:r w:rsidR="00E355A5">
        <w:rPr>
          <w:rFonts w:ascii="Verdana" w:eastAsia="SimSun" w:hAnsi="Verdana"/>
          <w:color w:val="000000"/>
          <w:sz w:val="18"/>
          <w:szCs w:val="18"/>
          <w:lang w:val="el-GR" w:eastAsia="zh-CN"/>
        </w:rPr>
        <w:t>32</w:t>
      </w:r>
      <w:r w:rsidRPr="000304EB">
        <w:rPr>
          <w:rFonts w:ascii="Verdana" w:eastAsia="SimSun" w:hAnsi="Verdana"/>
          <w:color w:val="000000"/>
          <w:sz w:val="18"/>
          <w:szCs w:val="18"/>
          <w:lang w:val="el-GR" w:eastAsia="zh-CN"/>
        </w:rPr>
        <w:t xml:space="preserve"> </w:t>
      </w:r>
      <w:r w:rsidR="00AA24C7">
        <w:rPr>
          <w:rFonts w:ascii="Verdana" w:eastAsia="SimSun" w:hAnsi="Verdana"/>
          <w:color w:val="000000"/>
          <w:sz w:val="18"/>
          <w:szCs w:val="18"/>
          <w:lang w:val="el-GR" w:eastAsia="zh-CN"/>
        </w:rPr>
        <w:t>ομαδοποιήσεις</w:t>
      </w:r>
      <w:r w:rsidR="00AA24C7" w:rsidRPr="000304EB">
        <w:rPr>
          <w:rFonts w:ascii="Verdana" w:eastAsia="SimSun" w:hAnsi="Verdana"/>
          <w:color w:val="000000"/>
          <w:sz w:val="18"/>
          <w:szCs w:val="18"/>
          <w:lang w:val="el-GR" w:eastAsia="zh-CN"/>
        </w:rPr>
        <w:t xml:space="preserve"> </w:t>
      </w:r>
      <w:r w:rsidRPr="000304EB">
        <w:rPr>
          <w:rFonts w:ascii="Verdana" w:eastAsia="SimSun" w:hAnsi="Verdana"/>
          <w:color w:val="000000"/>
          <w:sz w:val="18"/>
          <w:szCs w:val="18"/>
          <w:lang w:val="el-GR" w:eastAsia="zh-CN"/>
        </w:rPr>
        <w:t>οικονομικών δραστηριοτήτων και 3 κατηγορίες μεγέθους</w:t>
      </w:r>
      <w:r w:rsidR="0092404B">
        <w:rPr>
          <w:rFonts w:ascii="Verdana" w:eastAsia="SimSun" w:hAnsi="Verdana"/>
          <w:color w:val="000000"/>
          <w:sz w:val="18"/>
          <w:szCs w:val="18"/>
          <w:lang w:val="el-GR" w:eastAsia="zh-CN"/>
        </w:rPr>
        <w:t xml:space="preserve"> επιχείρησης με βάση τον αριθμό των απασχολουμένων</w:t>
      </w:r>
      <w:r w:rsidR="00D419BB" w:rsidRPr="00D419BB">
        <w:rPr>
          <w:rFonts w:ascii="Verdana" w:eastAsia="SimSun" w:hAnsi="Verdana"/>
          <w:color w:val="000000"/>
          <w:sz w:val="18"/>
          <w:szCs w:val="18"/>
          <w:lang w:val="el-GR" w:eastAsia="zh-CN"/>
        </w:rPr>
        <w:t>:</w:t>
      </w:r>
      <w:r w:rsidRPr="000304EB">
        <w:rPr>
          <w:rFonts w:ascii="Verdana" w:hAnsi="Verdana"/>
          <w:sz w:val="18"/>
          <w:szCs w:val="18"/>
          <w:lang w:val="el-GR"/>
        </w:rPr>
        <w:t xml:space="preserve"> </w:t>
      </w:r>
      <w:r w:rsidRPr="000304EB">
        <w:rPr>
          <w:rFonts w:ascii="Verdana" w:eastAsia="SimSun" w:hAnsi="Verdana"/>
          <w:color w:val="000000"/>
          <w:sz w:val="18"/>
          <w:szCs w:val="18"/>
          <w:lang w:val="el-GR" w:eastAsia="zh-CN"/>
        </w:rPr>
        <w:t>μικρές</w:t>
      </w:r>
      <w:r w:rsidR="0092404B">
        <w:rPr>
          <w:rFonts w:ascii="Verdana" w:eastAsia="SimSun" w:hAnsi="Verdana"/>
          <w:color w:val="000000"/>
          <w:sz w:val="18"/>
          <w:szCs w:val="18"/>
          <w:lang w:val="el-GR" w:eastAsia="zh-CN"/>
        </w:rPr>
        <w:t xml:space="preserve"> </w:t>
      </w:r>
      <w:r w:rsidRPr="000304EB">
        <w:rPr>
          <w:rFonts w:ascii="Verdana" w:eastAsia="SimSun" w:hAnsi="Verdana"/>
          <w:color w:val="000000"/>
          <w:sz w:val="18"/>
          <w:szCs w:val="18"/>
          <w:lang w:val="el-GR" w:eastAsia="zh-CN"/>
        </w:rPr>
        <w:t xml:space="preserve">(10-49 απασχολούμενοι), μεσαίες (50-249 απασχολούμενοι) και μεγάλες (250+ απασχολούμενοι). </w:t>
      </w:r>
    </w:p>
    <w:p w14:paraId="20985A2A" w14:textId="77777777" w:rsidR="001E47E3" w:rsidRPr="000304EB" w:rsidRDefault="001E47E3" w:rsidP="001E47E3">
      <w:pPr>
        <w:jc w:val="both"/>
        <w:rPr>
          <w:rFonts w:ascii="Verdana" w:eastAsia="Times New Roman" w:hAnsi="Verdana"/>
          <w:b/>
          <w:sz w:val="18"/>
          <w:szCs w:val="18"/>
          <w:u w:val="single"/>
          <w:lang w:val="el-GR"/>
        </w:rPr>
      </w:pPr>
    </w:p>
    <w:p w14:paraId="0FC7BBAD" w14:textId="77777777" w:rsidR="001E47E3" w:rsidRPr="000304EB" w:rsidRDefault="001E47E3" w:rsidP="001E47E3">
      <w:pPr>
        <w:jc w:val="both"/>
        <w:rPr>
          <w:rFonts w:ascii="Verdana" w:eastAsia="Times New Roman" w:hAnsi="Verdana"/>
          <w:b/>
          <w:sz w:val="18"/>
          <w:szCs w:val="18"/>
          <w:u w:val="single"/>
          <w:lang w:val="el-GR"/>
        </w:rPr>
      </w:pPr>
      <w:r w:rsidRPr="000304EB">
        <w:rPr>
          <w:rFonts w:ascii="Verdana" w:eastAsia="Times New Roman" w:hAnsi="Verdana"/>
          <w:b/>
          <w:sz w:val="18"/>
          <w:szCs w:val="18"/>
          <w:u w:val="single"/>
          <w:lang w:val="el-GR"/>
        </w:rPr>
        <w:t xml:space="preserve">Συλλογή δεδομένων </w:t>
      </w:r>
    </w:p>
    <w:p w14:paraId="7C779B15" w14:textId="77777777" w:rsidR="001E47E3" w:rsidRPr="000304EB" w:rsidRDefault="001E47E3" w:rsidP="001E47E3">
      <w:pPr>
        <w:jc w:val="both"/>
        <w:rPr>
          <w:rFonts w:ascii="Verdana" w:eastAsia="Times New Roman" w:hAnsi="Verdana"/>
          <w:sz w:val="18"/>
          <w:szCs w:val="18"/>
          <w:lang w:val="el-GR"/>
        </w:rPr>
      </w:pPr>
      <w:r w:rsidRPr="000304EB">
        <w:rPr>
          <w:rFonts w:ascii="Verdana" w:eastAsia="Times New Roman" w:hAnsi="Verdana"/>
          <w:sz w:val="18"/>
          <w:szCs w:val="18"/>
          <w:lang w:val="el-GR"/>
        </w:rPr>
        <w:t>Η συλλογή των δεδομένων έγινε με τη χρήση ηλεκτρονικού ερωτηματολόγιου μέσω διαδικτύου</w:t>
      </w:r>
      <w:r>
        <w:rPr>
          <w:rFonts w:ascii="Verdana" w:eastAsia="Times New Roman" w:hAnsi="Verdana"/>
          <w:sz w:val="18"/>
          <w:szCs w:val="18"/>
          <w:lang w:val="el-GR"/>
        </w:rPr>
        <w:t>.</w:t>
      </w:r>
      <w:r w:rsidRPr="000304EB">
        <w:rPr>
          <w:rFonts w:ascii="Verdana" w:eastAsia="Times New Roman" w:hAnsi="Verdana"/>
          <w:sz w:val="18"/>
          <w:szCs w:val="18"/>
          <w:lang w:val="el-GR"/>
        </w:rPr>
        <w:t xml:space="preserve"> </w:t>
      </w:r>
    </w:p>
    <w:p w14:paraId="2DA13338" w14:textId="77777777" w:rsidR="00454B95" w:rsidRPr="000304EB" w:rsidRDefault="00454B95" w:rsidP="001E47E3">
      <w:pPr>
        <w:jc w:val="both"/>
        <w:rPr>
          <w:rFonts w:ascii="Verdana" w:eastAsia="SimSun" w:hAnsi="Verdana"/>
          <w:b/>
          <w:color w:val="000000"/>
          <w:sz w:val="18"/>
          <w:szCs w:val="18"/>
          <w:u w:val="single"/>
          <w:lang w:val="el-GR" w:eastAsia="zh-CN"/>
        </w:rPr>
      </w:pPr>
    </w:p>
    <w:p w14:paraId="37B4EFED" w14:textId="77777777" w:rsidR="001E47E3" w:rsidRPr="000304EB" w:rsidRDefault="001E47E3" w:rsidP="001E47E3">
      <w:pPr>
        <w:jc w:val="both"/>
        <w:rPr>
          <w:rFonts w:ascii="Verdana" w:eastAsia="SimSun" w:hAnsi="Verdana"/>
          <w:b/>
          <w:color w:val="000000"/>
          <w:sz w:val="18"/>
          <w:szCs w:val="18"/>
          <w:u w:val="single"/>
          <w:lang w:val="el-GR" w:eastAsia="zh-CN"/>
        </w:rPr>
      </w:pPr>
      <w:r w:rsidRPr="000304EB">
        <w:rPr>
          <w:rFonts w:ascii="Verdana" w:eastAsia="SimSun" w:hAnsi="Verdana"/>
          <w:b/>
          <w:color w:val="000000"/>
          <w:sz w:val="18"/>
          <w:szCs w:val="18"/>
          <w:u w:val="single"/>
          <w:lang w:val="el-GR" w:eastAsia="zh-CN"/>
        </w:rPr>
        <w:t xml:space="preserve">Περίοδος αναφοράς </w:t>
      </w:r>
    </w:p>
    <w:p w14:paraId="33653549" w14:textId="16332F4C" w:rsidR="001E47E3" w:rsidRPr="000304EB" w:rsidRDefault="001E47E3" w:rsidP="001E47E3">
      <w:pPr>
        <w:jc w:val="both"/>
        <w:rPr>
          <w:rFonts w:ascii="Verdana" w:eastAsia="SimSun" w:hAnsi="Verdana"/>
          <w:color w:val="000000"/>
          <w:sz w:val="18"/>
          <w:szCs w:val="18"/>
          <w:lang w:val="el-GR" w:eastAsia="zh-CN"/>
        </w:rPr>
      </w:pPr>
      <w:r w:rsidRPr="000304EB">
        <w:rPr>
          <w:rFonts w:ascii="Verdana" w:eastAsia="SimSun" w:hAnsi="Verdana"/>
          <w:color w:val="000000"/>
          <w:sz w:val="18"/>
          <w:szCs w:val="18"/>
          <w:lang w:val="el-GR" w:eastAsia="zh-CN"/>
        </w:rPr>
        <w:t>Τα στοιχεία αφορούν το 202</w:t>
      </w:r>
      <w:r w:rsidR="00470B14">
        <w:rPr>
          <w:rFonts w:ascii="Verdana" w:eastAsia="SimSun" w:hAnsi="Verdana"/>
          <w:color w:val="000000"/>
          <w:sz w:val="18"/>
          <w:szCs w:val="18"/>
          <w:lang w:val="el-GR" w:eastAsia="zh-CN"/>
        </w:rPr>
        <w:t>4</w:t>
      </w:r>
      <w:r w:rsidR="00D419BB" w:rsidRPr="00D419BB">
        <w:rPr>
          <w:rFonts w:ascii="Verdana" w:eastAsia="SimSun" w:hAnsi="Verdana"/>
          <w:color w:val="000000"/>
          <w:sz w:val="18"/>
          <w:szCs w:val="18"/>
          <w:lang w:val="el-GR" w:eastAsia="zh-CN"/>
        </w:rPr>
        <w:t>,</w:t>
      </w:r>
      <w:r w:rsidRPr="000304EB">
        <w:rPr>
          <w:rFonts w:ascii="Verdana" w:eastAsia="SimSun" w:hAnsi="Verdana"/>
          <w:color w:val="000000"/>
          <w:sz w:val="18"/>
          <w:szCs w:val="18"/>
          <w:lang w:val="el-GR" w:eastAsia="zh-CN"/>
        </w:rPr>
        <w:t xml:space="preserve"> εκτός εάν αναφέρεται διαφορετικά.</w:t>
      </w:r>
    </w:p>
    <w:p w14:paraId="791291F4" w14:textId="77777777" w:rsidR="00454B95" w:rsidRPr="000304EB" w:rsidRDefault="00454B95" w:rsidP="001E47E3">
      <w:pPr>
        <w:jc w:val="both"/>
        <w:rPr>
          <w:rFonts w:ascii="Verdana" w:eastAsia="SimSun" w:hAnsi="Verdana"/>
          <w:b/>
          <w:color w:val="000000"/>
          <w:sz w:val="18"/>
          <w:szCs w:val="18"/>
          <w:u w:val="single"/>
          <w:lang w:val="el-GR" w:eastAsia="zh-CN"/>
        </w:rPr>
      </w:pPr>
    </w:p>
    <w:p w14:paraId="3A7CDC0C" w14:textId="0858D29E" w:rsidR="001E47E3" w:rsidRPr="000304EB" w:rsidRDefault="001E47E3" w:rsidP="001E47E3">
      <w:pPr>
        <w:jc w:val="both"/>
        <w:rPr>
          <w:rFonts w:ascii="Verdana" w:eastAsia="SimSun" w:hAnsi="Verdana"/>
          <w:b/>
          <w:color w:val="000000"/>
          <w:sz w:val="18"/>
          <w:szCs w:val="18"/>
          <w:u w:val="single"/>
          <w:lang w:val="el-GR" w:eastAsia="zh-CN"/>
        </w:rPr>
      </w:pPr>
      <w:r w:rsidRPr="000304EB">
        <w:rPr>
          <w:rFonts w:ascii="Verdana" w:eastAsia="SimSun" w:hAnsi="Verdana"/>
          <w:b/>
          <w:color w:val="000000"/>
          <w:sz w:val="18"/>
          <w:szCs w:val="18"/>
          <w:u w:val="single"/>
          <w:lang w:val="el-GR" w:eastAsia="zh-CN"/>
        </w:rPr>
        <w:t>Ορισμοί</w:t>
      </w:r>
    </w:p>
    <w:p w14:paraId="63129E09" w14:textId="58764064" w:rsidR="001E47E3" w:rsidRDefault="001E47E3" w:rsidP="001E47E3">
      <w:pPr>
        <w:jc w:val="both"/>
        <w:rPr>
          <w:rFonts w:ascii="Verdana" w:eastAsia="SimSun" w:hAnsi="Verdana"/>
          <w:b/>
          <w:color w:val="000000"/>
          <w:sz w:val="18"/>
          <w:szCs w:val="18"/>
          <w:lang w:val="el-GR" w:eastAsia="zh-CN"/>
        </w:rPr>
      </w:pPr>
    </w:p>
    <w:p w14:paraId="5786D495" w14:textId="0CE4C3EF" w:rsidR="00952758" w:rsidRDefault="00952758" w:rsidP="00952758">
      <w:pPr>
        <w:autoSpaceDE w:val="0"/>
        <w:autoSpaceDN w:val="0"/>
        <w:adjustRightInd w:val="0"/>
        <w:spacing w:before="80" w:after="80"/>
        <w:jc w:val="both"/>
        <w:rPr>
          <w:rFonts w:ascii="Verdana" w:hAnsi="Verdana" w:cs="Verdana"/>
          <w:color w:val="000000"/>
          <w:sz w:val="18"/>
          <w:szCs w:val="18"/>
          <w:lang w:val="el-GR"/>
        </w:rPr>
      </w:pPr>
      <w:r w:rsidRPr="00952758">
        <w:rPr>
          <w:rFonts w:ascii="Verdana" w:hAnsi="Verdana" w:cs="Verdana"/>
          <w:b/>
          <w:bCs/>
          <w:color w:val="000000"/>
          <w:sz w:val="18"/>
          <w:szCs w:val="18"/>
          <w:lang w:val="el-GR"/>
        </w:rPr>
        <w:t>Εφαρμογή (</w:t>
      </w:r>
      <w:r w:rsidRPr="00952758">
        <w:rPr>
          <w:rFonts w:ascii="Verdana" w:hAnsi="Verdana" w:cs="Verdana"/>
          <w:b/>
          <w:bCs/>
          <w:color w:val="000000"/>
          <w:sz w:val="18"/>
          <w:szCs w:val="18"/>
        </w:rPr>
        <w:t>App</w:t>
      </w:r>
      <w:r w:rsidRPr="00952758">
        <w:rPr>
          <w:rFonts w:ascii="Verdana" w:hAnsi="Verdana" w:cs="Verdana"/>
          <w:b/>
          <w:bCs/>
          <w:color w:val="000000"/>
          <w:sz w:val="18"/>
          <w:szCs w:val="18"/>
          <w:lang w:val="el-GR"/>
        </w:rPr>
        <w:t>):</w:t>
      </w:r>
      <w:r w:rsidRPr="00952758">
        <w:rPr>
          <w:rFonts w:ascii="Verdana" w:hAnsi="Verdana" w:cs="Verdana"/>
          <w:color w:val="000000"/>
          <w:sz w:val="18"/>
          <w:szCs w:val="18"/>
          <w:lang w:val="el-GR"/>
        </w:rPr>
        <w:t xml:space="preserve"> </w:t>
      </w:r>
      <w:r w:rsidRPr="008F5674">
        <w:rPr>
          <w:rFonts w:ascii="Verdana" w:hAnsi="Verdana" w:cs="Verdana"/>
          <w:color w:val="000000"/>
          <w:sz w:val="18"/>
          <w:szCs w:val="18"/>
        </w:rPr>
        <w:t>M</w:t>
      </w:r>
      <w:r w:rsidRPr="008F5674">
        <w:rPr>
          <w:rFonts w:ascii="Verdana" w:hAnsi="Verdana" w:cs="Verdana"/>
          <w:color w:val="000000"/>
          <w:sz w:val="18"/>
          <w:szCs w:val="18"/>
          <w:lang w:val="el-GR"/>
        </w:rPr>
        <w:t>ια εφαρμογή λογισμικού σχεδιασμένη για ένα συγκεκριμένο σκοπό (π.χ. ψυχαγωγία, ψώνια, κ</w:t>
      </w:r>
      <w:r w:rsidR="00D4241D" w:rsidRPr="00D4241D">
        <w:rPr>
          <w:rFonts w:ascii="Verdana" w:hAnsi="Verdana" w:cs="Verdana"/>
          <w:color w:val="000000"/>
          <w:sz w:val="18"/>
          <w:szCs w:val="18"/>
          <w:lang w:val="el-GR"/>
        </w:rPr>
        <w:t>.</w:t>
      </w:r>
      <w:r w:rsidRPr="008F5674">
        <w:rPr>
          <w:rFonts w:ascii="Verdana" w:hAnsi="Verdana" w:cs="Verdana"/>
          <w:color w:val="000000"/>
          <w:sz w:val="18"/>
          <w:szCs w:val="18"/>
          <w:lang w:val="el-GR"/>
        </w:rPr>
        <w:t>λπ</w:t>
      </w:r>
      <w:r w:rsidR="00D4241D" w:rsidRPr="00D4241D">
        <w:rPr>
          <w:rFonts w:ascii="Verdana" w:hAnsi="Verdana" w:cs="Verdana"/>
          <w:color w:val="000000"/>
          <w:sz w:val="18"/>
          <w:szCs w:val="18"/>
          <w:lang w:val="el-GR"/>
        </w:rPr>
        <w:t>.</w:t>
      </w:r>
      <w:r w:rsidRPr="008F5674">
        <w:rPr>
          <w:rFonts w:ascii="Verdana" w:hAnsi="Verdana" w:cs="Verdana"/>
          <w:color w:val="000000"/>
          <w:sz w:val="18"/>
          <w:szCs w:val="18"/>
          <w:lang w:val="el-GR"/>
        </w:rPr>
        <w:t>), που μπορεί να κατεβεί (</w:t>
      </w:r>
      <w:r w:rsidRPr="008F5674">
        <w:rPr>
          <w:rFonts w:ascii="Verdana" w:hAnsi="Verdana" w:cs="Verdana"/>
          <w:color w:val="000000"/>
          <w:sz w:val="18"/>
          <w:szCs w:val="18"/>
        </w:rPr>
        <w:t>downloaded</w:t>
      </w:r>
      <w:r w:rsidRPr="008F5674">
        <w:rPr>
          <w:rFonts w:ascii="Verdana" w:hAnsi="Verdana" w:cs="Verdana"/>
          <w:color w:val="000000"/>
          <w:sz w:val="18"/>
          <w:szCs w:val="18"/>
          <w:lang w:val="el-GR"/>
        </w:rPr>
        <w:t xml:space="preserve">) και να χρησιμοποιηθεί σε υπολογιστές, ανάλογα με το λειτουργικό τους σύστημα. (π.χ. φορητές συσκευές όπως </w:t>
      </w:r>
      <w:r w:rsidRPr="008F5674">
        <w:rPr>
          <w:rFonts w:ascii="Verdana" w:hAnsi="Verdana" w:cs="Verdana"/>
          <w:color w:val="000000"/>
          <w:sz w:val="18"/>
          <w:szCs w:val="18"/>
        </w:rPr>
        <w:t>tablets</w:t>
      </w:r>
      <w:r w:rsidRPr="008F5674">
        <w:rPr>
          <w:rFonts w:ascii="Verdana" w:hAnsi="Verdana" w:cs="Verdana"/>
          <w:color w:val="000000"/>
          <w:sz w:val="18"/>
          <w:szCs w:val="18"/>
          <w:lang w:val="el-GR"/>
        </w:rPr>
        <w:t xml:space="preserve">, </w:t>
      </w:r>
      <w:r w:rsidR="00D419BB">
        <w:rPr>
          <w:rFonts w:ascii="Verdana" w:hAnsi="Verdana" w:cs="Verdana"/>
          <w:color w:val="000000"/>
          <w:sz w:val="18"/>
          <w:szCs w:val="18"/>
        </w:rPr>
        <w:t>s</w:t>
      </w:r>
      <w:r w:rsidRPr="008F5674">
        <w:rPr>
          <w:rFonts w:ascii="Verdana" w:hAnsi="Verdana" w:cs="Verdana"/>
          <w:color w:val="000000"/>
          <w:sz w:val="18"/>
          <w:szCs w:val="18"/>
        </w:rPr>
        <w:t>martphones</w:t>
      </w:r>
      <w:r w:rsidRPr="008F5674">
        <w:rPr>
          <w:rFonts w:ascii="Verdana" w:hAnsi="Verdana" w:cs="Verdana"/>
          <w:color w:val="000000"/>
          <w:sz w:val="18"/>
          <w:szCs w:val="18"/>
          <w:lang w:val="el-GR"/>
        </w:rPr>
        <w:t xml:space="preserve">, κ.λπ.) </w:t>
      </w:r>
    </w:p>
    <w:p w14:paraId="2E993F15" w14:textId="77777777" w:rsidR="00952758" w:rsidRDefault="00952758" w:rsidP="00952758">
      <w:pPr>
        <w:jc w:val="both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265B59E1" w14:textId="58408B0B" w:rsidR="00470B14" w:rsidRPr="005F0999" w:rsidRDefault="00470B14" w:rsidP="00470B14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 w:rsidRPr="00470B14">
        <w:rPr>
          <w:rFonts w:ascii="Verdana" w:eastAsia="Malgun Gothic" w:hAnsi="Verdana" w:cs="Arial"/>
          <w:b/>
          <w:sz w:val="18"/>
          <w:szCs w:val="18"/>
          <w:lang w:val="el-GR"/>
        </w:rPr>
        <w:t>Ταυτοποίηση:</w:t>
      </w:r>
      <w:r w:rsidRPr="00470B14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>η ταυτοποίηση</w:t>
      </w:r>
      <w:r w:rsidRPr="00470B14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είναι ένας τρόπος για να βεβαιωθείτε ότι ένας χρήστης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</w:t>
      </w:r>
      <w:r w:rsidRPr="00470B14">
        <w:rPr>
          <w:rFonts w:ascii="Verdana" w:eastAsia="Malgun Gothic" w:hAnsi="Verdana" w:cs="Arial"/>
          <w:bCs/>
          <w:sz w:val="18"/>
          <w:szCs w:val="18"/>
          <w:lang w:val="el-GR"/>
        </w:rPr>
        <w:t>είναι αυτός που ισχυρίζεται ότι είναι. Αυτό συνήθως πραγματοποιείται παρουσιάζοντας μία ή περισσότερες προκλήσεις στον χρήστη</w:t>
      </w:r>
      <w:r w:rsidR="0092404B">
        <w:rPr>
          <w:rFonts w:ascii="Verdana" w:eastAsia="Malgun Gothic" w:hAnsi="Verdana" w:cs="Arial"/>
          <w:bCs/>
          <w:sz w:val="18"/>
          <w:szCs w:val="18"/>
          <w:lang w:val="el-GR"/>
        </w:rPr>
        <w:t>,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όπως </w:t>
      </w:r>
      <w:r w:rsidR="005F0999">
        <w:rPr>
          <w:rFonts w:ascii="Verdana" w:eastAsia="Malgun Gothic" w:hAnsi="Verdana" w:cs="Arial"/>
          <w:bCs/>
          <w:sz w:val="18"/>
          <w:szCs w:val="18"/>
          <w:lang w:val="el-GR"/>
        </w:rPr>
        <w:t>κάτι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που </w:t>
      </w:r>
      <w:r w:rsidR="005F0999">
        <w:rPr>
          <w:rFonts w:ascii="Verdana" w:eastAsia="Malgun Gothic" w:hAnsi="Verdana" w:cs="Arial"/>
          <w:bCs/>
          <w:sz w:val="18"/>
          <w:szCs w:val="18"/>
          <w:lang w:val="el-GR"/>
        </w:rPr>
        <w:t>γνωρίζει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ο </w:t>
      </w:r>
      <w:r w:rsidR="005F0999">
        <w:rPr>
          <w:rFonts w:ascii="Verdana" w:eastAsia="Malgun Gothic" w:hAnsi="Verdana" w:cs="Arial"/>
          <w:bCs/>
          <w:sz w:val="18"/>
          <w:szCs w:val="18"/>
          <w:lang w:val="el-GR"/>
        </w:rPr>
        <w:t>χρήστης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(</w:t>
      </w:r>
      <w:r w:rsidR="005F0999">
        <w:rPr>
          <w:rFonts w:ascii="Verdana" w:eastAsia="Malgun Gothic" w:hAnsi="Verdana" w:cs="Arial"/>
          <w:bCs/>
          <w:sz w:val="18"/>
          <w:szCs w:val="18"/>
          <w:lang w:val="el-GR"/>
        </w:rPr>
        <w:t>κωδικός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>)</w:t>
      </w:r>
      <w:r w:rsidR="005F0999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ή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</w:t>
      </w:r>
      <w:r w:rsidR="005F0999">
        <w:rPr>
          <w:rFonts w:ascii="Verdana" w:eastAsia="Malgun Gothic" w:hAnsi="Verdana" w:cs="Arial"/>
          <w:bCs/>
          <w:sz w:val="18"/>
          <w:szCs w:val="18"/>
          <w:lang w:val="el-GR"/>
        </w:rPr>
        <w:t>κάτι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που </w:t>
      </w:r>
      <w:r w:rsidR="005F0999">
        <w:rPr>
          <w:rFonts w:ascii="Verdana" w:eastAsia="Malgun Gothic" w:hAnsi="Verdana" w:cs="Arial"/>
          <w:bCs/>
          <w:sz w:val="18"/>
          <w:szCs w:val="18"/>
          <w:lang w:val="el-GR"/>
        </w:rPr>
        <w:t>έχει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ο </w:t>
      </w:r>
      <w:r w:rsidR="005F0999">
        <w:rPr>
          <w:rFonts w:ascii="Verdana" w:eastAsia="Malgun Gothic" w:hAnsi="Verdana" w:cs="Arial"/>
          <w:bCs/>
          <w:sz w:val="18"/>
          <w:szCs w:val="18"/>
          <w:lang w:val="el-GR"/>
        </w:rPr>
        <w:t>χρήστης</w:t>
      </w:r>
      <w:r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(</w:t>
      </w:r>
      <w:r w:rsidR="005F0999">
        <w:rPr>
          <w:rFonts w:ascii="Verdana" w:eastAsia="Malgun Gothic" w:hAnsi="Verdana" w:cs="Arial"/>
          <w:bCs/>
          <w:sz w:val="18"/>
          <w:szCs w:val="18"/>
          <w:lang w:val="el-GR"/>
        </w:rPr>
        <w:t>κλειδί ή «</w:t>
      </w:r>
      <w:r w:rsidR="005F0999">
        <w:rPr>
          <w:rFonts w:ascii="Verdana" w:eastAsia="Malgun Gothic" w:hAnsi="Verdana" w:cs="Arial"/>
          <w:bCs/>
          <w:sz w:val="18"/>
          <w:szCs w:val="18"/>
        </w:rPr>
        <w:t>token</w:t>
      </w:r>
      <w:r w:rsidR="005F0999">
        <w:rPr>
          <w:rFonts w:ascii="Verdana" w:eastAsia="Malgun Gothic" w:hAnsi="Verdana" w:cs="Arial"/>
          <w:bCs/>
          <w:sz w:val="18"/>
          <w:szCs w:val="18"/>
          <w:lang w:val="el-GR"/>
        </w:rPr>
        <w:t>»</w:t>
      </w:r>
      <w:r w:rsidR="005F0999" w:rsidRPr="005F0999">
        <w:rPr>
          <w:rFonts w:ascii="Verdana" w:eastAsia="Malgun Gothic" w:hAnsi="Verdana" w:cs="Arial"/>
          <w:bCs/>
          <w:sz w:val="18"/>
          <w:szCs w:val="18"/>
          <w:lang w:val="el-GR"/>
        </w:rPr>
        <w:t>)</w:t>
      </w:r>
      <w:r w:rsidR="005F0999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ή κάτι που είναι ο χρήστης (βιομετρικά στοιχεία)</w:t>
      </w:r>
    </w:p>
    <w:p w14:paraId="57F0A53B" w14:textId="77777777" w:rsidR="00470B14" w:rsidRPr="00952758" w:rsidRDefault="00470B14" w:rsidP="00952758">
      <w:pPr>
        <w:jc w:val="both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3A751BC9" w14:textId="14A8EFBC" w:rsidR="001E47E3" w:rsidRPr="000304EB" w:rsidRDefault="001E47E3" w:rsidP="001E47E3">
      <w:pPr>
        <w:jc w:val="both"/>
        <w:rPr>
          <w:rFonts w:ascii="Verdana" w:eastAsia="SimSun" w:hAnsi="Verdana"/>
          <w:b/>
          <w:color w:val="000000"/>
          <w:sz w:val="18"/>
          <w:szCs w:val="18"/>
          <w:lang w:val="el-GR" w:eastAsia="zh-CN"/>
        </w:rPr>
      </w:pPr>
      <w:r w:rsidRPr="000304EB">
        <w:rPr>
          <w:rFonts w:ascii="Verdana" w:eastAsia="SimSun" w:hAnsi="Verdana"/>
          <w:b/>
          <w:color w:val="000000"/>
          <w:sz w:val="18"/>
          <w:szCs w:val="18"/>
          <w:lang w:val="el-GR" w:eastAsia="zh-CN"/>
        </w:rPr>
        <w:t xml:space="preserve">Ηλεκτρονικό εμπόριο: </w:t>
      </w:r>
      <w:r w:rsidRPr="000304EB">
        <w:rPr>
          <w:rFonts w:ascii="Verdana" w:eastAsia="SimSun" w:hAnsi="Verdana"/>
          <w:color w:val="000000"/>
          <w:sz w:val="18"/>
          <w:szCs w:val="18"/>
          <w:lang w:val="el-GR" w:eastAsia="zh-CN"/>
        </w:rPr>
        <w:t>Μια συναλλαγή ηλεκτρονικού εμπορίου είναι η πώληση ή η αγορά προϊόντων ή υπηρεσιών που διενεργείται μέσω δικτύων υπολογιστών, με μεθόδους που έχουν σχεδιαστεί ειδικά για το</w:t>
      </w:r>
      <w:r w:rsidR="00E770D3">
        <w:rPr>
          <w:rFonts w:ascii="Verdana" w:eastAsia="SimSun" w:hAnsi="Verdana"/>
          <w:color w:val="000000"/>
          <w:sz w:val="18"/>
          <w:szCs w:val="18"/>
          <w:lang w:val="el-GR" w:eastAsia="zh-CN"/>
        </w:rPr>
        <w:t>ν</w:t>
      </w:r>
      <w:r w:rsidRPr="000304EB">
        <w:rPr>
          <w:rFonts w:ascii="Verdana" w:eastAsia="SimSun" w:hAnsi="Verdana"/>
          <w:color w:val="000000"/>
          <w:sz w:val="18"/>
          <w:szCs w:val="18"/>
          <w:lang w:val="el-GR" w:eastAsia="zh-CN"/>
        </w:rPr>
        <w:t xml:space="preserve"> σκοπό της λήψης ή </w:t>
      </w:r>
      <w:r w:rsidR="00E770D3">
        <w:rPr>
          <w:rFonts w:ascii="Verdana" w:eastAsia="SimSun" w:hAnsi="Verdana"/>
          <w:color w:val="000000"/>
          <w:sz w:val="18"/>
          <w:szCs w:val="18"/>
          <w:lang w:val="el-GR" w:eastAsia="zh-CN"/>
        </w:rPr>
        <w:t xml:space="preserve">της </w:t>
      </w:r>
      <w:r w:rsidRPr="000304EB">
        <w:rPr>
          <w:rFonts w:ascii="Verdana" w:eastAsia="SimSun" w:hAnsi="Verdana"/>
          <w:color w:val="000000"/>
          <w:sz w:val="18"/>
          <w:szCs w:val="18"/>
          <w:lang w:val="el-GR" w:eastAsia="zh-CN"/>
        </w:rPr>
        <w:t>αποδοχής παραγγελιών.</w:t>
      </w:r>
    </w:p>
    <w:p w14:paraId="7FC50B06" w14:textId="77777777" w:rsidR="00EC36EB" w:rsidRDefault="00EC36EB" w:rsidP="001E47E3">
      <w:pPr>
        <w:jc w:val="both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BCF732C" w14:textId="77777777" w:rsidR="00470B14" w:rsidRDefault="00470B14" w:rsidP="00470B14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1330D">
        <w:rPr>
          <w:rFonts w:ascii="Verdana" w:eastAsia="Malgun Gothic" w:hAnsi="Verdana" w:cs="Arial"/>
          <w:b/>
          <w:sz w:val="18"/>
          <w:szCs w:val="18"/>
          <w:lang w:val="el-GR"/>
        </w:rPr>
        <w:t xml:space="preserve">Εξειδικευμένο 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προσωπικό</w:t>
      </w:r>
      <w:r w:rsidRPr="0091330D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ΤΠΕ:</w:t>
      </w:r>
      <w:r w:rsidRPr="0091330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Ορίζεται το προσωπικό που </w:t>
      </w:r>
      <w:r w:rsidRPr="0091330D">
        <w:rPr>
          <w:rFonts w:ascii="Verdana" w:eastAsia="Malgun Gothic" w:hAnsi="Verdana" w:cs="Arial"/>
          <w:sz w:val="18"/>
          <w:szCs w:val="18"/>
          <w:lang w:val="el-GR"/>
        </w:rPr>
        <w:t>έχει ως κύρια ασχολία του τις Τεχνολογίες Πληροφορικής και Επικοινωνιών. Για παράδειγμα, έχει τη δυνατότητα να αναπτύσσει, να λειτουργεί, να υποστηρίζει ή να συντηρεί συστήματα ΤΠΕ.</w:t>
      </w:r>
    </w:p>
    <w:p w14:paraId="78FE2AA8" w14:textId="77777777" w:rsidR="005F0999" w:rsidRDefault="005F0999" w:rsidP="00470B14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A7E61CA" w14:textId="7010706E" w:rsidR="005F0999" w:rsidRPr="003F6CEA" w:rsidRDefault="005F0999" w:rsidP="005F0999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5F0999">
        <w:rPr>
          <w:rFonts w:ascii="Verdana" w:eastAsia="Malgun Gothic" w:hAnsi="Verdana" w:cs="Arial"/>
          <w:b/>
          <w:bCs/>
          <w:sz w:val="18"/>
          <w:szCs w:val="18"/>
          <w:lang w:val="el-GR"/>
        </w:rPr>
        <w:t>Διαδίκτυο: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 xml:space="preserve"> Το διαδίκτυο είναι ένα παγκόσμιο σύστημα διασυνδεδεμένων δικτύων υπολογιστών που χρησιμοποιούν το πρότυπο Internet </w:t>
      </w:r>
      <w:proofErr w:type="spellStart"/>
      <w:r w:rsidRPr="005F0999">
        <w:rPr>
          <w:rFonts w:ascii="Verdana" w:eastAsia="Malgun Gothic" w:hAnsi="Verdana" w:cs="Arial"/>
          <w:sz w:val="18"/>
          <w:szCs w:val="18"/>
          <w:lang w:val="el-GR"/>
        </w:rPr>
        <w:t>Protocol</w:t>
      </w:r>
      <w:proofErr w:type="spellEnd"/>
      <w:r w:rsidRPr="005F099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5F0999">
        <w:rPr>
          <w:rFonts w:ascii="Verdana" w:eastAsia="Malgun Gothic" w:hAnsi="Verdana" w:cs="Arial"/>
          <w:sz w:val="18"/>
          <w:szCs w:val="18"/>
          <w:lang w:val="el-GR"/>
        </w:rPr>
        <w:t>Suite</w:t>
      </w:r>
      <w:proofErr w:type="spellEnd"/>
      <w:r w:rsidRPr="005F0999">
        <w:rPr>
          <w:rFonts w:ascii="Verdana" w:eastAsia="Malgun Gothic" w:hAnsi="Verdana" w:cs="Arial"/>
          <w:sz w:val="18"/>
          <w:szCs w:val="18"/>
          <w:lang w:val="el-GR"/>
        </w:rPr>
        <w:t xml:space="preserve"> (TCP / IP) για να εξυπηρετήσουν δισεκατομμύρια χρήστες παγκοσμίως. </w:t>
      </w:r>
    </w:p>
    <w:p w14:paraId="00C6E741" w14:textId="77777777" w:rsidR="005F0999" w:rsidRPr="003F6CEA" w:rsidRDefault="005F0999" w:rsidP="005F0999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2FBE3D2" w14:textId="64BC1C59" w:rsidR="005F0999" w:rsidRPr="003F6CEA" w:rsidRDefault="005F0999" w:rsidP="005F0999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b/>
          <w:bCs/>
          <w:sz w:val="18"/>
          <w:szCs w:val="18"/>
        </w:rPr>
        <w:t>Marketplace</w:t>
      </w:r>
      <w:r w:rsidRPr="003F6CEA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 (</w:t>
      </w:r>
      <w:r>
        <w:rPr>
          <w:rFonts w:ascii="Verdana" w:eastAsia="Malgun Gothic" w:hAnsi="Verdana" w:cs="Arial"/>
          <w:b/>
          <w:bCs/>
          <w:sz w:val="18"/>
          <w:szCs w:val="18"/>
        </w:rPr>
        <w:t>e</w:t>
      </w:r>
      <w:r w:rsidRPr="003F6CEA">
        <w:rPr>
          <w:rFonts w:ascii="Verdana" w:eastAsia="Malgun Gothic" w:hAnsi="Verdana" w:cs="Arial"/>
          <w:b/>
          <w:bCs/>
          <w:sz w:val="18"/>
          <w:szCs w:val="18"/>
          <w:lang w:val="el-GR"/>
        </w:rPr>
        <w:t>-</w:t>
      </w:r>
      <w:r>
        <w:rPr>
          <w:rFonts w:ascii="Verdana" w:eastAsia="Malgun Gothic" w:hAnsi="Verdana" w:cs="Arial"/>
          <w:b/>
          <w:bCs/>
          <w:sz w:val="18"/>
          <w:szCs w:val="18"/>
        </w:rPr>
        <w:t>Commerce</w:t>
      </w:r>
      <w:r w:rsidRPr="003F6CEA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b/>
          <w:bCs/>
          <w:sz w:val="18"/>
          <w:szCs w:val="18"/>
        </w:rPr>
        <w:t>marketplace</w:t>
      </w:r>
      <w:r w:rsidRPr="003F6CEA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):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Ο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όρος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"</w:t>
      </w:r>
      <w:r>
        <w:rPr>
          <w:rFonts w:ascii="Verdana" w:eastAsia="Malgun Gothic" w:hAnsi="Verdana" w:cs="Arial"/>
          <w:sz w:val="18"/>
          <w:szCs w:val="18"/>
        </w:rPr>
        <w:t>m</w:t>
      </w:r>
      <w:r w:rsidRPr="005F0999">
        <w:rPr>
          <w:rFonts w:ascii="Verdana" w:eastAsia="Malgun Gothic" w:hAnsi="Verdana" w:cs="Arial"/>
          <w:sz w:val="18"/>
          <w:szCs w:val="18"/>
        </w:rPr>
        <w:t>arketplace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</w:rPr>
        <w:t>e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5F0999">
        <w:rPr>
          <w:rFonts w:ascii="Verdana" w:eastAsia="Malgun Gothic" w:hAnsi="Verdana" w:cs="Arial"/>
          <w:sz w:val="18"/>
          <w:szCs w:val="18"/>
        </w:rPr>
        <w:t>commerce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</w:rPr>
        <w:t>marketplace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"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αναφέρεται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σε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δι</w:t>
      </w:r>
      <w:r w:rsidR="0092404B">
        <w:rPr>
          <w:rFonts w:ascii="Verdana" w:eastAsia="Malgun Gothic" w:hAnsi="Verdana" w:cs="Arial"/>
          <w:sz w:val="18"/>
          <w:szCs w:val="18"/>
          <w:lang w:val="el-GR"/>
        </w:rPr>
        <w:t>αδι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κτυακούς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τόπους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ηλεκτρονικής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αγοράς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διαδικτυακές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εφαρμογές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που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χρησιμοποιούν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πολλές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επιχειρήσεις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για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την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εμπορία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προϊόντων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π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5F0999">
        <w:rPr>
          <w:rFonts w:ascii="Verdana" w:eastAsia="Malgun Gothic" w:hAnsi="Verdana" w:cs="Arial"/>
          <w:sz w:val="18"/>
          <w:szCs w:val="18"/>
          <w:lang w:val="el-GR"/>
        </w:rPr>
        <w:t>χ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5F0999">
        <w:rPr>
          <w:rFonts w:ascii="Verdana" w:eastAsia="Malgun Gothic" w:hAnsi="Verdana" w:cs="Arial"/>
          <w:sz w:val="18"/>
          <w:szCs w:val="18"/>
        </w:rPr>
        <w:t>Booking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Pr="005F0999">
        <w:rPr>
          <w:rFonts w:ascii="Verdana" w:eastAsia="Malgun Gothic" w:hAnsi="Verdana" w:cs="Arial"/>
          <w:sz w:val="18"/>
          <w:szCs w:val="18"/>
        </w:rPr>
        <w:t>eBay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Pr="005F0999">
        <w:rPr>
          <w:rFonts w:ascii="Verdana" w:eastAsia="Malgun Gothic" w:hAnsi="Verdana" w:cs="Arial"/>
          <w:sz w:val="18"/>
          <w:szCs w:val="18"/>
        </w:rPr>
        <w:t>Amazon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Pr="005F0999">
        <w:rPr>
          <w:rFonts w:ascii="Verdana" w:eastAsia="Malgun Gothic" w:hAnsi="Verdana" w:cs="Arial"/>
          <w:sz w:val="18"/>
          <w:szCs w:val="18"/>
        </w:rPr>
        <w:t>Amazon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5F0999">
        <w:rPr>
          <w:rFonts w:ascii="Verdana" w:eastAsia="Malgun Gothic" w:hAnsi="Verdana" w:cs="Arial"/>
          <w:sz w:val="18"/>
          <w:szCs w:val="18"/>
        </w:rPr>
        <w:t>Business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Pr="005F0999">
        <w:rPr>
          <w:rFonts w:ascii="Verdana" w:eastAsia="Malgun Gothic" w:hAnsi="Verdana" w:cs="Arial"/>
          <w:sz w:val="18"/>
          <w:szCs w:val="18"/>
        </w:rPr>
        <w:t>Alibaba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Pr="005F0999">
        <w:rPr>
          <w:rFonts w:ascii="Verdana" w:eastAsia="Malgun Gothic" w:hAnsi="Verdana" w:cs="Arial"/>
          <w:sz w:val="18"/>
          <w:szCs w:val="18"/>
        </w:rPr>
        <w:t>Rakuten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 κ</w:t>
      </w:r>
      <w:r w:rsidR="00D4241D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>λ</w:t>
      </w:r>
      <w:r w:rsidR="00D4241D">
        <w:rPr>
          <w:rFonts w:ascii="Verdana" w:eastAsia="Malgun Gothic" w:hAnsi="Verdana" w:cs="Arial"/>
          <w:sz w:val="18"/>
          <w:szCs w:val="18"/>
          <w:lang w:val="el-GR"/>
        </w:rPr>
        <w:t>π</w:t>
      </w:r>
      <w:r w:rsidRPr="003F6CEA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</w:p>
    <w:p w14:paraId="623EE1D4" w14:textId="77777777" w:rsidR="00952758" w:rsidRDefault="00952758" w:rsidP="001E47E3">
      <w:pPr>
        <w:ind w:right="-79"/>
        <w:jc w:val="both"/>
        <w:rPr>
          <w:rFonts w:ascii="Verdana" w:eastAsia="Malgun Gothic" w:hAnsi="Verdana" w:cs="Arial"/>
          <w:b/>
          <w:bCs/>
          <w:sz w:val="18"/>
          <w:szCs w:val="18"/>
          <w:lang w:val="el-GR"/>
        </w:rPr>
      </w:pPr>
    </w:p>
    <w:p w14:paraId="0277C7E3" w14:textId="6C251ECA" w:rsidR="005F0999" w:rsidRPr="005F0999" w:rsidRDefault="005F0999" w:rsidP="005F0999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 w:rsidRPr="007A7C0E">
        <w:rPr>
          <w:rFonts w:ascii="Verdana" w:eastAsia="Malgun Gothic" w:hAnsi="Verdana" w:cs="Arial"/>
          <w:b/>
          <w:sz w:val="18"/>
          <w:szCs w:val="18"/>
        </w:rPr>
        <w:t>Machine</w:t>
      </w:r>
      <w:r w:rsidRPr="005F0999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r w:rsidRPr="007A7C0E">
        <w:rPr>
          <w:rFonts w:ascii="Verdana" w:eastAsia="Malgun Gothic" w:hAnsi="Verdana" w:cs="Arial"/>
          <w:b/>
          <w:sz w:val="18"/>
          <w:szCs w:val="18"/>
        </w:rPr>
        <w:t>learning</w:t>
      </w:r>
      <w:r w:rsidRPr="005F0999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(</w:t>
      </w:r>
      <w:r w:rsidRPr="007A7C0E">
        <w:rPr>
          <w:rFonts w:ascii="Verdana" w:eastAsia="Malgun Gothic" w:hAnsi="Verdana" w:cs="Arial"/>
          <w:b/>
          <w:sz w:val="18"/>
          <w:szCs w:val="18"/>
        </w:rPr>
        <w:t>incl</w:t>
      </w:r>
      <w:r w:rsidRPr="005F0999">
        <w:rPr>
          <w:rFonts w:ascii="Verdana" w:eastAsia="Malgun Gothic" w:hAnsi="Verdana" w:cs="Arial"/>
          <w:b/>
          <w:sz w:val="18"/>
          <w:szCs w:val="18"/>
          <w:lang w:val="el-GR"/>
        </w:rPr>
        <w:t xml:space="preserve">. </w:t>
      </w:r>
      <w:r w:rsidRPr="007A7C0E">
        <w:rPr>
          <w:rFonts w:ascii="Verdana" w:eastAsia="Malgun Gothic" w:hAnsi="Verdana" w:cs="Arial"/>
          <w:b/>
          <w:sz w:val="18"/>
          <w:szCs w:val="18"/>
        </w:rPr>
        <w:t>deep</w:t>
      </w:r>
      <w:r w:rsidRPr="005F0999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r w:rsidRPr="007A7C0E">
        <w:rPr>
          <w:rFonts w:ascii="Verdana" w:eastAsia="Malgun Gothic" w:hAnsi="Verdana" w:cs="Arial"/>
          <w:b/>
          <w:sz w:val="18"/>
          <w:szCs w:val="18"/>
        </w:rPr>
        <w:t>learning</w:t>
      </w:r>
      <w:r w:rsidRPr="005F0999">
        <w:rPr>
          <w:rFonts w:ascii="Verdana" w:eastAsia="Malgun Gothic" w:hAnsi="Verdana" w:cs="Arial"/>
          <w:b/>
          <w:sz w:val="18"/>
          <w:szCs w:val="18"/>
          <w:lang w:val="el-GR"/>
        </w:rPr>
        <w:t xml:space="preserve">): </w:t>
      </w:r>
      <w:r w:rsidRPr="005F0999">
        <w:rPr>
          <w:rFonts w:ascii="Verdana" w:eastAsia="Malgun Gothic" w:hAnsi="Verdana" w:cs="Arial"/>
          <w:bCs/>
          <w:sz w:val="18"/>
          <w:szCs w:val="18"/>
          <w:lang w:val="el-GR"/>
        </w:rPr>
        <w:t>Ανάπτυξη ενός υπολογιστικού μοντέλου έτσι ώστε να εκτελεί καλύτερα μια αυτοματοποιημένη εργασία, π.χ. αναγνώριση μοτίβου.</w:t>
      </w:r>
    </w:p>
    <w:p w14:paraId="483C0723" w14:textId="77777777" w:rsidR="005F0999" w:rsidRPr="005F0999" w:rsidRDefault="005F0999" w:rsidP="005F0999">
      <w:pPr>
        <w:jc w:val="both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41EAA1FC" w14:textId="566357E9" w:rsidR="005F0999" w:rsidRPr="005F0999" w:rsidRDefault="005F0999" w:rsidP="005F0999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 w:rsidRPr="007A7C0E">
        <w:rPr>
          <w:rFonts w:ascii="Verdana" w:eastAsia="Malgun Gothic" w:hAnsi="Verdana" w:cs="Arial"/>
          <w:b/>
          <w:sz w:val="18"/>
          <w:szCs w:val="18"/>
        </w:rPr>
        <w:t>Natural</w:t>
      </w:r>
      <w:r w:rsidRPr="005F0999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r w:rsidRPr="007A7C0E">
        <w:rPr>
          <w:rFonts w:ascii="Verdana" w:eastAsia="Malgun Gothic" w:hAnsi="Verdana" w:cs="Arial"/>
          <w:b/>
          <w:sz w:val="18"/>
          <w:szCs w:val="18"/>
        </w:rPr>
        <w:t>language</w:t>
      </w:r>
      <w:r w:rsidRPr="005F0999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r w:rsidRPr="007A7C0E">
        <w:rPr>
          <w:rFonts w:ascii="Verdana" w:eastAsia="Malgun Gothic" w:hAnsi="Verdana" w:cs="Arial"/>
          <w:b/>
          <w:sz w:val="18"/>
          <w:szCs w:val="18"/>
        </w:rPr>
        <w:t>generation</w:t>
      </w:r>
      <w:r w:rsidRPr="005F0999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(</w:t>
      </w:r>
      <w:r w:rsidRPr="007A7C0E">
        <w:rPr>
          <w:rFonts w:ascii="Verdana" w:eastAsia="Malgun Gothic" w:hAnsi="Verdana" w:cs="Arial"/>
          <w:b/>
          <w:sz w:val="18"/>
          <w:szCs w:val="18"/>
        </w:rPr>
        <w:t>NLG</w:t>
      </w:r>
      <w:r w:rsidRPr="005F0999">
        <w:rPr>
          <w:rFonts w:ascii="Verdana" w:eastAsia="Malgun Gothic" w:hAnsi="Verdana" w:cs="Arial"/>
          <w:b/>
          <w:sz w:val="18"/>
          <w:szCs w:val="18"/>
          <w:lang w:val="el-GR"/>
        </w:rPr>
        <w:t xml:space="preserve">): </w:t>
      </w:r>
      <w:r w:rsidRPr="005F0999">
        <w:rPr>
          <w:rFonts w:ascii="Verdana" w:eastAsia="Malgun Gothic" w:hAnsi="Verdana" w:cs="Arial"/>
          <w:bCs/>
          <w:sz w:val="18"/>
          <w:szCs w:val="18"/>
          <w:lang w:val="el-GR"/>
        </w:rPr>
        <w:t>Χρήση ενός υπολογιστικού προγράμματος το όποιο μετατρέπει τα δεδομένα σε φυσική γλώσσα.</w:t>
      </w:r>
    </w:p>
    <w:p w14:paraId="615509FA" w14:textId="77777777" w:rsidR="005F0999" w:rsidRPr="005F0999" w:rsidRDefault="005F0999" w:rsidP="005F0999">
      <w:pPr>
        <w:jc w:val="both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EC1C58C" w14:textId="51A7ED87" w:rsidR="005F0999" w:rsidRPr="009D7581" w:rsidRDefault="005F0999" w:rsidP="009D7581">
      <w:pPr>
        <w:jc w:val="both"/>
        <w:rPr>
          <w:rFonts w:ascii="Verdana" w:eastAsia="Malgun Gothic" w:hAnsi="Verdana" w:cs="Arial"/>
          <w:b/>
          <w:sz w:val="18"/>
          <w:szCs w:val="18"/>
          <w:lang w:val="el-GR"/>
        </w:rPr>
      </w:pPr>
      <w:r w:rsidRPr="007A7C0E">
        <w:rPr>
          <w:rFonts w:ascii="Verdana" w:eastAsia="Malgun Gothic" w:hAnsi="Verdana" w:cs="Arial"/>
          <w:b/>
          <w:sz w:val="18"/>
          <w:szCs w:val="18"/>
        </w:rPr>
        <w:t>Natural</w:t>
      </w:r>
      <w:r w:rsidRPr="009D7581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r w:rsidRPr="007A7C0E">
        <w:rPr>
          <w:rFonts w:ascii="Verdana" w:eastAsia="Malgun Gothic" w:hAnsi="Verdana" w:cs="Arial"/>
          <w:b/>
          <w:sz w:val="18"/>
          <w:szCs w:val="18"/>
        </w:rPr>
        <w:t>language</w:t>
      </w:r>
      <w:r w:rsidRPr="009D7581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r w:rsidRPr="007A7C0E">
        <w:rPr>
          <w:rFonts w:ascii="Verdana" w:eastAsia="Malgun Gothic" w:hAnsi="Verdana" w:cs="Arial"/>
          <w:b/>
          <w:sz w:val="18"/>
          <w:szCs w:val="18"/>
        </w:rPr>
        <w:t>processing</w:t>
      </w:r>
      <w:r w:rsidRPr="009D7581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(</w:t>
      </w:r>
      <w:r w:rsidRPr="007A7C0E">
        <w:rPr>
          <w:rFonts w:ascii="Verdana" w:eastAsia="Malgun Gothic" w:hAnsi="Verdana" w:cs="Arial"/>
          <w:b/>
          <w:sz w:val="18"/>
          <w:szCs w:val="18"/>
        </w:rPr>
        <w:t>NLP</w:t>
      </w:r>
      <w:r w:rsidRPr="009D7581">
        <w:rPr>
          <w:rFonts w:ascii="Verdana" w:eastAsia="Malgun Gothic" w:hAnsi="Verdana" w:cs="Arial"/>
          <w:b/>
          <w:sz w:val="18"/>
          <w:szCs w:val="18"/>
          <w:lang w:val="el-GR"/>
        </w:rPr>
        <w:t xml:space="preserve">): </w:t>
      </w:r>
      <w:r w:rsidR="009D7581" w:rsidRPr="009D7581">
        <w:rPr>
          <w:rFonts w:ascii="Verdana" w:eastAsia="Malgun Gothic" w:hAnsi="Verdana" w:cs="Arial"/>
          <w:bCs/>
          <w:sz w:val="18"/>
          <w:szCs w:val="18"/>
          <w:lang w:val="el-GR"/>
        </w:rPr>
        <w:t>Χρήση ενός υπολογιστικού προγράμματος το όποιο κατανοεί (αναγνωρίζει) την ανθρώπινη γλώσσα (ομιλία).</w:t>
      </w:r>
      <w:r w:rsidR="009D7581" w:rsidRPr="009D7581">
        <w:rPr>
          <w:rFonts w:ascii="Verdana" w:eastAsia="Malgun Gothic" w:hAnsi="Verdana" w:cs="Arial"/>
          <w:bCs/>
          <w:sz w:val="18"/>
          <w:szCs w:val="18"/>
          <w:lang w:val="el-GR"/>
        </w:rPr>
        <w:cr/>
      </w:r>
    </w:p>
    <w:p w14:paraId="6EB470B6" w14:textId="0D06CE56" w:rsidR="005F0999" w:rsidRPr="009D7581" w:rsidRDefault="005F0999" w:rsidP="009D7581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b/>
          <w:bCs/>
          <w:sz w:val="18"/>
          <w:szCs w:val="18"/>
        </w:rPr>
        <w:t>Sales</w:t>
      </w:r>
      <w:r w:rsidRPr="009D7581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b/>
          <w:bCs/>
          <w:sz w:val="18"/>
          <w:szCs w:val="18"/>
        </w:rPr>
        <w:t>via</w:t>
      </w:r>
      <w:r w:rsidRPr="009D7581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b/>
          <w:bCs/>
          <w:sz w:val="18"/>
          <w:szCs w:val="18"/>
        </w:rPr>
        <w:t>website</w:t>
      </w:r>
      <w:r w:rsidRPr="009D7581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 (</w:t>
      </w:r>
      <w:r>
        <w:rPr>
          <w:rFonts w:ascii="Verdana" w:eastAsia="Malgun Gothic" w:hAnsi="Verdana" w:cs="Arial"/>
          <w:b/>
          <w:bCs/>
          <w:sz w:val="18"/>
          <w:szCs w:val="18"/>
        </w:rPr>
        <w:t>web</w:t>
      </w:r>
      <w:r w:rsidRPr="009D7581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b/>
          <w:bCs/>
          <w:sz w:val="18"/>
          <w:szCs w:val="18"/>
        </w:rPr>
        <w:t>sales</w:t>
      </w:r>
      <w:r w:rsidRPr="009D7581">
        <w:rPr>
          <w:rFonts w:ascii="Verdana" w:eastAsia="Malgun Gothic" w:hAnsi="Verdana" w:cs="Arial"/>
          <w:b/>
          <w:bCs/>
          <w:sz w:val="18"/>
          <w:szCs w:val="18"/>
          <w:lang w:val="el-GR"/>
        </w:rPr>
        <w:t xml:space="preserve">): </w:t>
      </w:r>
      <w:r w:rsidR="009D7581" w:rsidRPr="009D7581">
        <w:rPr>
          <w:rFonts w:ascii="Verdana" w:eastAsia="Malgun Gothic" w:hAnsi="Verdana" w:cs="Arial"/>
          <w:sz w:val="18"/>
          <w:szCs w:val="18"/>
          <w:lang w:val="el-GR"/>
        </w:rPr>
        <w:t xml:space="preserve">Μέρος των δραστηριοτήτων ηλεκτρονικού εμπορίου, οι πωλήσεις μέσω ιστότοπου (εφαρμογή Ιστού) είναι παραγγελίες που γίνονται σε ένα </w:t>
      </w:r>
      <w:r w:rsidR="009D7581" w:rsidRPr="009D7581">
        <w:rPr>
          <w:rFonts w:ascii="Verdana" w:eastAsia="Malgun Gothic" w:hAnsi="Verdana" w:cs="Arial"/>
          <w:sz w:val="18"/>
          <w:szCs w:val="18"/>
        </w:rPr>
        <w:t>online</w:t>
      </w:r>
      <w:r w:rsidR="009D7581" w:rsidRPr="009D7581">
        <w:rPr>
          <w:rFonts w:ascii="Verdana" w:eastAsia="Malgun Gothic" w:hAnsi="Verdana" w:cs="Arial"/>
          <w:sz w:val="18"/>
          <w:szCs w:val="18"/>
          <w:lang w:val="el-GR"/>
        </w:rPr>
        <w:t xml:space="preserve"> κατάστημα ή που συμπληρώνονται και αποστέλλονται με ηλεκτρονική μορφή στο διαδίκτυο ή σε εξωδίκτυο.</w:t>
      </w:r>
    </w:p>
    <w:p w14:paraId="353A94D3" w14:textId="77777777" w:rsidR="009D7581" w:rsidRPr="009D7581" w:rsidRDefault="009D7581" w:rsidP="009D7581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5E5A000" w14:textId="573540ED" w:rsidR="005F0999" w:rsidRPr="009D7581" w:rsidRDefault="005F0999" w:rsidP="009D7581">
      <w:pPr>
        <w:jc w:val="both"/>
        <w:rPr>
          <w:rFonts w:ascii="Verdana" w:eastAsia="Malgun Gothic" w:hAnsi="Verdana" w:cs="Arial"/>
          <w:b/>
          <w:bCs/>
          <w:sz w:val="18"/>
          <w:szCs w:val="18"/>
          <w:lang w:val="el-GR"/>
        </w:rPr>
      </w:pPr>
      <w:r w:rsidRPr="007A7C0E">
        <w:rPr>
          <w:rFonts w:ascii="Verdana" w:eastAsia="Malgun Gothic" w:hAnsi="Verdana" w:cs="Arial"/>
          <w:b/>
          <w:sz w:val="18"/>
          <w:szCs w:val="18"/>
        </w:rPr>
        <w:t>Speech</w:t>
      </w:r>
      <w:r w:rsidRPr="009D7581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r w:rsidRPr="007A7C0E">
        <w:rPr>
          <w:rFonts w:ascii="Verdana" w:eastAsia="Malgun Gothic" w:hAnsi="Verdana" w:cs="Arial"/>
          <w:b/>
          <w:sz w:val="18"/>
          <w:szCs w:val="18"/>
        </w:rPr>
        <w:t>Recognition</w:t>
      </w:r>
      <w:r w:rsidRPr="009D7581">
        <w:rPr>
          <w:rFonts w:ascii="Verdana" w:eastAsia="Malgun Gothic" w:hAnsi="Verdana" w:cs="Arial"/>
          <w:b/>
          <w:sz w:val="18"/>
          <w:szCs w:val="18"/>
          <w:lang w:val="el-GR"/>
        </w:rPr>
        <w:t>:</w:t>
      </w:r>
      <w:r w:rsidRPr="009D7581">
        <w:rPr>
          <w:rFonts w:ascii="Verdana" w:eastAsia="Malgun Gothic" w:hAnsi="Verdana" w:cs="Arial"/>
          <w:b/>
          <w:sz w:val="18"/>
          <w:szCs w:val="18"/>
          <w:lang w:val="el-GR"/>
        </w:rPr>
        <w:tab/>
      </w:r>
      <w:r w:rsidR="009D7581" w:rsidRPr="009D7581">
        <w:rPr>
          <w:rFonts w:ascii="Verdana" w:eastAsia="Malgun Gothic" w:hAnsi="Verdana" w:cs="Arial"/>
          <w:bCs/>
          <w:sz w:val="18"/>
          <w:szCs w:val="18"/>
          <w:lang w:val="el-GR"/>
        </w:rPr>
        <w:t>Η αναγνώριση ομιλίας είναι η ικανότητα ενός μηχανήματος ή προγράμματος να αναγνωρίζει λέξεις και φράσεις στην ομιλούμενη γλώσσα και να τις μετατρέπει σε αναγνώσιμη από μηχανή μορφή.</w:t>
      </w:r>
    </w:p>
    <w:p w14:paraId="0D299A7F" w14:textId="77777777" w:rsidR="00952758" w:rsidRPr="003F6CEA" w:rsidRDefault="00952758" w:rsidP="001E47E3">
      <w:pPr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</w:p>
    <w:p w14:paraId="24CD4AE9" w14:textId="77777777" w:rsidR="009D7581" w:rsidRPr="003F6CEA" w:rsidRDefault="009D7581" w:rsidP="001E47E3">
      <w:pPr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</w:p>
    <w:p w14:paraId="7230EF96" w14:textId="77777777" w:rsidR="001E47E3" w:rsidRDefault="001E47E3" w:rsidP="001E47E3">
      <w:pPr>
        <w:rPr>
          <w:rFonts w:ascii="Verdana" w:hAnsi="Verdana"/>
          <w:i/>
          <w:sz w:val="18"/>
          <w:szCs w:val="18"/>
          <w:lang w:val="el-GR"/>
        </w:rPr>
      </w:pPr>
      <w:r w:rsidRPr="0089013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89013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A644D52" w14:textId="77777777" w:rsidR="001E47E3" w:rsidRPr="00890130" w:rsidRDefault="001E47E3" w:rsidP="001E47E3">
      <w:pPr>
        <w:rPr>
          <w:rFonts w:ascii="Verdana" w:hAnsi="Verdana"/>
          <w:sz w:val="18"/>
          <w:szCs w:val="18"/>
          <w:lang w:val="el-GR"/>
        </w:rPr>
      </w:pPr>
      <w:r w:rsidRPr="0089013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2" w:history="1">
        <w:r w:rsidRPr="00890130">
          <w:rPr>
            <w:rStyle w:val="Hyperlink"/>
            <w:rFonts w:ascii="Verdana" w:hAnsi="Verdana"/>
            <w:sz w:val="18"/>
            <w:szCs w:val="18"/>
            <w:lang w:val="el-GR"/>
          </w:rPr>
          <w:t>Κοινωνία της Πληροφορίας</w:t>
        </w:r>
      </w:hyperlink>
    </w:p>
    <w:p w14:paraId="54F71822" w14:textId="77777777" w:rsidR="001E47E3" w:rsidRPr="00890130" w:rsidRDefault="001E47E3" w:rsidP="001E47E3">
      <w:pPr>
        <w:rPr>
          <w:rFonts w:ascii="Verdana" w:hAnsi="Verdana"/>
          <w:sz w:val="18"/>
          <w:szCs w:val="18"/>
          <w:lang w:val="el-GR"/>
        </w:rPr>
      </w:pPr>
      <w:hyperlink r:id="rId13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 w:rsidRPr="0089013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89013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2665A5EC" w14:textId="70375EC8" w:rsidR="001E47E3" w:rsidRPr="00B47513" w:rsidRDefault="00EA2190" w:rsidP="001E47E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hyperlink r:id="rId14" w:tooltip="Πληροφοριακό Γράφημα " w:history="1">
        <w:r w:rsidR="00B47513" w:rsidRPr="00EA2190">
          <w:rPr>
            <w:rStyle w:val="Hyperlink"/>
            <w:rFonts w:ascii="Verdana" w:hAnsi="Verdana"/>
            <w:sz w:val="18"/>
            <w:szCs w:val="18"/>
            <w:lang w:val="el-GR"/>
          </w:rPr>
          <w:t>Πληροφοριακό Γράφημα</w:t>
        </w:r>
      </w:hyperlink>
      <w:r w:rsidR="00B47513">
        <w:rPr>
          <w:lang w:val="el-GR"/>
        </w:rPr>
        <w:t xml:space="preserve"> (</w:t>
      </w:r>
      <w:hyperlink r:id="rId15" w:history="1">
        <w:r w:rsidR="00402806" w:rsidRPr="00402806">
          <w:rPr>
            <w:rStyle w:val="Hyperlink"/>
            <w:rFonts w:ascii="Verdana" w:eastAsia="Malgun Gothic" w:hAnsi="Verdana" w:cs="Arial"/>
            <w:bCs/>
            <w:sz w:val="18"/>
            <w:szCs w:val="18"/>
          </w:rPr>
          <w:t>Infographic</w:t>
        </w:r>
      </w:hyperlink>
      <w:r w:rsidR="00B47513">
        <w:rPr>
          <w:rStyle w:val="Hyperlink"/>
          <w:rFonts w:ascii="Verdana" w:eastAsia="Malgun Gothic" w:hAnsi="Verdana" w:cs="Arial"/>
          <w:bCs/>
          <w:sz w:val="18"/>
          <w:szCs w:val="18"/>
          <w:lang w:val="el-GR"/>
        </w:rPr>
        <w:t>)</w:t>
      </w:r>
      <w:r w:rsidR="00402806" w:rsidRPr="00B47513"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</w:t>
      </w:r>
    </w:p>
    <w:p w14:paraId="0216F771" w14:textId="717046D9" w:rsidR="00402806" w:rsidRDefault="00A87171" w:rsidP="001E47E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hyperlink r:id="rId16" w:history="1">
        <w:r w:rsidRPr="00A87171">
          <w:rPr>
            <w:rStyle w:val="Hyperlink"/>
            <w:rFonts w:ascii="Verdana" w:eastAsia="Malgun Gothic" w:hAnsi="Verdana" w:cs="Arial"/>
            <w:bCs/>
            <w:sz w:val="18"/>
            <w:szCs w:val="18"/>
            <w:lang w:val="el-GR"/>
          </w:rPr>
          <w:t>Μεθοδολογικές Πληροφορίες</w:t>
        </w:r>
      </w:hyperlink>
      <w:r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</w:t>
      </w:r>
    </w:p>
    <w:p w14:paraId="5DB33714" w14:textId="40BEE014" w:rsidR="00312793" w:rsidRPr="00312793" w:rsidRDefault="00312793" w:rsidP="001E47E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hyperlink r:id="rId17" w:history="1">
        <w:r w:rsidRPr="00312793">
          <w:rPr>
            <w:rStyle w:val="Hyperlink"/>
            <w:rFonts w:ascii="Verdana" w:eastAsia="Malgun Gothic" w:hAnsi="Verdana" w:cs="Arial"/>
            <w:bCs/>
            <w:sz w:val="18"/>
            <w:szCs w:val="18"/>
            <w:lang w:val="el-GR"/>
          </w:rPr>
          <w:t xml:space="preserve">Συνοπτικά </w:t>
        </w:r>
        <w:r w:rsidR="00EA2190">
          <w:rPr>
            <w:rStyle w:val="Hyperlink"/>
            <w:rFonts w:ascii="Verdana" w:eastAsia="Malgun Gothic" w:hAnsi="Verdana" w:cs="Arial"/>
            <w:bCs/>
            <w:sz w:val="18"/>
            <w:szCs w:val="18"/>
            <w:lang w:val="el-GR"/>
          </w:rPr>
          <w:t>Α</w:t>
        </w:r>
        <w:r w:rsidRPr="00312793">
          <w:rPr>
            <w:rStyle w:val="Hyperlink"/>
            <w:rFonts w:ascii="Verdana" w:eastAsia="Malgun Gothic" w:hAnsi="Verdana" w:cs="Arial"/>
            <w:bCs/>
            <w:sz w:val="18"/>
            <w:szCs w:val="18"/>
            <w:lang w:val="el-GR"/>
          </w:rPr>
          <w:t>ποτελέσματα</w:t>
        </w:r>
      </w:hyperlink>
      <w:r>
        <w:rPr>
          <w:rFonts w:ascii="Verdana" w:eastAsia="Malgun Gothic" w:hAnsi="Verdana" w:cs="Arial"/>
          <w:bCs/>
          <w:sz w:val="18"/>
          <w:szCs w:val="18"/>
          <w:lang w:val="el-GR"/>
        </w:rPr>
        <w:t xml:space="preserve"> </w:t>
      </w:r>
    </w:p>
    <w:p w14:paraId="2E83DBDB" w14:textId="77777777" w:rsidR="00A87171" w:rsidRPr="00890130" w:rsidRDefault="00A87171" w:rsidP="001E47E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249B12D9" w14:textId="70D28A4C" w:rsidR="001E47E3" w:rsidRPr="00890130" w:rsidRDefault="001E47E3" w:rsidP="001E47E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lang w:val="el-GR"/>
        </w:rPr>
        <w:t>Τα</w:t>
      </w:r>
      <w:r w:rsidRPr="00890130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στοιχεία 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 xml:space="preserve">μέχρι το 2020 </w:t>
      </w:r>
      <w:r w:rsidRPr="00890130">
        <w:rPr>
          <w:rFonts w:ascii="Verdana" w:eastAsia="Malgun Gothic" w:hAnsi="Verdana" w:cs="Arial"/>
          <w:b/>
          <w:sz w:val="18"/>
          <w:szCs w:val="18"/>
          <w:lang w:val="el-GR"/>
        </w:rPr>
        <w:t xml:space="preserve">είναι διαθέσιμα 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 xml:space="preserve">σε μορφή </w:t>
      </w:r>
      <w:r w:rsidR="00E770D3">
        <w:rPr>
          <w:rFonts w:ascii="Verdana" w:eastAsia="Malgun Gothic" w:hAnsi="Verdana" w:cs="Arial"/>
          <w:b/>
          <w:sz w:val="18"/>
          <w:szCs w:val="18"/>
        </w:rPr>
        <w:t>E</w:t>
      </w:r>
      <w:r>
        <w:rPr>
          <w:rFonts w:ascii="Verdana" w:eastAsia="Malgun Gothic" w:hAnsi="Verdana" w:cs="Arial"/>
          <w:b/>
          <w:sz w:val="18"/>
          <w:szCs w:val="18"/>
        </w:rPr>
        <w:t>xcel</w:t>
      </w:r>
      <w:r w:rsidRPr="00F62AC4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στο</w:t>
      </w:r>
      <w:r w:rsidR="00E770D3" w:rsidRPr="00E770D3"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r w:rsidR="00E770D3">
        <w:rPr>
          <w:rFonts w:ascii="Verdana" w:eastAsia="Malgun Gothic" w:hAnsi="Verdana" w:cs="Arial"/>
          <w:b/>
          <w:sz w:val="18"/>
          <w:szCs w:val="18"/>
          <w:lang w:val="el-GR"/>
        </w:rPr>
        <w:t>μέρος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 xml:space="preserve"> </w:t>
      </w:r>
      <w:hyperlink r:id="rId18" w:history="1">
        <w:r w:rsidRPr="0089013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890130">
        <w:rPr>
          <w:rFonts w:ascii="Verdana" w:hAnsi="Verdana"/>
          <w:sz w:val="18"/>
          <w:szCs w:val="18"/>
          <w:lang w:val="el-GR"/>
        </w:rPr>
        <w:t xml:space="preserve"> </w:t>
      </w:r>
    </w:p>
    <w:p w14:paraId="5984FB00" w14:textId="77777777" w:rsidR="001E47E3" w:rsidRPr="00F62AC4" w:rsidRDefault="001E47E3" w:rsidP="001E47E3">
      <w:pPr>
        <w:ind w:right="-79"/>
        <w:jc w:val="both"/>
        <w:rPr>
          <w:rFonts w:ascii="Verdana" w:hAnsi="Verdana"/>
          <w:iCs/>
          <w:sz w:val="18"/>
          <w:szCs w:val="18"/>
          <w:lang w:val="el-GR"/>
        </w:rPr>
      </w:pPr>
    </w:p>
    <w:p w14:paraId="5D9E03BE" w14:textId="77777777" w:rsidR="001E47E3" w:rsidRPr="00890130" w:rsidRDefault="001E47E3" w:rsidP="001E47E3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890130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890130">
        <w:rPr>
          <w:rFonts w:ascii="Verdana" w:hAnsi="Verdana"/>
          <w:sz w:val="18"/>
          <w:szCs w:val="18"/>
          <w:lang w:val="el-GR"/>
        </w:rPr>
        <w:t xml:space="preserve"> </w:t>
      </w:r>
    </w:p>
    <w:p w14:paraId="12027A93" w14:textId="77777777" w:rsidR="001E47E3" w:rsidRPr="000304EB" w:rsidRDefault="001E47E3" w:rsidP="001E47E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0304EB">
        <w:rPr>
          <w:rFonts w:ascii="Verdana" w:eastAsia="Malgun Gothic" w:hAnsi="Verdana" w:cs="Arial"/>
          <w:sz w:val="18"/>
          <w:szCs w:val="18"/>
          <w:lang w:val="el-GR"/>
        </w:rPr>
        <w:t xml:space="preserve">Κωνσταντίνος Μηνά: </w:t>
      </w:r>
      <w:proofErr w:type="spellStart"/>
      <w:r w:rsidRPr="000304EB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0304EB">
        <w:rPr>
          <w:rFonts w:ascii="Verdana" w:eastAsia="Malgun Gothic" w:hAnsi="Verdana" w:cs="Arial"/>
          <w:sz w:val="18"/>
          <w:szCs w:val="18"/>
          <w:lang w:val="el-GR"/>
        </w:rPr>
        <w:t xml:space="preserve">:+35722602112, </w:t>
      </w:r>
      <w:proofErr w:type="spellStart"/>
      <w:r w:rsidRPr="000304EB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0304EB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0304EB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0304EB">
        <w:rPr>
          <w:rFonts w:ascii="Verdana" w:eastAsia="Malgun Gothic" w:hAnsi="Verdana" w:cs="Arial"/>
          <w:sz w:val="18"/>
          <w:szCs w:val="18"/>
          <w:lang w:val="el-GR"/>
        </w:rPr>
        <w:t xml:space="preserve">.: </w:t>
      </w:r>
      <w:hyperlink r:id="rId19" w:history="1">
        <w:r w:rsidRPr="000304EB">
          <w:rPr>
            <w:rFonts w:ascii="Verdana" w:eastAsia="Malgun Gothic" w:hAnsi="Verdana" w:cs="Arial"/>
            <w:color w:val="0000FF"/>
            <w:sz w:val="18"/>
            <w:szCs w:val="18"/>
            <w:u w:val="single"/>
            <w:lang w:val="el-GR"/>
          </w:rPr>
          <w:t>cmina@cystat.mof.gov.cy</w:t>
        </w:r>
      </w:hyperlink>
    </w:p>
    <w:p w14:paraId="33D2E1E4" w14:textId="3C30B5F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C222F8" w14:textId="39C45431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DEBC4F" w14:textId="6AEAFAB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3A20EE8" w14:textId="0B22CA01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D4908" w14:textId="77777777" w:rsidR="0025318E" w:rsidRDefault="0025318E" w:rsidP="00FB398F">
      <w:r>
        <w:separator/>
      </w:r>
    </w:p>
  </w:endnote>
  <w:endnote w:type="continuationSeparator" w:id="0">
    <w:p w14:paraId="50862953" w14:textId="77777777" w:rsidR="0025318E" w:rsidRDefault="0025318E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0D43BA">
      <w:rPr>
        <w:rFonts w:ascii="Arial" w:hAnsi="Arial" w:cs="Arial"/>
        <w:i/>
        <w:iCs/>
        <w:sz w:val="16"/>
        <w:szCs w:val="16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A6371" w14:textId="77777777" w:rsidR="0025318E" w:rsidRDefault="0025318E" w:rsidP="00FB398F">
      <w:r>
        <w:separator/>
      </w:r>
    </w:p>
  </w:footnote>
  <w:footnote w:type="continuationSeparator" w:id="0">
    <w:p w14:paraId="004EC205" w14:textId="77777777" w:rsidR="0025318E" w:rsidRDefault="0025318E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5DBCA6CA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5D84204"/>
    <w:multiLevelType w:val="hybridMultilevel"/>
    <w:tmpl w:val="E98ACF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5"/>
  </w:num>
  <w:num w:numId="2" w16cid:durableId="894270092">
    <w:abstractNumId w:val="1"/>
  </w:num>
  <w:num w:numId="3" w16cid:durableId="593363562">
    <w:abstractNumId w:val="2"/>
  </w:num>
  <w:num w:numId="4" w16cid:durableId="1130973206">
    <w:abstractNumId w:val="4"/>
  </w:num>
  <w:num w:numId="5" w16cid:durableId="994458099">
    <w:abstractNumId w:val="0"/>
  </w:num>
  <w:num w:numId="6" w16cid:durableId="1395081476">
    <w:abstractNumId w:val="6"/>
  </w:num>
  <w:num w:numId="7" w16cid:durableId="240339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0F2"/>
    <w:rsid w:val="00013E40"/>
    <w:rsid w:val="000161B1"/>
    <w:rsid w:val="00024F37"/>
    <w:rsid w:val="00025A39"/>
    <w:rsid w:val="00027853"/>
    <w:rsid w:val="00030E18"/>
    <w:rsid w:val="00031D32"/>
    <w:rsid w:val="00035E0D"/>
    <w:rsid w:val="0003603D"/>
    <w:rsid w:val="00045088"/>
    <w:rsid w:val="00045495"/>
    <w:rsid w:val="00045A06"/>
    <w:rsid w:val="00050391"/>
    <w:rsid w:val="00052E8B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2D90"/>
    <w:rsid w:val="000C4E72"/>
    <w:rsid w:val="000D1E7A"/>
    <w:rsid w:val="000D43BA"/>
    <w:rsid w:val="000E24B1"/>
    <w:rsid w:val="000E2735"/>
    <w:rsid w:val="000E2A1D"/>
    <w:rsid w:val="000E32D6"/>
    <w:rsid w:val="000E4CB0"/>
    <w:rsid w:val="000E57F2"/>
    <w:rsid w:val="000E72A7"/>
    <w:rsid w:val="000F1162"/>
    <w:rsid w:val="000F3467"/>
    <w:rsid w:val="000F38DE"/>
    <w:rsid w:val="000F43C0"/>
    <w:rsid w:val="000F532A"/>
    <w:rsid w:val="000F5D6C"/>
    <w:rsid w:val="00106852"/>
    <w:rsid w:val="00110F9D"/>
    <w:rsid w:val="00114A67"/>
    <w:rsid w:val="0012480C"/>
    <w:rsid w:val="001253B6"/>
    <w:rsid w:val="00125589"/>
    <w:rsid w:val="001262C3"/>
    <w:rsid w:val="00127320"/>
    <w:rsid w:val="00127456"/>
    <w:rsid w:val="001274DC"/>
    <w:rsid w:val="001312D8"/>
    <w:rsid w:val="0013137B"/>
    <w:rsid w:val="00133B95"/>
    <w:rsid w:val="00134E2C"/>
    <w:rsid w:val="00144DD2"/>
    <w:rsid w:val="0015118B"/>
    <w:rsid w:val="001519C3"/>
    <w:rsid w:val="001519CE"/>
    <w:rsid w:val="00157D16"/>
    <w:rsid w:val="00161CF3"/>
    <w:rsid w:val="00162C00"/>
    <w:rsid w:val="001639EF"/>
    <w:rsid w:val="0016589F"/>
    <w:rsid w:val="001712CF"/>
    <w:rsid w:val="0017769A"/>
    <w:rsid w:val="00183DFC"/>
    <w:rsid w:val="00184384"/>
    <w:rsid w:val="00186717"/>
    <w:rsid w:val="00187784"/>
    <w:rsid w:val="00187FFC"/>
    <w:rsid w:val="0019391C"/>
    <w:rsid w:val="001A2018"/>
    <w:rsid w:val="001A7F82"/>
    <w:rsid w:val="001B2C39"/>
    <w:rsid w:val="001B3675"/>
    <w:rsid w:val="001B5E10"/>
    <w:rsid w:val="001B6AB3"/>
    <w:rsid w:val="001B73D5"/>
    <w:rsid w:val="001C0681"/>
    <w:rsid w:val="001C62B3"/>
    <w:rsid w:val="001C6B5E"/>
    <w:rsid w:val="001C7C8C"/>
    <w:rsid w:val="001D0D6A"/>
    <w:rsid w:val="001D20A4"/>
    <w:rsid w:val="001E00D1"/>
    <w:rsid w:val="001E0E58"/>
    <w:rsid w:val="001E14F3"/>
    <w:rsid w:val="001E15ED"/>
    <w:rsid w:val="001E47E3"/>
    <w:rsid w:val="001E61AA"/>
    <w:rsid w:val="0020309E"/>
    <w:rsid w:val="00210B58"/>
    <w:rsid w:val="00222423"/>
    <w:rsid w:val="00225B28"/>
    <w:rsid w:val="00225F10"/>
    <w:rsid w:val="00226891"/>
    <w:rsid w:val="00230D9B"/>
    <w:rsid w:val="002313AC"/>
    <w:rsid w:val="00235FB2"/>
    <w:rsid w:val="00237BC1"/>
    <w:rsid w:val="002430B4"/>
    <w:rsid w:val="002447D0"/>
    <w:rsid w:val="002454C5"/>
    <w:rsid w:val="00245599"/>
    <w:rsid w:val="00245E19"/>
    <w:rsid w:val="00246AEB"/>
    <w:rsid w:val="00250005"/>
    <w:rsid w:val="0025164B"/>
    <w:rsid w:val="0025254F"/>
    <w:rsid w:val="0025318E"/>
    <w:rsid w:val="0025566D"/>
    <w:rsid w:val="0025595C"/>
    <w:rsid w:val="00257149"/>
    <w:rsid w:val="002576E7"/>
    <w:rsid w:val="00260357"/>
    <w:rsid w:val="00264F04"/>
    <w:rsid w:val="00267554"/>
    <w:rsid w:val="0028338F"/>
    <w:rsid w:val="002915C4"/>
    <w:rsid w:val="00297E6B"/>
    <w:rsid w:val="002A15E3"/>
    <w:rsid w:val="002A1CE2"/>
    <w:rsid w:val="002A1D1C"/>
    <w:rsid w:val="002A4D64"/>
    <w:rsid w:val="002B4969"/>
    <w:rsid w:val="002B6554"/>
    <w:rsid w:val="002D05F0"/>
    <w:rsid w:val="002D2829"/>
    <w:rsid w:val="002D7D4A"/>
    <w:rsid w:val="002E3846"/>
    <w:rsid w:val="002E3C31"/>
    <w:rsid w:val="002E3F78"/>
    <w:rsid w:val="002F06A8"/>
    <w:rsid w:val="002F10BD"/>
    <w:rsid w:val="002F19A8"/>
    <w:rsid w:val="002F3125"/>
    <w:rsid w:val="002F382F"/>
    <w:rsid w:val="002F400C"/>
    <w:rsid w:val="002F4D76"/>
    <w:rsid w:val="002F4E97"/>
    <w:rsid w:val="002F6D26"/>
    <w:rsid w:val="0030231E"/>
    <w:rsid w:val="003042C4"/>
    <w:rsid w:val="00304CB4"/>
    <w:rsid w:val="00312793"/>
    <w:rsid w:val="00313F37"/>
    <w:rsid w:val="003141D0"/>
    <w:rsid w:val="003168C1"/>
    <w:rsid w:val="00322FBE"/>
    <w:rsid w:val="00325632"/>
    <w:rsid w:val="00327549"/>
    <w:rsid w:val="003313A9"/>
    <w:rsid w:val="003342A5"/>
    <w:rsid w:val="00334616"/>
    <w:rsid w:val="00336C36"/>
    <w:rsid w:val="00343815"/>
    <w:rsid w:val="003522BB"/>
    <w:rsid w:val="00352F6C"/>
    <w:rsid w:val="003556EA"/>
    <w:rsid w:val="0036268B"/>
    <w:rsid w:val="00386FC7"/>
    <w:rsid w:val="00390A32"/>
    <w:rsid w:val="003A1E91"/>
    <w:rsid w:val="003A40F2"/>
    <w:rsid w:val="003A50D1"/>
    <w:rsid w:val="003A600C"/>
    <w:rsid w:val="003B196D"/>
    <w:rsid w:val="003B2710"/>
    <w:rsid w:val="003B4608"/>
    <w:rsid w:val="003B5B4F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6CEA"/>
    <w:rsid w:val="003F75F6"/>
    <w:rsid w:val="00402806"/>
    <w:rsid w:val="00404670"/>
    <w:rsid w:val="00414CA0"/>
    <w:rsid w:val="00414D7E"/>
    <w:rsid w:val="00421B3D"/>
    <w:rsid w:val="00422F54"/>
    <w:rsid w:val="00431516"/>
    <w:rsid w:val="004361B3"/>
    <w:rsid w:val="0044249D"/>
    <w:rsid w:val="0044379F"/>
    <w:rsid w:val="00443F6D"/>
    <w:rsid w:val="00444FCC"/>
    <w:rsid w:val="00446FB1"/>
    <w:rsid w:val="0044744D"/>
    <w:rsid w:val="00452753"/>
    <w:rsid w:val="00453249"/>
    <w:rsid w:val="00454B95"/>
    <w:rsid w:val="0046078F"/>
    <w:rsid w:val="00463214"/>
    <w:rsid w:val="0046434D"/>
    <w:rsid w:val="004656FA"/>
    <w:rsid w:val="00470B14"/>
    <w:rsid w:val="00471D77"/>
    <w:rsid w:val="00475587"/>
    <w:rsid w:val="00480BC2"/>
    <w:rsid w:val="004845C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C6CA7"/>
    <w:rsid w:val="004D4357"/>
    <w:rsid w:val="004D4950"/>
    <w:rsid w:val="004E2393"/>
    <w:rsid w:val="004E3745"/>
    <w:rsid w:val="004E42BE"/>
    <w:rsid w:val="004E4F42"/>
    <w:rsid w:val="004E63D5"/>
    <w:rsid w:val="004E67D1"/>
    <w:rsid w:val="004F03FD"/>
    <w:rsid w:val="004F4CE8"/>
    <w:rsid w:val="004F52F0"/>
    <w:rsid w:val="004F6250"/>
    <w:rsid w:val="004F677C"/>
    <w:rsid w:val="004F6D8F"/>
    <w:rsid w:val="00505503"/>
    <w:rsid w:val="0051107B"/>
    <w:rsid w:val="00511FC2"/>
    <w:rsid w:val="00512F9C"/>
    <w:rsid w:val="00527CDB"/>
    <w:rsid w:val="005341C9"/>
    <w:rsid w:val="005369CA"/>
    <w:rsid w:val="00536DE9"/>
    <w:rsid w:val="00541E08"/>
    <w:rsid w:val="00554FE0"/>
    <w:rsid w:val="0055789A"/>
    <w:rsid w:val="00560952"/>
    <w:rsid w:val="005652D1"/>
    <w:rsid w:val="005660A0"/>
    <w:rsid w:val="00566A4F"/>
    <w:rsid w:val="00567D64"/>
    <w:rsid w:val="005978D4"/>
    <w:rsid w:val="005A23FA"/>
    <w:rsid w:val="005B2A67"/>
    <w:rsid w:val="005B3DCD"/>
    <w:rsid w:val="005B4AD4"/>
    <w:rsid w:val="005C139E"/>
    <w:rsid w:val="005C2798"/>
    <w:rsid w:val="005C36C3"/>
    <w:rsid w:val="005C56EE"/>
    <w:rsid w:val="005C59FD"/>
    <w:rsid w:val="005D1714"/>
    <w:rsid w:val="005D656F"/>
    <w:rsid w:val="005D7638"/>
    <w:rsid w:val="005F0999"/>
    <w:rsid w:val="005F12F5"/>
    <w:rsid w:val="005F3B36"/>
    <w:rsid w:val="005F7C7D"/>
    <w:rsid w:val="006044B7"/>
    <w:rsid w:val="006049BE"/>
    <w:rsid w:val="006071CE"/>
    <w:rsid w:val="006075B5"/>
    <w:rsid w:val="0061018C"/>
    <w:rsid w:val="0061094E"/>
    <w:rsid w:val="00613440"/>
    <w:rsid w:val="00613BE3"/>
    <w:rsid w:val="0062327B"/>
    <w:rsid w:val="0062738D"/>
    <w:rsid w:val="00632777"/>
    <w:rsid w:val="00633750"/>
    <w:rsid w:val="00634491"/>
    <w:rsid w:val="0063679C"/>
    <w:rsid w:val="00637055"/>
    <w:rsid w:val="00640486"/>
    <w:rsid w:val="00641D59"/>
    <w:rsid w:val="00644507"/>
    <w:rsid w:val="0064531A"/>
    <w:rsid w:val="00646880"/>
    <w:rsid w:val="00647D2A"/>
    <w:rsid w:val="006537BB"/>
    <w:rsid w:val="0065643E"/>
    <w:rsid w:val="00666DA4"/>
    <w:rsid w:val="00667E07"/>
    <w:rsid w:val="00670A47"/>
    <w:rsid w:val="00671785"/>
    <w:rsid w:val="00672BA9"/>
    <w:rsid w:val="00673005"/>
    <w:rsid w:val="006804BE"/>
    <w:rsid w:val="0068434A"/>
    <w:rsid w:val="0069008E"/>
    <w:rsid w:val="0069087E"/>
    <w:rsid w:val="006920FB"/>
    <w:rsid w:val="006925C4"/>
    <w:rsid w:val="006A02B7"/>
    <w:rsid w:val="006A0BFC"/>
    <w:rsid w:val="006A7019"/>
    <w:rsid w:val="006B407D"/>
    <w:rsid w:val="006B46D5"/>
    <w:rsid w:val="006B46F4"/>
    <w:rsid w:val="006B652E"/>
    <w:rsid w:val="006C48D3"/>
    <w:rsid w:val="006C7AF3"/>
    <w:rsid w:val="006D0B9D"/>
    <w:rsid w:val="006D6548"/>
    <w:rsid w:val="006E0E20"/>
    <w:rsid w:val="006E4256"/>
    <w:rsid w:val="006E4BBA"/>
    <w:rsid w:val="006E5F43"/>
    <w:rsid w:val="006E60A6"/>
    <w:rsid w:val="006E7BF6"/>
    <w:rsid w:val="006F0F69"/>
    <w:rsid w:val="006F116B"/>
    <w:rsid w:val="006F117F"/>
    <w:rsid w:val="006F13DF"/>
    <w:rsid w:val="006F2780"/>
    <w:rsid w:val="006F4092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34F8"/>
    <w:rsid w:val="007545AD"/>
    <w:rsid w:val="00763305"/>
    <w:rsid w:val="00763722"/>
    <w:rsid w:val="00764BC1"/>
    <w:rsid w:val="00770869"/>
    <w:rsid w:val="007738AA"/>
    <w:rsid w:val="00780A62"/>
    <w:rsid w:val="00783241"/>
    <w:rsid w:val="00784BDC"/>
    <w:rsid w:val="0078724A"/>
    <w:rsid w:val="00791013"/>
    <w:rsid w:val="00792F28"/>
    <w:rsid w:val="007935CA"/>
    <w:rsid w:val="0079543F"/>
    <w:rsid w:val="00795880"/>
    <w:rsid w:val="007A4367"/>
    <w:rsid w:val="007B0867"/>
    <w:rsid w:val="007B1AC1"/>
    <w:rsid w:val="007B5A08"/>
    <w:rsid w:val="007B693D"/>
    <w:rsid w:val="007C4CDC"/>
    <w:rsid w:val="007D6CB6"/>
    <w:rsid w:val="007E041B"/>
    <w:rsid w:val="007E199A"/>
    <w:rsid w:val="007E1AED"/>
    <w:rsid w:val="007E2415"/>
    <w:rsid w:val="007E31BA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6283"/>
    <w:rsid w:val="00867186"/>
    <w:rsid w:val="00870AF6"/>
    <w:rsid w:val="008747FD"/>
    <w:rsid w:val="00877452"/>
    <w:rsid w:val="00881268"/>
    <w:rsid w:val="0088394A"/>
    <w:rsid w:val="008860BD"/>
    <w:rsid w:val="00887399"/>
    <w:rsid w:val="0088779E"/>
    <w:rsid w:val="008909ED"/>
    <w:rsid w:val="008912AF"/>
    <w:rsid w:val="00892114"/>
    <w:rsid w:val="00892CB9"/>
    <w:rsid w:val="008935CB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10F25"/>
    <w:rsid w:val="00914A23"/>
    <w:rsid w:val="0092404B"/>
    <w:rsid w:val="00927653"/>
    <w:rsid w:val="00930754"/>
    <w:rsid w:val="0093211E"/>
    <w:rsid w:val="00934F68"/>
    <w:rsid w:val="009355AC"/>
    <w:rsid w:val="00935F38"/>
    <w:rsid w:val="00937586"/>
    <w:rsid w:val="00947889"/>
    <w:rsid w:val="009478BD"/>
    <w:rsid w:val="00952758"/>
    <w:rsid w:val="00953AF5"/>
    <w:rsid w:val="00960E98"/>
    <w:rsid w:val="00963A82"/>
    <w:rsid w:val="00967685"/>
    <w:rsid w:val="00972912"/>
    <w:rsid w:val="00976D1F"/>
    <w:rsid w:val="00981C81"/>
    <w:rsid w:val="009A2D24"/>
    <w:rsid w:val="009A456C"/>
    <w:rsid w:val="009A6993"/>
    <w:rsid w:val="009B00E0"/>
    <w:rsid w:val="009B292A"/>
    <w:rsid w:val="009B76D5"/>
    <w:rsid w:val="009C165D"/>
    <w:rsid w:val="009C2C8F"/>
    <w:rsid w:val="009C3CEA"/>
    <w:rsid w:val="009C583D"/>
    <w:rsid w:val="009D1DA6"/>
    <w:rsid w:val="009D2611"/>
    <w:rsid w:val="009D7581"/>
    <w:rsid w:val="009D79D2"/>
    <w:rsid w:val="009E247C"/>
    <w:rsid w:val="009E2774"/>
    <w:rsid w:val="009E31BA"/>
    <w:rsid w:val="009F0528"/>
    <w:rsid w:val="009F0806"/>
    <w:rsid w:val="009F233B"/>
    <w:rsid w:val="009F627B"/>
    <w:rsid w:val="00A05D16"/>
    <w:rsid w:val="00A0659F"/>
    <w:rsid w:val="00A079BA"/>
    <w:rsid w:val="00A13281"/>
    <w:rsid w:val="00A14BD8"/>
    <w:rsid w:val="00A14E8C"/>
    <w:rsid w:val="00A16A13"/>
    <w:rsid w:val="00A20C70"/>
    <w:rsid w:val="00A33875"/>
    <w:rsid w:val="00A360A1"/>
    <w:rsid w:val="00A402B3"/>
    <w:rsid w:val="00A544B7"/>
    <w:rsid w:val="00A618CF"/>
    <w:rsid w:val="00A62770"/>
    <w:rsid w:val="00A62EEB"/>
    <w:rsid w:val="00A63B75"/>
    <w:rsid w:val="00A660FF"/>
    <w:rsid w:val="00A73395"/>
    <w:rsid w:val="00A771E3"/>
    <w:rsid w:val="00A82B4C"/>
    <w:rsid w:val="00A87171"/>
    <w:rsid w:val="00A93A4C"/>
    <w:rsid w:val="00A94D5D"/>
    <w:rsid w:val="00AA1D9B"/>
    <w:rsid w:val="00AA24C7"/>
    <w:rsid w:val="00AA2543"/>
    <w:rsid w:val="00AA3804"/>
    <w:rsid w:val="00AA55C2"/>
    <w:rsid w:val="00AB0ACA"/>
    <w:rsid w:val="00AB1878"/>
    <w:rsid w:val="00AB1D41"/>
    <w:rsid w:val="00AC170A"/>
    <w:rsid w:val="00AC4F60"/>
    <w:rsid w:val="00AC5E9A"/>
    <w:rsid w:val="00AC704B"/>
    <w:rsid w:val="00AD553E"/>
    <w:rsid w:val="00AD5848"/>
    <w:rsid w:val="00AE5ADA"/>
    <w:rsid w:val="00AF6145"/>
    <w:rsid w:val="00B01386"/>
    <w:rsid w:val="00B01915"/>
    <w:rsid w:val="00B01BB5"/>
    <w:rsid w:val="00B026CC"/>
    <w:rsid w:val="00B04AF4"/>
    <w:rsid w:val="00B05214"/>
    <w:rsid w:val="00B30D97"/>
    <w:rsid w:val="00B31074"/>
    <w:rsid w:val="00B3181A"/>
    <w:rsid w:val="00B35A7C"/>
    <w:rsid w:val="00B44ECD"/>
    <w:rsid w:val="00B450D1"/>
    <w:rsid w:val="00B47513"/>
    <w:rsid w:val="00B53D47"/>
    <w:rsid w:val="00B54A25"/>
    <w:rsid w:val="00B618C3"/>
    <w:rsid w:val="00B63652"/>
    <w:rsid w:val="00B65079"/>
    <w:rsid w:val="00B668B0"/>
    <w:rsid w:val="00B70F5C"/>
    <w:rsid w:val="00B71873"/>
    <w:rsid w:val="00B75AE5"/>
    <w:rsid w:val="00B770FD"/>
    <w:rsid w:val="00B800C0"/>
    <w:rsid w:val="00B8132B"/>
    <w:rsid w:val="00B84C5A"/>
    <w:rsid w:val="00B858F5"/>
    <w:rsid w:val="00B93668"/>
    <w:rsid w:val="00BA38AF"/>
    <w:rsid w:val="00BA68C6"/>
    <w:rsid w:val="00BA7446"/>
    <w:rsid w:val="00BB12F1"/>
    <w:rsid w:val="00BB276E"/>
    <w:rsid w:val="00BB3FEE"/>
    <w:rsid w:val="00BB5EB0"/>
    <w:rsid w:val="00BC245A"/>
    <w:rsid w:val="00BD16FA"/>
    <w:rsid w:val="00BD41C3"/>
    <w:rsid w:val="00BD488B"/>
    <w:rsid w:val="00BD7CCC"/>
    <w:rsid w:val="00BE002A"/>
    <w:rsid w:val="00BE0283"/>
    <w:rsid w:val="00BE16C3"/>
    <w:rsid w:val="00BE1BC9"/>
    <w:rsid w:val="00BE2EB6"/>
    <w:rsid w:val="00BE5CDA"/>
    <w:rsid w:val="00BE608F"/>
    <w:rsid w:val="00BF23BB"/>
    <w:rsid w:val="00BF2A68"/>
    <w:rsid w:val="00BF33DD"/>
    <w:rsid w:val="00BF5755"/>
    <w:rsid w:val="00BF684B"/>
    <w:rsid w:val="00C016F3"/>
    <w:rsid w:val="00C13506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17D"/>
    <w:rsid w:val="00C60952"/>
    <w:rsid w:val="00C60B3F"/>
    <w:rsid w:val="00C623EB"/>
    <w:rsid w:val="00C63A99"/>
    <w:rsid w:val="00C64C6B"/>
    <w:rsid w:val="00C66F2E"/>
    <w:rsid w:val="00C6785C"/>
    <w:rsid w:val="00C70FD1"/>
    <w:rsid w:val="00C72B76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A6031"/>
    <w:rsid w:val="00CA7F2E"/>
    <w:rsid w:val="00CB4116"/>
    <w:rsid w:val="00CB6BC1"/>
    <w:rsid w:val="00CB7021"/>
    <w:rsid w:val="00CB79B9"/>
    <w:rsid w:val="00CD3294"/>
    <w:rsid w:val="00CD4524"/>
    <w:rsid w:val="00CD784D"/>
    <w:rsid w:val="00CF3A1C"/>
    <w:rsid w:val="00CF40F8"/>
    <w:rsid w:val="00CF48BB"/>
    <w:rsid w:val="00D008DA"/>
    <w:rsid w:val="00D01570"/>
    <w:rsid w:val="00D0416F"/>
    <w:rsid w:val="00D05851"/>
    <w:rsid w:val="00D062B0"/>
    <w:rsid w:val="00D10FED"/>
    <w:rsid w:val="00D11736"/>
    <w:rsid w:val="00D12EE8"/>
    <w:rsid w:val="00D14CDF"/>
    <w:rsid w:val="00D15FF1"/>
    <w:rsid w:val="00D167F4"/>
    <w:rsid w:val="00D16F88"/>
    <w:rsid w:val="00D2092A"/>
    <w:rsid w:val="00D2216D"/>
    <w:rsid w:val="00D31A6F"/>
    <w:rsid w:val="00D353D1"/>
    <w:rsid w:val="00D367DB"/>
    <w:rsid w:val="00D36E05"/>
    <w:rsid w:val="00D419BB"/>
    <w:rsid w:val="00D4241D"/>
    <w:rsid w:val="00D44F27"/>
    <w:rsid w:val="00D45304"/>
    <w:rsid w:val="00D46165"/>
    <w:rsid w:val="00D461C7"/>
    <w:rsid w:val="00D50424"/>
    <w:rsid w:val="00D525C9"/>
    <w:rsid w:val="00D53540"/>
    <w:rsid w:val="00D55750"/>
    <w:rsid w:val="00D57D3E"/>
    <w:rsid w:val="00D61574"/>
    <w:rsid w:val="00D62AA1"/>
    <w:rsid w:val="00D71595"/>
    <w:rsid w:val="00D76249"/>
    <w:rsid w:val="00DA7D12"/>
    <w:rsid w:val="00DB0EE3"/>
    <w:rsid w:val="00DB60DC"/>
    <w:rsid w:val="00DC23CF"/>
    <w:rsid w:val="00DC6562"/>
    <w:rsid w:val="00DE130D"/>
    <w:rsid w:val="00DE24CF"/>
    <w:rsid w:val="00DE407C"/>
    <w:rsid w:val="00DE4DBF"/>
    <w:rsid w:val="00DE7C7D"/>
    <w:rsid w:val="00DF2992"/>
    <w:rsid w:val="00DF2D0C"/>
    <w:rsid w:val="00E00058"/>
    <w:rsid w:val="00E0120C"/>
    <w:rsid w:val="00E01B9D"/>
    <w:rsid w:val="00E0468F"/>
    <w:rsid w:val="00E04F5E"/>
    <w:rsid w:val="00E0522E"/>
    <w:rsid w:val="00E068C8"/>
    <w:rsid w:val="00E120F4"/>
    <w:rsid w:val="00E17172"/>
    <w:rsid w:val="00E178A7"/>
    <w:rsid w:val="00E30F0B"/>
    <w:rsid w:val="00E3181C"/>
    <w:rsid w:val="00E3280A"/>
    <w:rsid w:val="00E355A5"/>
    <w:rsid w:val="00E36019"/>
    <w:rsid w:val="00E372AF"/>
    <w:rsid w:val="00E37D68"/>
    <w:rsid w:val="00E40EAE"/>
    <w:rsid w:val="00E436AC"/>
    <w:rsid w:val="00E44F7A"/>
    <w:rsid w:val="00E44FF8"/>
    <w:rsid w:val="00E5066A"/>
    <w:rsid w:val="00E50F76"/>
    <w:rsid w:val="00E52CF9"/>
    <w:rsid w:val="00E63F34"/>
    <w:rsid w:val="00E63FEA"/>
    <w:rsid w:val="00E6715A"/>
    <w:rsid w:val="00E75DC9"/>
    <w:rsid w:val="00E770D3"/>
    <w:rsid w:val="00E81610"/>
    <w:rsid w:val="00E83CC4"/>
    <w:rsid w:val="00E84910"/>
    <w:rsid w:val="00E85B28"/>
    <w:rsid w:val="00E91976"/>
    <w:rsid w:val="00E947A6"/>
    <w:rsid w:val="00E96E18"/>
    <w:rsid w:val="00E97FC7"/>
    <w:rsid w:val="00EA0690"/>
    <w:rsid w:val="00EA2190"/>
    <w:rsid w:val="00EA3956"/>
    <w:rsid w:val="00EA7136"/>
    <w:rsid w:val="00EB325A"/>
    <w:rsid w:val="00EB6B48"/>
    <w:rsid w:val="00EC02A5"/>
    <w:rsid w:val="00EC176B"/>
    <w:rsid w:val="00EC33CD"/>
    <w:rsid w:val="00EC36EB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01730"/>
    <w:rsid w:val="00F07FFD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86AD4"/>
    <w:rsid w:val="00F90430"/>
    <w:rsid w:val="00FA0113"/>
    <w:rsid w:val="00FA12B2"/>
    <w:rsid w:val="00FA1A6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511F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656F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127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ystatdb.cystat.gov.cy/pxweb/el/8.CYSTAT-DB/8.CYSTAT-DB__Information%20Society__" TargetMode="External"/><Relationship Id="rId18" Type="http://schemas.openxmlformats.org/officeDocument/2006/relationships/hyperlink" Target="https://www.cystat.gov.cy/el/KeyFiguresList?s=4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SubthemeStatistics?s=40" TargetMode="External"/><Relationship Id="rId17" Type="http://schemas.openxmlformats.org/officeDocument/2006/relationships/hyperlink" Target="https://www.cystat.gov.cy/el/PublicationList?s=4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ystat.gov.cy/el/MethodologicalDetails?m=202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ystat.gov.cy/el/Infographics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mailto:cmina@cystat.mof.gov.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ystat.gov.cy/el/Infographics/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0.emf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5" Type="http://schemas.openxmlformats.org/officeDocument/2006/relationships/image" Target="media/image70.emf"/><Relationship Id="rId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14022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9</cp:revision>
  <cp:lastPrinted>2016-09-28T08:22:00Z</cp:lastPrinted>
  <dcterms:created xsi:type="dcterms:W3CDTF">2024-11-29T11:16:00Z</dcterms:created>
  <dcterms:modified xsi:type="dcterms:W3CDTF">2024-12-03T09:38:00Z</dcterms:modified>
</cp:coreProperties>
</file>