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B841" w14:textId="723C27AA" w:rsidR="0065785D" w:rsidRPr="00B448D3" w:rsidRDefault="0065785D" w:rsidP="0065785D">
      <w:pPr>
        <w:jc w:val="right"/>
        <w:rPr>
          <w:rFonts w:ascii="Verdana" w:hAnsi="Verdana" w:cs="Arial"/>
          <w:sz w:val="18"/>
          <w:szCs w:val="18"/>
        </w:rPr>
      </w:pPr>
      <w:r w:rsidRPr="00C31A85">
        <w:rPr>
          <w:rFonts w:ascii="Verdana" w:hAnsi="Verdana" w:cs="Arial"/>
          <w:sz w:val="18"/>
          <w:szCs w:val="18"/>
        </w:rPr>
        <w:t>1</w:t>
      </w:r>
      <w:r w:rsidR="006D79C9">
        <w:rPr>
          <w:rFonts w:ascii="Verdana" w:hAnsi="Verdana" w:cs="Arial"/>
          <w:sz w:val="18"/>
          <w:szCs w:val="18"/>
        </w:rPr>
        <w:t>2</w:t>
      </w:r>
      <w:r w:rsidRPr="00D63D2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December, 202</w:t>
      </w:r>
      <w:r w:rsidR="006D79C9">
        <w:rPr>
          <w:rFonts w:ascii="Verdana" w:hAnsi="Verdana" w:cs="Arial"/>
          <w:sz w:val="18"/>
          <w:szCs w:val="18"/>
        </w:rPr>
        <w:t>4</w:t>
      </w:r>
    </w:p>
    <w:p w14:paraId="7D667BF6" w14:textId="77777777" w:rsidR="0065785D" w:rsidRPr="00D63D27" w:rsidRDefault="0065785D" w:rsidP="0065785D">
      <w:pPr>
        <w:jc w:val="both"/>
        <w:rPr>
          <w:rFonts w:ascii="Arial" w:hAnsi="Arial" w:cs="Arial"/>
          <w:sz w:val="20"/>
          <w:szCs w:val="20"/>
        </w:rPr>
      </w:pPr>
    </w:p>
    <w:p w14:paraId="5FAE9137" w14:textId="77777777" w:rsidR="0065785D" w:rsidRPr="00A06081" w:rsidRDefault="0065785D" w:rsidP="0065785D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4705C6C4" w14:textId="77777777" w:rsidR="0065785D" w:rsidRDefault="0065785D" w:rsidP="0065785D">
      <w:pPr>
        <w:rPr>
          <w:rFonts w:ascii="Verdana" w:eastAsia="Malgun Gothic" w:hAnsi="Verdana" w:cs="Arial"/>
          <w:sz w:val="18"/>
          <w:szCs w:val="18"/>
        </w:rPr>
      </w:pPr>
    </w:p>
    <w:p w14:paraId="43A73A99" w14:textId="77777777" w:rsidR="0065785D" w:rsidRPr="002A3E6C" w:rsidRDefault="0065785D" w:rsidP="0065785D">
      <w:pPr>
        <w:rPr>
          <w:rFonts w:ascii="Verdana" w:eastAsia="Malgun Gothic" w:hAnsi="Verdana" w:cs="Arial"/>
          <w:sz w:val="18"/>
          <w:szCs w:val="18"/>
        </w:rPr>
      </w:pPr>
    </w:p>
    <w:p w14:paraId="017FE0EB" w14:textId="11D263AA" w:rsidR="0065785D" w:rsidRPr="009A4612" w:rsidRDefault="0065785D" w:rsidP="0065785D">
      <w:pPr>
        <w:ind w:firstLine="720"/>
        <w:jc w:val="center"/>
        <w:rPr>
          <w:rFonts w:ascii="Verdana" w:eastAsia="Malgun Gothic" w:hAnsi="Verdana" w:cs="Arial"/>
          <w:b/>
          <w:u w:val="single"/>
        </w:rPr>
      </w:pPr>
      <w:r w:rsidRPr="009A4612">
        <w:rPr>
          <w:rFonts w:ascii="Verdana" w:eastAsia="Malgun Gothic" w:hAnsi="Verdana" w:cs="Arial"/>
          <w:b/>
          <w:u w:val="single"/>
        </w:rPr>
        <w:t>SURVEY RESULTS ON INFORMATION AND COMMUNICATION TECHNOLOGIES</w:t>
      </w:r>
      <w:r w:rsidR="008874CD">
        <w:rPr>
          <w:rFonts w:ascii="Verdana" w:eastAsia="Malgun Gothic" w:hAnsi="Verdana" w:cs="Arial"/>
          <w:b/>
          <w:u w:val="single"/>
        </w:rPr>
        <w:t xml:space="preserve"> (ICT)</w:t>
      </w:r>
      <w:r w:rsidRPr="009A4612">
        <w:rPr>
          <w:rFonts w:ascii="Verdana" w:eastAsia="Malgun Gothic" w:hAnsi="Verdana" w:cs="Arial"/>
          <w:b/>
          <w:u w:val="single"/>
        </w:rPr>
        <w:t xml:space="preserve"> USAGE IN HOUSEHOLDS</w:t>
      </w:r>
      <w:r w:rsidRPr="009A4612">
        <w:rPr>
          <w:b/>
          <w:u w:val="single"/>
        </w:rPr>
        <w:t xml:space="preserve"> </w:t>
      </w:r>
      <w:r w:rsidRPr="009A4612">
        <w:rPr>
          <w:rFonts w:ascii="Verdana" w:eastAsia="Malgun Gothic" w:hAnsi="Verdana" w:cs="Arial"/>
          <w:b/>
          <w:u w:val="single"/>
        </w:rPr>
        <w:t>AND BY INDIVIDUALS 202</w:t>
      </w:r>
      <w:r w:rsidR="006D79C9">
        <w:rPr>
          <w:rFonts w:ascii="Verdana" w:eastAsia="Malgun Gothic" w:hAnsi="Verdana" w:cs="Arial"/>
          <w:b/>
          <w:u w:val="single"/>
        </w:rPr>
        <w:t>4</w:t>
      </w:r>
    </w:p>
    <w:p w14:paraId="21E448FA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4DD05BBD" w14:textId="77777777" w:rsidR="0065785D" w:rsidRPr="009A4612" w:rsidRDefault="0065785D" w:rsidP="009A461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D5C3A7D" w14:textId="77777777" w:rsidR="0065785D" w:rsidRPr="009A4612" w:rsidRDefault="0065785D" w:rsidP="009A4612">
      <w:pPr>
        <w:tabs>
          <w:tab w:val="left" w:pos="0"/>
        </w:tabs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9A4612">
        <w:rPr>
          <w:rFonts w:ascii="Verdana" w:hAnsi="Verdana" w:cs="Arial"/>
          <w:b/>
          <w:sz w:val="18"/>
          <w:szCs w:val="18"/>
          <w:u w:val="single"/>
        </w:rPr>
        <w:t>Use of the Internet</w:t>
      </w:r>
    </w:p>
    <w:p w14:paraId="663CA0E1" w14:textId="77777777" w:rsidR="0065785D" w:rsidRPr="009A4612" w:rsidRDefault="0065785D" w:rsidP="009A4612">
      <w:pPr>
        <w:jc w:val="both"/>
        <w:rPr>
          <w:rFonts w:ascii="Verdana" w:hAnsi="Verdana"/>
          <w:sz w:val="18"/>
          <w:szCs w:val="18"/>
        </w:rPr>
      </w:pPr>
    </w:p>
    <w:p w14:paraId="3EF4BEEA" w14:textId="7C28E581" w:rsidR="0065785D" w:rsidRPr="009A4612" w:rsidRDefault="0065785D" w:rsidP="009A4612">
      <w:pPr>
        <w:jc w:val="both"/>
        <w:rPr>
          <w:rFonts w:ascii="Verdana" w:hAnsi="Verdana"/>
          <w:noProof/>
          <w:sz w:val="18"/>
          <w:szCs w:val="18"/>
        </w:rPr>
      </w:pPr>
      <w:r w:rsidRPr="009A4612">
        <w:rPr>
          <w:rFonts w:ascii="Verdana" w:hAnsi="Verdana"/>
          <w:sz w:val="18"/>
          <w:szCs w:val="18"/>
        </w:rPr>
        <w:t xml:space="preserve">On the basis of the results of the ad hoc survey carried out by the Statistical Service of Cyprus, </w:t>
      </w:r>
      <w:r w:rsidR="006D79C9">
        <w:rPr>
          <w:rFonts w:ascii="Verdana" w:hAnsi="Verdana"/>
          <w:sz w:val="18"/>
          <w:szCs w:val="18"/>
        </w:rPr>
        <w:t xml:space="preserve">more than </w:t>
      </w:r>
      <w:r w:rsidRPr="009A4612">
        <w:rPr>
          <w:rFonts w:ascii="Verdana" w:hAnsi="Verdana"/>
          <w:sz w:val="18"/>
          <w:szCs w:val="18"/>
        </w:rPr>
        <w:t>nine out of ten individuals use the internet at least once a week</w:t>
      </w:r>
      <w:r w:rsidR="005776DF">
        <w:rPr>
          <w:rFonts w:ascii="Verdana" w:hAnsi="Verdana"/>
          <w:sz w:val="18"/>
          <w:szCs w:val="18"/>
        </w:rPr>
        <w:t xml:space="preserve"> (94,4%)</w:t>
      </w:r>
      <w:r w:rsidRPr="009A4612">
        <w:rPr>
          <w:rFonts w:ascii="Verdana" w:hAnsi="Verdana"/>
          <w:sz w:val="18"/>
          <w:szCs w:val="18"/>
        </w:rPr>
        <w:t>. Internet use decreases with age: starting from 99,</w:t>
      </w:r>
      <w:r w:rsidR="006D79C9">
        <w:rPr>
          <w:rFonts w:ascii="Verdana" w:hAnsi="Verdana"/>
          <w:sz w:val="18"/>
          <w:szCs w:val="18"/>
        </w:rPr>
        <w:t>9</w:t>
      </w:r>
      <w:r w:rsidRPr="009A4612">
        <w:rPr>
          <w:rFonts w:ascii="Verdana" w:hAnsi="Verdana"/>
          <w:sz w:val="18"/>
          <w:szCs w:val="18"/>
        </w:rPr>
        <w:t xml:space="preserve">% for the 16–24 age group, internet use drops to </w:t>
      </w:r>
      <w:r w:rsidR="006D79C9">
        <w:rPr>
          <w:rFonts w:ascii="Verdana" w:hAnsi="Verdana"/>
          <w:sz w:val="18"/>
          <w:szCs w:val="18"/>
        </w:rPr>
        <w:t>83</w:t>
      </w:r>
      <w:r w:rsidRPr="009A4612">
        <w:rPr>
          <w:rFonts w:ascii="Verdana" w:hAnsi="Verdana"/>
          <w:sz w:val="18"/>
          <w:szCs w:val="18"/>
        </w:rPr>
        <w:t>,</w:t>
      </w:r>
      <w:r w:rsidR="006D79C9">
        <w:rPr>
          <w:rFonts w:ascii="Verdana" w:hAnsi="Verdana"/>
          <w:sz w:val="18"/>
          <w:szCs w:val="18"/>
        </w:rPr>
        <w:t>3</w:t>
      </w:r>
      <w:r w:rsidRPr="009A4612">
        <w:rPr>
          <w:rFonts w:ascii="Verdana" w:hAnsi="Verdana"/>
          <w:sz w:val="18"/>
          <w:szCs w:val="18"/>
        </w:rPr>
        <w:t>% for the 55–74 age group. Persons with high educational attainment level use the internet more frequently (99,</w:t>
      </w:r>
      <w:r w:rsidR="006D79C9">
        <w:rPr>
          <w:rFonts w:ascii="Verdana" w:hAnsi="Verdana"/>
          <w:sz w:val="18"/>
          <w:szCs w:val="18"/>
        </w:rPr>
        <w:t>6</w:t>
      </w:r>
      <w:r w:rsidRPr="009A4612">
        <w:rPr>
          <w:rFonts w:ascii="Verdana" w:hAnsi="Verdana"/>
          <w:sz w:val="18"/>
          <w:szCs w:val="18"/>
        </w:rPr>
        <w:t>%) than persons with low educational attainment level (</w:t>
      </w:r>
      <w:r w:rsidR="006D79C9">
        <w:rPr>
          <w:rFonts w:ascii="Verdana" w:hAnsi="Verdana"/>
          <w:sz w:val="18"/>
          <w:szCs w:val="18"/>
        </w:rPr>
        <w:t>76</w:t>
      </w:r>
      <w:r w:rsidRPr="009A4612">
        <w:rPr>
          <w:rFonts w:ascii="Verdana" w:hAnsi="Verdana"/>
          <w:sz w:val="18"/>
          <w:szCs w:val="18"/>
        </w:rPr>
        <w:t>,</w:t>
      </w:r>
      <w:r w:rsidR="006D79C9">
        <w:rPr>
          <w:rFonts w:ascii="Verdana" w:hAnsi="Verdana"/>
          <w:sz w:val="18"/>
          <w:szCs w:val="18"/>
        </w:rPr>
        <w:t>8</w:t>
      </w:r>
      <w:r w:rsidRPr="009A4612">
        <w:rPr>
          <w:rFonts w:ascii="Verdana" w:hAnsi="Verdana"/>
          <w:sz w:val="18"/>
          <w:szCs w:val="18"/>
        </w:rPr>
        <w:t>%)</w:t>
      </w:r>
      <w:r w:rsidR="00A856A7">
        <w:rPr>
          <w:rFonts w:ascii="Verdana" w:hAnsi="Verdana"/>
          <w:sz w:val="18"/>
          <w:szCs w:val="18"/>
        </w:rPr>
        <w:t>.</w:t>
      </w:r>
      <w:r w:rsidRPr="009A4612">
        <w:rPr>
          <w:rFonts w:ascii="Verdana" w:hAnsi="Verdana"/>
          <w:sz w:val="18"/>
          <w:szCs w:val="18"/>
        </w:rPr>
        <w:t xml:space="preserve"> (Figure 1)</w:t>
      </w:r>
      <w:r w:rsidRPr="009A4612">
        <w:rPr>
          <w:rFonts w:ascii="Verdana" w:hAnsi="Verdana"/>
          <w:noProof/>
          <w:sz w:val="18"/>
          <w:szCs w:val="18"/>
        </w:rPr>
        <w:t xml:space="preserve"> </w:t>
      </w:r>
    </w:p>
    <w:p w14:paraId="4E4CF56B" w14:textId="77777777" w:rsidR="0065785D" w:rsidRPr="009A4612" w:rsidRDefault="0065785D" w:rsidP="009A4612">
      <w:pPr>
        <w:jc w:val="both"/>
        <w:rPr>
          <w:rFonts w:ascii="Verdana" w:hAnsi="Verdana"/>
          <w:noProof/>
          <w:sz w:val="18"/>
          <w:szCs w:val="18"/>
        </w:rPr>
      </w:pPr>
    </w:p>
    <w:p w14:paraId="796FDE9D" w14:textId="1D414C17" w:rsidR="0065785D" w:rsidRPr="009A4612" w:rsidRDefault="0001652B" w:rsidP="009A461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D5F63BE" wp14:editId="3E6E01A1">
            <wp:extent cx="6090285" cy="4566285"/>
            <wp:effectExtent l="0" t="0" r="5715" b="5715"/>
            <wp:docPr id="6615411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C1795" w14:textId="77777777" w:rsidR="0065785D" w:rsidRPr="009A4612" w:rsidRDefault="0065785D" w:rsidP="009A4612">
      <w:pPr>
        <w:jc w:val="both"/>
        <w:rPr>
          <w:rFonts w:ascii="Verdana" w:hAnsi="Verdana"/>
          <w:sz w:val="18"/>
          <w:szCs w:val="18"/>
        </w:rPr>
      </w:pPr>
    </w:p>
    <w:p w14:paraId="71E1945B" w14:textId="4210653D" w:rsidR="0065785D" w:rsidRPr="009A4612" w:rsidRDefault="0065785D" w:rsidP="009A4612">
      <w:pPr>
        <w:jc w:val="both"/>
        <w:rPr>
          <w:rFonts w:ascii="Verdana" w:hAnsi="Verdana"/>
          <w:sz w:val="18"/>
          <w:szCs w:val="18"/>
        </w:rPr>
      </w:pPr>
      <w:r w:rsidRPr="009A4612">
        <w:rPr>
          <w:rFonts w:ascii="Verdana" w:hAnsi="Verdana"/>
          <w:sz w:val="18"/>
          <w:szCs w:val="18"/>
        </w:rPr>
        <w:t>The most popular internet activities by individuals during the first quarter of 202</w:t>
      </w:r>
      <w:r w:rsidR="001357E0">
        <w:rPr>
          <w:rFonts w:ascii="Verdana" w:hAnsi="Verdana"/>
          <w:sz w:val="18"/>
          <w:szCs w:val="18"/>
        </w:rPr>
        <w:t>4</w:t>
      </w:r>
      <w:r w:rsidRPr="009A4612">
        <w:rPr>
          <w:rFonts w:ascii="Verdana" w:hAnsi="Verdana"/>
          <w:sz w:val="18"/>
          <w:szCs w:val="18"/>
        </w:rPr>
        <w:t xml:space="preserve"> were instant messaging via Skype, Messenger, WhatsApp and Viber (9</w:t>
      </w:r>
      <w:r w:rsidR="001357E0">
        <w:rPr>
          <w:rFonts w:ascii="Verdana" w:hAnsi="Verdana"/>
          <w:sz w:val="18"/>
          <w:szCs w:val="18"/>
        </w:rPr>
        <w:t>7</w:t>
      </w:r>
      <w:r w:rsidRPr="009A4612">
        <w:rPr>
          <w:rFonts w:ascii="Verdana" w:hAnsi="Verdana"/>
          <w:sz w:val="18"/>
          <w:szCs w:val="18"/>
        </w:rPr>
        <w:t>,</w:t>
      </w:r>
      <w:r w:rsidR="001357E0">
        <w:rPr>
          <w:rFonts w:ascii="Verdana" w:hAnsi="Verdana"/>
          <w:sz w:val="18"/>
          <w:szCs w:val="18"/>
        </w:rPr>
        <w:t>3</w:t>
      </w:r>
      <w:r w:rsidRPr="009A4612">
        <w:rPr>
          <w:rFonts w:ascii="Verdana" w:hAnsi="Verdana"/>
          <w:sz w:val="18"/>
          <w:szCs w:val="18"/>
        </w:rPr>
        <w:t>%), making calls over the internet (9</w:t>
      </w:r>
      <w:r w:rsidR="001357E0">
        <w:rPr>
          <w:rFonts w:ascii="Verdana" w:hAnsi="Verdana"/>
          <w:sz w:val="18"/>
          <w:szCs w:val="18"/>
        </w:rPr>
        <w:t>7</w:t>
      </w:r>
      <w:r w:rsidRPr="009A4612">
        <w:rPr>
          <w:rFonts w:ascii="Verdana" w:hAnsi="Verdana"/>
          <w:sz w:val="18"/>
          <w:szCs w:val="18"/>
        </w:rPr>
        <w:t>,</w:t>
      </w:r>
      <w:r w:rsidR="001357E0">
        <w:rPr>
          <w:rFonts w:ascii="Verdana" w:hAnsi="Verdana"/>
          <w:sz w:val="18"/>
          <w:szCs w:val="18"/>
        </w:rPr>
        <w:t>2</w:t>
      </w:r>
      <w:r w:rsidRPr="009A4612">
        <w:rPr>
          <w:rFonts w:ascii="Verdana" w:hAnsi="Verdana"/>
          <w:sz w:val="18"/>
          <w:szCs w:val="18"/>
        </w:rPr>
        <w:t>%),</w:t>
      </w:r>
      <w:r w:rsidR="001357E0">
        <w:rPr>
          <w:rFonts w:ascii="Verdana" w:hAnsi="Verdana"/>
          <w:sz w:val="18"/>
          <w:szCs w:val="18"/>
        </w:rPr>
        <w:t xml:space="preserve"> </w:t>
      </w:r>
      <w:r w:rsidR="001357E0" w:rsidRPr="009A4612">
        <w:rPr>
          <w:rFonts w:ascii="Verdana" w:hAnsi="Verdana"/>
          <w:sz w:val="18"/>
          <w:szCs w:val="18"/>
        </w:rPr>
        <w:t>finding information about goods or services (</w:t>
      </w:r>
      <w:r w:rsidR="000C1D95">
        <w:rPr>
          <w:rFonts w:ascii="Verdana" w:hAnsi="Verdana"/>
          <w:sz w:val="18"/>
          <w:szCs w:val="18"/>
        </w:rPr>
        <w:t>94</w:t>
      </w:r>
      <w:r w:rsidR="001357E0" w:rsidRPr="009A4612">
        <w:rPr>
          <w:rFonts w:ascii="Verdana" w:hAnsi="Verdana"/>
          <w:sz w:val="18"/>
          <w:szCs w:val="18"/>
        </w:rPr>
        <w:t>,</w:t>
      </w:r>
      <w:r w:rsidR="000C1D95">
        <w:rPr>
          <w:rFonts w:ascii="Verdana" w:hAnsi="Verdana"/>
          <w:sz w:val="18"/>
          <w:szCs w:val="18"/>
        </w:rPr>
        <w:t>3</w:t>
      </w:r>
      <w:r w:rsidR="001357E0" w:rsidRPr="009A4612">
        <w:rPr>
          <w:rFonts w:ascii="Verdana" w:hAnsi="Verdana"/>
          <w:sz w:val="18"/>
          <w:szCs w:val="18"/>
        </w:rPr>
        <w:t>%</w:t>
      </w:r>
      <w:r w:rsidR="00123E1F" w:rsidRPr="009A4612">
        <w:rPr>
          <w:rFonts w:ascii="Verdana" w:hAnsi="Verdana"/>
          <w:sz w:val="18"/>
          <w:szCs w:val="18"/>
        </w:rPr>
        <w:t>),</w:t>
      </w:r>
      <w:r w:rsidRPr="009A4612">
        <w:rPr>
          <w:rFonts w:ascii="Verdana" w:hAnsi="Verdana"/>
          <w:sz w:val="18"/>
          <w:szCs w:val="18"/>
        </w:rPr>
        <w:t xml:space="preserve"> </w:t>
      </w:r>
      <w:r w:rsidR="001357E0" w:rsidRPr="009A4612">
        <w:rPr>
          <w:rFonts w:ascii="Verdana" w:hAnsi="Verdana"/>
          <w:sz w:val="18"/>
          <w:szCs w:val="18"/>
        </w:rPr>
        <w:t>participating in social networks like Facebook and Twitter (9</w:t>
      </w:r>
      <w:r w:rsidR="00123E1F">
        <w:rPr>
          <w:rFonts w:ascii="Verdana" w:hAnsi="Verdana"/>
          <w:sz w:val="18"/>
          <w:szCs w:val="18"/>
        </w:rPr>
        <w:t>1</w:t>
      </w:r>
      <w:r w:rsidR="001357E0" w:rsidRPr="009A4612">
        <w:rPr>
          <w:rFonts w:ascii="Verdana" w:hAnsi="Verdana"/>
          <w:sz w:val="18"/>
          <w:szCs w:val="18"/>
        </w:rPr>
        <w:t>,</w:t>
      </w:r>
      <w:r w:rsidR="00123E1F">
        <w:rPr>
          <w:rFonts w:ascii="Verdana" w:hAnsi="Verdana"/>
          <w:sz w:val="18"/>
          <w:szCs w:val="18"/>
        </w:rPr>
        <w:t>8</w:t>
      </w:r>
      <w:r w:rsidR="001357E0" w:rsidRPr="009A4612">
        <w:rPr>
          <w:rFonts w:ascii="Verdana" w:hAnsi="Verdana"/>
          <w:sz w:val="18"/>
          <w:szCs w:val="18"/>
        </w:rPr>
        <w:t>%)</w:t>
      </w:r>
      <w:r w:rsidRPr="009A4612">
        <w:rPr>
          <w:rFonts w:ascii="Verdana" w:hAnsi="Verdana"/>
          <w:sz w:val="18"/>
          <w:szCs w:val="18"/>
        </w:rPr>
        <w:t xml:space="preserve"> and</w:t>
      </w:r>
      <w:r w:rsidR="00123E1F" w:rsidRPr="00123E1F">
        <w:rPr>
          <w:rFonts w:ascii="Verdana" w:hAnsi="Verdana"/>
          <w:sz w:val="18"/>
          <w:szCs w:val="18"/>
        </w:rPr>
        <w:t xml:space="preserve"> </w:t>
      </w:r>
      <w:r w:rsidR="00123E1F">
        <w:rPr>
          <w:rFonts w:ascii="Verdana" w:hAnsi="Verdana"/>
          <w:sz w:val="18"/>
          <w:szCs w:val="18"/>
        </w:rPr>
        <w:t xml:space="preserve">watching video content from sharing </w:t>
      </w:r>
      <w:r w:rsidR="00B05ED6">
        <w:rPr>
          <w:rFonts w:ascii="Verdana" w:hAnsi="Verdana"/>
          <w:sz w:val="18"/>
          <w:szCs w:val="18"/>
        </w:rPr>
        <w:t>services</w:t>
      </w:r>
      <w:r w:rsidR="00123E1F">
        <w:rPr>
          <w:rFonts w:ascii="Verdana" w:hAnsi="Verdana"/>
          <w:sz w:val="18"/>
          <w:szCs w:val="18"/>
        </w:rPr>
        <w:t xml:space="preserve"> </w:t>
      </w:r>
      <w:r w:rsidR="00123E1F" w:rsidRPr="009A4612">
        <w:rPr>
          <w:rFonts w:ascii="Verdana" w:hAnsi="Verdana"/>
          <w:sz w:val="18"/>
          <w:szCs w:val="18"/>
        </w:rPr>
        <w:t>(</w:t>
      </w:r>
      <w:r w:rsidR="00123E1F">
        <w:rPr>
          <w:rFonts w:ascii="Verdana" w:hAnsi="Verdana"/>
          <w:sz w:val="18"/>
          <w:szCs w:val="18"/>
        </w:rPr>
        <w:t>91</w:t>
      </w:r>
      <w:r w:rsidR="00123E1F" w:rsidRPr="009A4612">
        <w:rPr>
          <w:rFonts w:ascii="Verdana" w:hAnsi="Verdana"/>
          <w:sz w:val="18"/>
          <w:szCs w:val="18"/>
        </w:rPr>
        <w:t>,</w:t>
      </w:r>
      <w:r w:rsidR="00123E1F">
        <w:rPr>
          <w:rFonts w:ascii="Verdana" w:hAnsi="Verdana"/>
          <w:sz w:val="18"/>
          <w:szCs w:val="18"/>
        </w:rPr>
        <w:t>3</w:t>
      </w:r>
      <w:r w:rsidR="00123E1F" w:rsidRPr="009A4612">
        <w:rPr>
          <w:rFonts w:ascii="Verdana" w:hAnsi="Verdana"/>
          <w:sz w:val="18"/>
          <w:szCs w:val="18"/>
        </w:rPr>
        <w:t>%)</w:t>
      </w:r>
      <w:r w:rsidRPr="009A4612">
        <w:rPr>
          <w:rFonts w:ascii="Verdana" w:hAnsi="Verdana"/>
          <w:sz w:val="18"/>
          <w:szCs w:val="18"/>
        </w:rPr>
        <w:t xml:space="preserve">. (Table 1) </w:t>
      </w:r>
    </w:p>
    <w:p w14:paraId="7605501B" w14:textId="77777777" w:rsidR="0065785D" w:rsidRPr="009A4612" w:rsidRDefault="0065785D" w:rsidP="009A4612">
      <w:pPr>
        <w:jc w:val="both"/>
        <w:rPr>
          <w:rFonts w:ascii="Verdana" w:hAnsi="Verdana"/>
          <w:sz w:val="18"/>
          <w:szCs w:val="18"/>
        </w:rPr>
      </w:pPr>
    </w:p>
    <w:p w14:paraId="44DF0F20" w14:textId="52096ECE" w:rsidR="0065785D" w:rsidRPr="009A4612" w:rsidRDefault="007C1DAB" w:rsidP="009A461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Of the</w:t>
      </w:r>
      <w:r w:rsidR="0065785D" w:rsidRPr="009A4612">
        <w:rPr>
          <w:rFonts w:ascii="Verdana" w:hAnsi="Verdana"/>
          <w:sz w:val="18"/>
          <w:szCs w:val="18"/>
        </w:rPr>
        <w:t xml:space="preserve"> persons that used the internet in the first quarter of 202</w:t>
      </w:r>
      <w:r w:rsidR="00B05ED6">
        <w:rPr>
          <w:rFonts w:ascii="Verdana" w:hAnsi="Verdana"/>
          <w:sz w:val="18"/>
          <w:szCs w:val="18"/>
        </w:rPr>
        <w:t>4</w:t>
      </w:r>
      <w:r w:rsidR="0065785D" w:rsidRPr="009A4612">
        <w:rPr>
          <w:rFonts w:ascii="Verdana" w:hAnsi="Verdana"/>
          <w:sz w:val="18"/>
          <w:szCs w:val="18"/>
        </w:rPr>
        <w:t xml:space="preserve">, </w:t>
      </w:r>
      <w:r w:rsidRPr="009A4612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0</w:t>
      </w:r>
      <w:r w:rsidRPr="009A461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>3</w:t>
      </w:r>
      <w:r w:rsidRPr="009A4612">
        <w:rPr>
          <w:rFonts w:ascii="Verdana" w:hAnsi="Verdana"/>
          <w:sz w:val="18"/>
          <w:szCs w:val="18"/>
        </w:rPr>
        <w:t xml:space="preserve">% </w:t>
      </w:r>
      <w:r w:rsidR="0065785D" w:rsidRPr="009A4612">
        <w:rPr>
          <w:rFonts w:ascii="Verdana" w:hAnsi="Verdana"/>
          <w:sz w:val="18"/>
          <w:szCs w:val="18"/>
        </w:rPr>
        <w:t>used online learning material other than a complete online course, 1</w:t>
      </w:r>
      <w:r w:rsidR="00B05ED6">
        <w:rPr>
          <w:rFonts w:ascii="Verdana" w:hAnsi="Verdana"/>
          <w:sz w:val="18"/>
          <w:szCs w:val="18"/>
        </w:rPr>
        <w:t>0</w:t>
      </w:r>
      <w:r w:rsidR="0065785D" w:rsidRPr="009A4612">
        <w:rPr>
          <w:rFonts w:ascii="Verdana" w:hAnsi="Verdana"/>
          <w:sz w:val="18"/>
          <w:szCs w:val="18"/>
        </w:rPr>
        <w:t>,</w:t>
      </w:r>
      <w:r w:rsidR="00B05ED6">
        <w:rPr>
          <w:rFonts w:ascii="Verdana" w:hAnsi="Verdana"/>
          <w:sz w:val="18"/>
          <w:szCs w:val="18"/>
        </w:rPr>
        <w:t>0</w:t>
      </w:r>
      <w:r w:rsidR="0065785D" w:rsidRPr="009A4612">
        <w:rPr>
          <w:rFonts w:ascii="Verdana" w:hAnsi="Verdana"/>
          <w:sz w:val="18"/>
          <w:szCs w:val="18"/>
        </w:rPr>
        <w:t xml:space="preserve">% had an online course and </w:t>
      </w:r>
      <w:r w:rsidR="00B05ED6">
        <w:rPr>
          <w:rFonts w:ascii="Verdana" w:hAnsi="Verdana"/>
          <w:sz w:val="18"/>
          <w:szCs w:val="18"/>
        </w:rPr>
        <w:t>9</w:t>
      </w:r>
      <w:r w:rsidR="0065785D" w:rsidRPr="009A4612">
        <w:rPr>
          <w:rFonts w:ascii="Verdana" w:hAnsi="Verdana"/>
          <w:sz w:val="18"/>
          <w:szCs w:val="18"/>
        </w:rPr>
        <w:t>,</w:t>
      </w:r>
      <w:r w:rsidR="00B05ED6">
        <w:rPr>
          <w:rFonts w:ascii="Verdana" w:hAnsi="Verdana"/>
          <w:sz w:val="18"/>
          <w:szCs w:val="18"/>
        </w:rPr>
        <w:t>7</w:t>
      </w:r>
      <w:r w:rsidR="0065785D" w:rsidRPr="009A4612">
        <w:rPr>
          <w:rFonts w:ascii="Verdana" w:hAnsi="Verdana"/>
          <w:sz w:val="18"/>
          <w:szCs w:val="18"/>
        </w:rPr>
        <w:t>% communicated with educators or learners using audio or video online tools. (Table 1)</w:t>
      </w:r>
    </w:p>
    <w:p w14:paraId="3C540715" w14:textId="77777777" w:rsidR="0065785D" w:rsidRPr="009A4612" w:rsidRDefault="0065785D" w:rsidP="009A461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EA07CE7" w14:textId="77777777" w:rsidR="0065785D" w:rsidRPr="009A4612" w:rsidRDefault="0065785D" w:rsidP="009A461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9A4612">
        <w:rPr>
          <w:rFonts w:ascii="Verdana" w:hAnsi="Verdana"/>
          <w:b/>
          <w:sz w:val="18"/>
          <w:szCs w:val="18"/>
          <w:u w:val="single"/>
        </w:rPr>
        <w:t>e-Government</w:t>
      </w:r>
    </w:p>
    <w:p w14:paraId="6DE4A6AC" w14:textId="77777777" w:rsidR="0065785D" w:rsidRPr="009A4612" w:rsidRDefault="0065785D" w:rsidP="009A461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7DAFEF4" w14:textId="30F44433" w:rsidR="0065785D" w:rsidRPr="009A4612" w:rsidRDefault="0065785D" w:rsidP="009A4612">
      <w:pPr>
        <w:jc w:val="both"/>
        <w:rPr>
          <w:rFonts w:ascii="Verdana" w:hAnsi="Verdana"/>
          <w:sz w:val="18"/>
          <w:szCs w:val="18"/>
        </w:rPr>
      </w:pPr>
      <w:r w:rsidRPr="009A4612">
        <w:rPr>
          <w:rFonts w:ascii="Verdana" w:hAnsi="Verdana"/>
          <w:sz w:val="18"/>
          <w:szCs w:val="18"/>
        </w:rPr>
        <w:t>During the period April 202</w:t>
      </w:r>
      <w:r w:rsidR="008A4E29">
        <w:rPr>
          <w:rFonts w:ascii="Verdana" w:hAnsi="Verdana"/>
          <w:sz w:val="18"/>
          <w:szCs w:val="18"/>
        </w:rPr>
        <w:t>3</w:t>
      </w:r>
      <w:r w:rsidRPr="009A4612">
        <w:rPr>
          <w:rFonts w:ascii="Verdana" w:hAnsi="Verdana"/>
          <w:sz w:val="18"/>
          <w:szCs w:val="18"/>
        </w:rPr>
        <w:t xml:space="preserve"> - March 202</w:t>
      </w:r>
      <w:r w:rsidR="008A4E29">
        <w:rPr>
          <w:rFonts w:ascii="Verdana" w:hAnsi="Verdana"/>
          <w:sz w:val="18"/>
          <w:szCs w:val="18"/>
        </w:rPr>
        <w:t>4</w:t>
      </w:r>
      <w:r w:rsidRPr="009A4612">
        <w:rPr>
          <w:rFonts w:ascii="Verdana" w:hAnsi="Verdana"/>
          <w:sz w:val="18"/>
          <w:szCs w:val="18"/>
        </w:rPr>
        <w:t xml:space="preserve">, </w:t>
      </w:r>
      <w:r w:rsidR="008A4E29">
        <w:rPr>
          <w:rFonts w:ascii="Verdana" w:hAnsi="Verdana"/>
          <w:sz w:val="18"/>
          <w:szCs w:val="18"/>
        </w:rPr>
        <w:t>70</w:t>
      </w:r>
      <w:r w:rsidRPr="009A4612">
        <w:rPr>
          <w:rFonts w:ascii="Verdana" w:hAnsi="Verdana"/>
          <w:sz w:val="18"/>
          <w:szCs w:val="18"/>
        </w:rPr>
        <w:t>,</w:t>
      </w:r>
      <w:r w:rsidR="008A4E29">
        <w:rPr>
          <w:rFonts w:ascii="Verdana" w:hAnsi="Verdana"/>
          <w:sz w:val="18"/>
          <w:szCs w:val="18"/>
        </w:rPr>
        <w:t>6</w:t>
      </w:r>
      <w:r w:rsidRPr="009A4612">
        <w:rPr>
          <w:rFonts w:ascii="Verdana" w:hAnsi="Verdana"/>
          <w:sz w:val="18"/>
          <w:szCs w:val="18"/>
        </w:rPr>
        <w:t>% of individuals aged 16-74</w:t>
      </w:r>
      <w:r w:rsidR="009F6901">
        <w:rPr>
          <w:rFonts w:ascii="Verdana" w:hAnsi="Verdana"/>
          <w:sz w:val="18"/>
          <w:szCs w:val="18"/>
        </w:rPr>
        <w:t xml:space="preserve"> years,</w:t>
      </w:r>
      <w:r w:rsidRPr="009A4612">
        <w:rPr>
          <w:rFonts w:ascii="Verdana" w:hAnsi="Verdana"/>
          <w:sz w:val="18"/>
          <w:szCs w:val="18"/>
        </w:rPr>
        <w:t xml:space="preserve"> obtained information</w:t>
      </w:r>
      <w:r w:rsidR="009F6901">
        <w:rPr>
          <w:rFonts w:ascii="Verdana" w:hAnsi="Verdana"/>
          <w:sz w:val="18"/>
          <w:szCs w:val="18"/>
        </w:rPr>
        <w:t xml:space="preserve"> from public authorities</w:t>
      </w:r>
      <w:r w:rsidRPr="009A4612">
        <w:rPr>
          <w:rFonts w:ascii="Verdana" w:hAnsi="Verdana"/>
          <w:sz w:val="18"/>
          <w:szCs w:val="18"/>
        </w:rPr>
        <w:t xml:space="preserve"> online, </w:t>
      </w:r>
      <w:r w:rsidR="008A4E29">
        <w:rPr>
          <w:rFonts w:ascii="Verdana" w:hAnsi="Verdana"/>
          <w:sz w:val="18"/>
          <w:szCs w:val="18"/>
        </w:rPr>
        <w:t>54</w:t>
      </w:r>
      <w:r w:rsidRPr="009A4612">
        <w:rPr>
          <w:rFonts w:ascii="Verdana" w:hAnsi="Verdana"/>
          <w:sz w:val="18"/>
          <w:szCs w:val="18"/>
        </w:rPr>
        <w:t>,</w:t>
      </w:r>
      <w:r w:rsidR="008A4E29">
        <w:rPr>
          <w:rFonts w:ascii="Verdana" w:hAnsi="Verdana"/>
          <w:sz w:val="18"/>
          <w:szCs w:val="18"/>
        </w:rPr>
        <w:t>0</w:t>
      </w:r>
      <w:r w:rsidRPr="009A4612">
        <w:rPr>
          <w:rFonts w:ascii="Verdana" w:hAnsi="Verdana"/>
          <w:sz w:val="18"/>
          <w:szCs w:val="18"/>
        </w:rPr>
        <w:t>% accessed information stored about them by public authorities or public services and 2</w:t>
      </w:r>
      <w:r w:rsidR="008A4E29">
        <w:rPr>
          <w:rFonts w:ascii="Verdana" w:hAnsi="Verdana"/>
          <w:sz w:val="18"/>
          <w:szCs w:val="18"/>
        </w:rPr>
        <w:t>2</w:t>
      </w:r>
      <w:r w:rsidRPr="009A4612">
        <w:rPr>
          <w:rFonts w:ascii="Verdana" w:hAnsi="Verdana"/>
          <w:sz w:val="18"/>
          <w:szCs w:val="18"/>
        </w:rPr>
        <w:t>,</w:t>
      </w:r>
      <w:r w:rsidR="008A4E29">
        <w:rPr>
          <w:rFonts w:ascii="Verdana" w:hAnsi="Verdana"/>
          <w:sz w:val="18"/>
          <w:szCs w:val="18"/>
        </w:rPr>
        <w:t>8</w:t>
      </w:r>
      <w:r w:rsidRPr="009A4612">
        <w:rPr>
          <w:rFonts w:ascii="Verdana" w:hAnsi="Verdana"/>
          <w:sz w:val="18"/>
          <w:szCs w:val="18"/>
        </w:rPr>
        <w:t>% accessed information from public databases or registers</w:t>
      </w:r>
      <w:r w:rsidR="000B00F7">
        <w:rPr>
          <w:rFonts w:ascii="Verdana" w:hAnsi="Verdana"/>
          <w:sz w:val="18"/>
          <w:szCs w:val="18"/>
        </w:rPr>
        <w:t>.</w:t>
      </w:r>
    </w:p>
    <w:p w14:paraId="22ACA6B7" w14:textId="77777777" w:rsidR="0065785D" w:rsidRPr="009A4612" w:rsidRDefault="0065785D" w:rsidP="009A461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48491FF" w14:textId="77777777" w:rsidR="0065785D" w:rsidRPr="009A4612" w:rsidRDefault="0065785D" w:rsidP="009A461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9A4612">
        <w:rPr>
          <w:rFonts w:ascii="Verdana" w:hAnsi="Verdana"/>
          <w:b/>
          <w:sz w:val="18"/>
          <w:szCs w:val="18"/>
          <w:u w:val="single"/>
        </w:rPr>
        <w:t>e-Commerce</w:t>
      </w:r>
    </w:p>
    <w:p w14:paraId="7CE1C377" w14:textId="77777777" w:rsidR="0065785D" w:rsidRPr="009A4612" w:rsidRDefault="0065785D" w:rsidP="009A461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C14B8A5" w14:textId="102C297E" w:rsidR="0065785D" w:rsidRPr="009A4612" w:rsidRDefault="0065785D" w:rsidP="009A4612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  <w:r w:rsidRPr="009A4612">
        <w:rPr>
          <w:rFonts w:ascii="Verdana" w:hAnsi="Verdana"/>
          <w:sz w:val="18"/>
          <w:szCs w:val="18"/>
        </w:rPr>
        <w:t>The proportion of individuals</w:t>
      </w:r>
      <w:r w:rsidRPr="009A4612">
        <w:rPr>
          <w:rFonts w:ascii="Verdana" w:hAnsi="Verdana"/>
          <w:sz w:val="18"/>
          <w:szCs w:val="18"/>
          <w:lang w:val="en-GB"/>
        </w:rPr>
        <w:t xml:space="preserve"> aged 16-74 years old</w:t>
      </w:r>
      <w:r w:rsidRPr="009A4612">
        <w:rPr>
          <w:rFonts w:ascii="Verdana" w:hAnsi="Verdana"/>
          <w:sz w:val="18"/>
          <w:szCs w:val="18"/>
        </w:rPr>
        <w:t xml:space="preserve"> placing online orders during the first quarter of 202</w:t>
      </w:r>
      <w:r w:rsidR="00DF2B6B">
        <w:rPr>
          <w:rFonts w:ascii="Verdana" w:hAnsi="Verdana"/>
          <w:sz w:val="18"/>
          <w:szCs w:val="18"/>
        </w:rPr>
        <w:t>4</w:t>
      </w:r>
      <w:r w:rsidRPr="009A4612">
        <w:rPr>
          <w:rFonts w:ascii="Verdana" w:hAnsi="Verdana"/>
          <w:sz w:val="18"/>
          <w:szCs w:val="18"/>
        </w:rPr>
        <w:t xml:space="preserve"> increased significantly to </w:t>
      </w:r>
      <w:r w:rsidR="00DF2B6B">
        <w:rPr>
          <w:rFonts w:ascii="Verdana" w:hAnsi="Verdana"/>
          <w:sz w:val="18"/>
          <w:szCs w:val="18"/>
        </w:rPr>
        <w:t>63</w:t>
      </w:r>
      <w:r w:rsidRPr="009A4612">
        <w:rPr>
          <w:rFonts w:ascii="Verdana" w:hAnsi="Verdana"/>
          <w:sz w:val="18"/>
          <w:szCs w:val="18"/>
        </w:rPr>
        <w:t>,</w:t>
      </w:r>
      <w:r w:rsidR="00DF2B6B">
        <w:rPr>
          <w:rFonts w:ascii="Verdana" w:hAnsi="Verdana"/>
          <w:sz w:val="18"/>
          <w:szCs w:val="18"/>
        </w:rPr>
        <w:t>6</w:t>
      </w:r>
      <w:r w:rsidRPr="009A4612">
        <w:rPr>
          <w:rFonts w:ascii="Verdana" w:hAnsi="Verdana"/>
          <w:sz w:val="18"/>
          <w:szCs w:val="18"/>
        </w:rPr>
        <w:t xml:space="preserve">% compared to </w:t>
      </w:r>
      <w:r w:rsidR="00DF2B6B">
        <w:rPr>
          <w:rFonts w:ascii="Verdana" w:hAnsi="Verdana"/>
          <w:sz w:val="18"/>
          <w:szCs w:val="18"/>
        </w:rPr>
        <w:t>55</w:t>
      </w:r>
      <w:r w:rsidRPr="009A4612">
        <w:rPr>
          <w:rFonts w:ascii="Verdana" w:hAnsi="Verdana"/>
          <w:sz w:val="18"/>
          <w:szCs w:val="18"/>
        </w:rPr>
        <w:t>,</w:t>
      </w:r>
      <w:r w:rsidR="00DF2B6B">
        <w:rPr>
          <w:rFonts w:ascii="Verdana" w:hAnsi="Verdana"/>
          <w:sz w:val="18"/>
          <w:szCs w:val="18"/>
        </w:rPr>
        <w:t>3</w:t>
      </w:r>
      <w:r w:rsidRPr="009A4612">
        <w:rPr>
          <w:rFonts w:ascii="Verdana" w:hAnsi="Verdana"/>
          <w:sz w:val="18"/>
          <w:szCs w:val="18"/>
        </w:rPr>
        <w:t>% in the corresponding period of 202</w:t>
      </w:r>
      <w:r w:rsidR="00DF2B6B">
        <w:rPr>
          <w:rFonts w:ascii="Verdana" w:hAnsi="Verdana"/>
          <w:sz w:val="18"/>
          <w:szCs w:val="18"/>
        </w:rPr>
        <w:t>3</w:t>
      </w:r>
      <w:r w:rsidRPr="009A4612">
        <w:rPr>
          <w:rFonts w:ascii="Verdana" w:hAnsi="Verdana"/>
          <w:sz w:val="18"/>
          <w:szCs w:val="18"/>
          <w:lang w:val="en-GB"/>
        </w:rPr>
        <w:t>.</w:t>
      </w:r>
      <w:r w:rsidRPr="009A4612">
        <w:rPr>
          <w:rFonts w:ascii="Verdana" w:hAnsi="Verdana"/>
          <w:sz w:val="18"/>
          <w:szCs w:val="18"/>
        </w:rPr>
        <w:t xml:space="preserve"> (Figure 2)</w:t>
      </w:r>
    </w:p>
    <w:p w14:paraId="41FC7B11" w14:textId="77777777" w:rsidR="0065785D" w:rsidRPr="009A4612" w:rsidRDefault="0065785D" w:rsidP="009A4612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</w:p>
    <w:p w14:paraId="0E0A0F06" w14:textId="473EB5B0" w:rsidR="0065785D" w:rsidRDefault="0001652B" w:rsidP="0001652B">
      <w:pPr>
        <w:tabs>
          <w:tab w:val="left" w:pos="1080"/>
          <w:tab w:val="left" w:pos="684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06EB3D9" wp14:editId="762A1398">
            <wp:extent cx="6078220" cy="4218940"/>
            <wp:effectExtent l="0" t="0" r="0" b="0"/>
            <wp:docPr id="19211731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21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F1679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</w:p>
    <w:p w14:paraId="193DE9C4" w14:textId="7FE1A217" w:rsidR="0065785D" w:rsidRDefault="0065785D" w:rsidP="0065785D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AF587B">
        <w:rPr>
          <w:rFonts w:ascii="Verdana" w:hAnsi="Verdana"/>
          <w:sz w:val="18"/>
          <w:szCs w:val="18"/>
        </w:rPr>
        <w:t>The most popular categories of goods/services ordered online were the follo</w:t>
      </w:r>
      <w:r>
        <w:rPr>
          <w:rFonts w:ascii="Verdana" w:hAnsi="Verdana"/>
          <w:sz w:val="18"/>
          <w:szCs w:val="18"/>
        </w:rPr>
        <w:t xml:space="preserve">wing: </w:t>
      </w:r>
      <w:r w:rsidRPr="00544328">
        <w:rPr>
          <w:rFonts w:ascii="Verdana" w:hAnsi="Verdana"/>
          <w:sz w:val="18"/>
          <w:szCs w:val="18"/>
        </w:rPr>
        <w:t>clothes (including sport clothing)</w:t>
      </w:r>
      <w:r>
        <w:rPr>
          <w:rFonts w:ascii="Verdana" w:hAnsi="Verdana"/>
          <w:sz w:val="18"/>
          <w:szCs w:val="18"/>
        </w:rPr>
        <w:t>,</w:t>
      </w:r>
      <w:r w:rsidRPr="00544328">
        <w:rPr>
          <w:rFonts w:ascii="Verdana" w:hAnsi="Verdana"/>
          <w:sz w:val="18"/>
          <w:szCs w:val="18"/>
        </w:rPr>
        <w:t xml:space="preserve"> shoes or accessories </w:t>
      </w:r>
      <w:r>
        <w:rPr>
          <w:rFonts w:ascii="Verdana" w:hAnsi="Verdana"/>
          <w:sz w:val="18"/>
          <w:szCs w:val="18"/>
        </w:rPr>
        <w:t>(8</w:t>
      </w:r>
      <w:r w:rsidR="00DF2B6B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,3%), </w:t>
      </w:r>
      <w:r w:rsidRPr="00544328">
        <w:rPr>
          <w:rFonts w:ascii="Verdana" w:hAnsi="Verdana"/>
          <w:sz w:val="18"/>
          <w:szCs w:val="18"/>
        </w:rPr>
        <w:t xml:space="preserve">deliveries or pick up from restaurants, fast-food chains </w:t>
      </w:r>
      <w:r>
        <w:rPr>
          <w:rFonts w:ascii="Verdana" w:hAnsi="Verdana"/>
          <w:sz w:val="18"/>
          <w:szCs w:val="18"/>
        </w:rPr>
        <w:t>(</w:t>
      </w:r>
      <w:r w:rsidR="00DF2B6B">
        <w:rPr>
          <w:rFonts w:ascii="Verdana" w:hAnsi="Verdana"/>
          <w:sz w:val="18"/>
          <w:szCs w:val="18"/>
        </w:rPr>
        <w:t>78</w:t>
      </w:r>
      <w:r>
        <w:rPr>
          <w:rFonts w:ascii="Verdana" w:hAnsi="Verdana"/>
          <w:sz w:val="18"/>
          <w:szCs w:val="18"/>
        </w:rPr>
        <w:t>,</w:t>
      </w:r>
      <w:r w:rsidR="00DF2B6B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%), </w:t>
      </w:r>
      <w:r w:rsidR="00DF2B6B">
        <w:rPr>
          <w:rFonts w:ascii="Verdana" w:hAnsi="Verdana"/>
          <w:sz w:val="18"/>
          <w:szCs w:val="18"/>
        </w:rPr>
        <w:t>computers, mobile phones or accessories</w:t>
      </w:r>
      <w:r>
        <w:rPr>
          <w:rFonts w:ascii="Verdana" w:hAnsi="Verdana"/>
          <w:sz w:val="18"/>
          <w:szCs w:val="18"/>
        </w:rPr>
        <w:t xml:space="preserve"> (</w:t>
      </w:r>
      <w:r w:rsidR="00DF2B6B">
        <w:rPr>
          <w:rFonts w:ascii="Verdana" w:hAnsi="Verdana"/>
          <w:sz w:val="18"/>
          <w:szCs w:val="18"/>
        </w:rPr>
        <w:t>53</w:t>
      </w:r>
      <w:r>
        <w:rPr>
          <w:rFonts w:ascii="Verdana" w:hAnsi="Verdana"/>
          <w:sz w:val="18"/>
          <w:szCs w:val="18"/>
        </w:rPr>
        <w:t>,4%) and</w:t>
      </w:r>
      <w:r w:rsidRPr="00544328">
        <w:rPr>
          <w:rFonts w:ascii="Verdana" w:hAnsi="Verdana"/>
          <w:sz w:val="18"/>
          <w:szCs w:val="18"/>
        </w:rPr>
        <w:t xml:space="preserve"> </w:t>
      </w:r>
      <w:r w:rsidR="00DF2B6B">
        <w:rPr>
          <w:rFonts w:ascii="Verdana" w:hAnsi="Verdana"/>
          <w:sz w:val="18"/>
          <w:szCs w:val="18"/>
        </w:rPr>
        <w:t>cosmetics, beauty or wellness products</w:t>
      </w:r>
      <w:r>
        <w:rPr>
          <w:rFonts w:ascii="Verdana" w:hAnsi="Verdana"/>
          <w:sz w:val="18"/>
          <w:szCs w:val="18"/>
        </w:rPr>
        <w:t xml:space="preserve"> (</w:t>
      </w:r>
      <w:r w:rsidR="00DF2B6B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>,</w:t>
      </w:r>
      <w:r w:rsidR="00DF2B6B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%). </w:t>
      </w:r>
    </w:p>
    <w:p w14:paraId="773DB474" w14:textId="77777777" w:rsidR="0065785D" w:rsidRDefault="0065785D" w:rsidP="0065785D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1540C572" w14:textId="50AE78DB" w:rsidR="0065785D" w:rsidRDefault="0065785D" w:rsidP="0065785D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Among the people who bought or ordered goods or services for private use in the first quarter of 202</w:t>
      </w:r>
      <w:r w:rsidR="00DF2B6B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, </w:t>
      </w:r>
      <w:r w:rsidR="00DF2B6B">
        <w:rPr>
          <w:rFonts w:ascii="Verdana" w:hAnsi="Verdana"/>
          <w:sz w:val="18"/>
          <w:szCs w:val="18"/>
        </w:rPr>
        <w:t>46</w:t>
      </w:r>
      <w:r>
        <w:rPr>
          <w:rFonts w:ascii="Verdana" w:hAnsi="Verdana"/>
          <w:sz w:val="18"/>
          <w:szCs w:val="18"/>
        </w:rPr>
        <w:t>,</w:t>
      </w:r>
      <w:r w:rsidR="00DF2B6B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% </w:t>
      </w:r>
      <w:r w:rsidR="00DF2B6B">
        <w:rPr>
          <w:rFonts w:ascii="Verdana" w:hAnsi="Verdana"/>
          <w:sz w:val="18"/>
          <w:szCs w:val="18"/>
        </w:rPr>
        <w:t>bought accommodation services</w:t>
      </w:r>
      <w:r>
        <w:rPr>
          <w:rFonts w:ascii="Verdana" w:hAnsi="Verdana"/>
          <w:sz w:val="18"/>
          <w:szCs w:val="18"/>
        </w:rPr>
        <w:t xml:space="preserve">, </w:t>
      </w:r>
      <w:r w:rsidR="00DF2B6B">
        <w:rPr>
          <w:rFonts w:ascii="Verdana" w:hAnsi="Verdana"/>
          <w:sz w:val="18"/>
          <w:szCs w:val="18"/>
        </w:rPr>
        <w:t>45</w:t>
      </w:r>
      <w:r>
        <w:rPr>
          <w:rFonts w:ascii="Verdana" w:hAnsi="Verdana"/>
          <w:sz w:val="18"/>
          <w:szCs w:val="18"/>
        </w:rPr>
        <w:t>,</w:t>
      </w:r>
      <w:r w:rsidR="00DF2B6B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% bought </w:t>
      </w:r>
      <w:r w:rsidR="00DF2B6B">
        <w:rPr>
          <w:rFonts w:ascii="Verdana" w:hAnsi="Verdana"/>
          <w:sz w:val="18"/>
          <w:szCs w:val="18"/>
        </w:rPr>
        <w:t>transport services</w:t>
      </w:r>
      <w:r>
        <w:rPr>
          <w:rFonts w:ascii="Verdana" w:hAnsi="Verdana"/>
          <w:sz w:val="18"/>
          <w:szCs w:val="18"/>
        </w:rPr>
        <w:t xml:space="preserve"> and </w:t>
      </w:r>
      <w:r w:rsidR="00DF2B6B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,2% </w:t>
      </w:r>
      <w:r w:rsidR="00DF2B6B">
        <w:rPr>
          <w:rFonts w:ascii="Verdana" w:hAnsi="Verdana"/>
          <w:sz w:val="18"/>
          <w:szCs w:val="18"/>
        </w:rPr>
        <w:t>bought tickets to events</w:t>
      </w:r>
      <w:r w:rsidRPr="00AF587B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(Table 2)</w:t>
      </w:r>
    </w:p>
    <w:p w14:paraId="70E37144" w14:textId="77777777" w:rsidR="0065785D" w:rsidRDefault="0065785D" w:rsidP="0065785D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096142BE" w14:textId="77777777" w:rsidR="00CC15A9" w:rsidRDefault="00CC15A9" w:rsidP="0065785D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607D2926" w14:textId="77777777" w:rsidR="0065785D" w:rsidRDefault="0065785D" w:rsidP="0065785D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3CA082ED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74CB9C0E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422EBCBF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160BC860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5D12CE4F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358198D2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47D08E40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26EDFE8D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134B1DC6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43C1F166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02569FF0" w14:textId="77777777" w:rsidR="0065785D" w:rsidRDefault="0065785D" w:rsidP="0065785D">
      <w:pPr>
        <w:jc w:val="both"/>
        <w:rPr>
          <w:rFonts w:ascii="Verdana" w:hAnsi="Verdana" w:cs="Arial"/>
          <w:sz w:val="18"/>
          <w:szCs w:val="18"/>
        </w:rPr>
      </w:pPr>
    </w:p>
    <w:p w14:paraId="3A05163A" w14:textId="77777777" w:rsidR="0001652B" w:rsidRDefault="0001652B" w:rsidP="0065785D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53"/>
        <w:gridCol w:w="98"/>
        <w:gridCol w:w="924"/>
        <w:gridCol w:w="75"/>
        <w:gridCol w:w="996"/>
        <w:gridCol w:w="1021"/>
        <w:gridCol w:w="1021"/>
      </w:tblGrid>
      <w:tr w:rsidR="0065785D" w:rsidRPr="00AD3290" w14:paraId="69ABABD9" w14:textId="77777777" w:rsidTr="0001652B">
        <w:trPr>
          <w:trHeight w:val="227"/>
          <w:jc w:val="center"/>
        </w:trPr>
        <w:tc>
          <w:tcPr>
            <w:tcW w:w="5551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FFFFFF" w:fill="FFFFFF"/>
            <w:vAlign w:val="center"/>
            <w:hideMark/>
          </w:tcPr>
          <w:p w14:paraId="20059DF8" w14:textId="77777777" w:rsidR="0065785D" w:rsidRPr="00AD3290" w:rsidRDefault="0065785D" w:rsidP="000005B2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eastAsia="el-GR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1289EEE4" w14:textId="77777777" w:rsidR="0065785D" w:rsidRPr="00AD3290" w:rsidRDefault="0065785D" w:rsidP="000005B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509E525B" w14:textId="77777777" w:rsidR="0065785D" w:rsidRPr="00AD3290" w:rsidRDefault="0065785D" w:rsidP="000005B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64CA495E" w14:textId="77777777" w:rsidR="0065785D" w:rsidRPr="00AD3290" w:rsidRDefault="0065785D" w:rsidP="000005B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3F6D92F6" w14:textId="77777777" w:rsidR="0065785D" w:rsidRPr="00AD3290" w:rsidRDefault="0065785D" w:rsidP="000005B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</w:tr>
      <w:tr w:rsidR="0065785D" w:rsidRPr="00AD3290" w14:paraId="21030A67" w14:textId="77777777" w:rsidTr="0001652B">
        <w:trPr>
          <w:trHeight w:val="423"/>
          <w:jc w:val="center"/>
        </w:trPr>
        <w:tc>
          <w:tcPr>
            <w:tcW w:w="5551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79ECA4C8" w14:textId="77777777" w:rsidR="0065785D" w:rsidRPr="00C62A8E" w:rsidRDefault="0065785D" w:rsidP="000005B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Internet Use</w:t>
            </w:r>
          </w:p>
        </w:tc>
        <w:tc>
          <w:tcPr>
            <w:tcW w:w="99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067A7DA7" w14:textId="6DED1485" w:rsidR="0065785D" w:rsidRPr="00AD3290" w:rsidRDefault="0065785D" w:rsidP="000005B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D314B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24331FD9" w14:textId="1B8AB31E" w:rsidR="0065785D" w:rsidRPr="00AD3290" w:rsidRDefault="0065785D" w:rsidP="000005B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D314B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585999CD" w14:textId="14CA9BE6" w:rsidR="0065785D" w:rsidRPr="00AD3290" w:rsidRDefault="0065785D" w:rsidP="000005B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D314B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006E42BD" w14:textId="0879F20E" w:rsidR="0065785D" w:rsidRPr="00AD3290" w:rsidRDefault="0065785D" w:rsidP="000005B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D314B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</w:tr>
      <w:tr w:rsidR="0065785D" w:rsidRPr="00AD3290" w14:paraId="5A18A8E9" w14:textId="77777777" w:rsidTr="0001652B">
        <w:trPr>
          <w:trHeight w:val="555"/>
          <w:jc w:val="center"/>
        </w:trPr>
        <w:tc>
          <w:tcPr>
            <w:tcW w:w="545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CB2DEAC" w14:textId="1F09F39B" w:rsidR="0065785D" w:rsidRPr="00AD3290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Households with Internet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A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ccess</w:t>
            </w:r>
            <w:r w:rsidR="003377E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(%)</w:t>
            </w:r>
          </w:p>
        </w:tc>
        <w:tc>
          <w:tcPr>
            <w:tcW w:w="102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451535E0" w14:textId="522B9041" w:rsidR="0065785D" w:rsidRPr="00AD3290" w:rsidRDefault="0065785D" w:rsidP="000005B2">
            <w:pPr>
              <w:ind w:firstLineChars="100" w:firstLine="181"/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 xml:space="preserve">  9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3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,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59C0BC36" w14:textId="05C4F424" w:rsidR="0065785D" w:rsidRPr="00AD3290" w:rsidRDefault="0065785D" w:rsidP="000005B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4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,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52014014" w14:textId="24557F18" w:rsidR="0065785D" w:rsidRPr="00AD3290" w:rsidRDefault="0065785D" w:rsidP="000005B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,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3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15041EA7" w14:textId="7E63F355" w:rsidR="0065785D" w:rsidRPr="00AD3290" w:rsidRDefault="0065785D" w:rsidP="000005B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4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,</w:t>
            </w:r>
            <w:r w:rsidR="00D314B8"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</w:t>
            </w:r>
          </w:p>
        </w:tc>
      </w:tr>
      <w:tr w:rsidR="0065785D" w:rsidRPr="00AD3290" w14:paraId="39C53FEE" w14:textId="77777777" w:rsidTr="0001652B">
        <w:trPr>
          <w:trHeight w:val="990"/>
          <w:jc w:val="center"/>
        </w:trPr>
        <w:tc>
          <w:tcPr>
            <w:tcW w:w="5551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CDFB" w14:textId="77777777" w:rsidR="0065785D" w:rsidRDefault="0065785D" w:rsidP="000005B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ndividuals that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U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sed the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nternet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</w:p>
          <w:p w14:paraId="5C2F0021" w14:textId="77777777" w:rsidR="0065785D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(during the 1</w:t>
            </w: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st</w:t>
            </w: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quarter of the year)</w:t>
            </w:r>
          </w:p>
          <w:p w14:paraId="1224EC33" w14:textId="77777777" w:rsidR="0065785D" w:rsidRPr="00C62A8E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(% on total i</w:t>
            </w:r>
            <w:r w:rsidRPr="00C62A8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ndividuals aged 16-74)</w:t>
            </w:r>
          </w:p>
        </w:tc>
        <w:tc>
          <w:tcPr>
            <w:tcW w:w="999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D861DD2" w14:textId="77777777" w:rsidR="0065785D" w:rsidRPr="00AD3290" w:rsidRDefault="0065785D" w:rsidP="000005B2">
            <w:pPr>
              <w:ind w:firstLineChars="100" w:firstLine="181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90</w:t>
            </w:r>
            <w:r w:rsidRPr="00AD3290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D32CB19" w14:textId="313832D1" w:rsidR="0065785D" w:rsidRPr="00AD3290" w:rsidRDefault="00F0320F" w:rsidP="000005B2">
            <w:pPr>
              <w:ind w:firstLineChars="100" w:firstLine="181"/>
              <w:jc w:val="right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89</w:t>
            </w:r>
            <w:r w:rsidR="0065785D" w:rsidRPr="00AD3290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0A62E55" w14:textId="5A5FBB0B" w:rsidR="0065785D" w:rsidRPr="00AD3290" w:rsidRDefault="00F0320F" w:rsidP="000005B2">
            <w:pPr>
              <w:ind w:firstLineChars="100" w:firstLine="181"/>
              <w:jc w:val="right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91</w:t>
            </w:r>
            <w:r w:rsidR="0065785D" w:rsidRPr="00AD3290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4C722F" w14:textId="292E1367" w:rsidR="0065785D" w:rsidRPr="00AD3290" w:rsidRDefault="0065785D" w:rsidP="000005B2">
            <w:pPr>
              <w:ind w:firstLineChars="100" w:firstLine="181"/>
              <w:jc w:val="right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</w:tr>
      <w:tr w:rsidR="0065785D" w:rsidRPr="00AD3290" w14:paraId="0BEDED9F" w14:textId="77777777" w:rsidTr="0001652B">
        <w:trPr>
          <w:trHeight w:val="704"/>
          <w:jc w:val="center"/>
        </w:trPr>
        <w:tc>
          <w:tcPr>
            <w:tcW w:w="9588" w:type="dxa"/>
            <w:gridSpan w:val="7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  <w:hideMark/>
          </w:tcPr>
          <w:p w14:paraId="5F32528B" w14:textId="55B2FA1B" w:rsidR="0065785D" w:rsidRDefault="0065785D" w:rsidP="000005B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Most </w:t>
            </w:r>
            <w:r w:rsidR="003377E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opular Internet Activities</w:t>
            </w:r>
          </w:p>
          <w:p w14:paraId="5E13D34E" w14:textId="5E929C74" w:rsidR="00325ECD" w:rsidRPr="0001652B" w:rsidRDefault="00325ECD" w:rsidP="00325ECD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% on total individuals aged 16-74 that used the internet</w:t>
            </w:r>
          </w:p>
          <w:p w14:paraId="28958A78" w14:textId="3988F05F" w:rsidR="0065785D" w:rsidRPr="00AD3290" w:rsidRDefault="00325ECD" w:rsidP="00325ECD">
            <w:pPr>
              <w:spacing w:after="120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during the 1</w:t>
            </w: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st</w:t>
            </w: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quarter of the year</w:t>
            </w:r>
            <w:r w:rsidRPr="00C62A8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)</w:t>
            </w:r>
          </w:p>
        </w:tc>
      </w:tr>
      <w:tr w:rsidR="0065785D" w:rsidRPr="00AD3290" w14:paraId="34270DDA" w14:textId="77777777" w:rsidTr="0001652B">
        <w:trPr>
          <w:trHeight w:val="510"/>
          <w:jc w:val="center"/>
        </w:trPr>
        <w:tc>
          <w:tcPr>
            <w:tcW w:w="5551" w:type="dxa"/>
            <w:gridSpan w:val="2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C19FF0" w14:textId="77777777" w:rsidR="0065785D" w:rsidRPr="00AD3290" w:rsidRDefault="0065785D" w:rsidP="000005B2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Using instant messaging</w:t>
            </w:r>
          </w:p>
        </w:tc>
        <w:tc>
          <w:tcPr>
            <w:tcW w:w="999" w:type="dxa"/>
            <w:gridSpan w:val="2"/>
            <w:tcBorders>
              <w:top w:val="single" w:sz="4" w:space="0" w:color="365F91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3C21965A" w14:textId="14AC21AC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6F91BE34" w14:textId="237873F0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453AC3FB" w14:textId="4AD3BE0C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,9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7A7D4E05" w14:textId="34FB5861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65785D" w:rsidRPr="00AD3290" w14:paraId="1B17F3B7" w14:textId="77777777" w:rsidTr="0001652B">
        <w:trPr>
          <w:trHeight w:val="737"/>
          <w:jc w:val="center"/>
        </w:trPr>
        <w:tc>
          <w:tcPr>
            <w:tcW w:w="55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3DBC" w14:textId="77777777" w:rsidR="0065785D" w:rsidRPr="00AD3290" w:rsidRDefault="0065785D" w:rsidP="000005B2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bookmarkStart w:id="0" w:name="_Hlk120528882"/>
            <w:r w:rsidRPr="00AD329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Telephoning over the internet/video calls (via webcam) over the internet</w:t>
            </w:r>
          </w:p>
        </w:tc>
        <w:tc>
          <w:tcPr>
            <w:tcW w:w="99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8C3176" w14:textId="52252C8E" w:rsidR="0065785D" w:rsidRPr="00AD3290" w:rsidRDefault="0065785D" w:rsidP="000005B2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94</w:t>
            </w:r>
            <w:r w:rsidRPr="00AD3290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523F61" w14:textId="084FABAC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Pr="00AD3290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5638F7" w14:textId="1C4117C8" w:rsidR="0065785D" w:rsidRPr="00AD3290" w:rsidRDefault="0065785D" w:rsidP="000005B2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5</w:t>
            </w:r>
            <w:r w:rsidRPr="00AD3290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FD43592" w14:textId="5D9A0FB5" w:rsidR="0065785D" w:rsidRPr="00AD3290" w:rsidRDefault="0065785D" w:rsidP="000005B2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2</w:t>
            </w:r>
          </w:p>
        </w:tc>
      </w:tr>
      <w:bookmarkEnd w:id="0"/>
      <w:tr w:rsidR="0065785D" w:rsidRPr="00AD3290" w14:paraId="2D17AEAA" w14:textId="77777777" w:rsidTr="0001652B">
        <w:trPr>
          <w:trHeight w:val="510"/>
          <w:jc w:val="center"/>
        </w:trPr>
        <w:tc>
          <w:tcPr>
            <w:tcW w:w="5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ED6683" w14:textId="31B45B48" w:rsidR="0065785D" w:rsidRPr="002C0C27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</w:t>
            </w:r>
            <w:r w:rsidR="00F0320F" w:rsidRPr="00210F7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Finding information about goods and services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2E825774" w14:textId="3F1066B6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5961C8E5" w14:textId="1DAF9619" w:rsidR="0065785D" w:rsidRDefault="00F0320F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78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1764D0AC" w14:textId="4BA9731C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Pr="00AD3290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11A61F9E" w14:textId="27716B6F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65785D" w:rsidRPr="00AD3290" w14:paraId="0F6968A3" w14:textId="77777777" w:rsidTr="0001652B">
        <w:trPr>
          <w:trHeight w:val="510"/>
          <w:jc w:val="center"/>
        </w:trPr>
        <w:tc>
          <w:tcPr>
            <w:tcW w:w="5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94876E" w14:textId="7B310151" w:rsidR="0065785D" w:rsidRPr="00AD3290" w:rsidRDefault="00F0320F" w:rsidP="000005B2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Participation in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  <w:r w:rsidRPr="00AD329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ocial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  <w:r w:rsidRPr="00AD329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etworks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5D1C2801" w14:textId="5BB814A2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1C378C2D" w14:textId="7ADE99D6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1A09692D" w14:textId="38FC837D" w:rsidR="0065785D" w:rsidRPr="00AD3290" w:rsidRDefault="00F0320F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90</w:t>
            </w:r>
            <w:r w:rsidR="0065785D" w:rsidRPr="00AD3290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76149A1E" w14:textId="440C725D" w:rsidR="0065785D" w:rsidRPr="00AD3290" w:rsidRDefault="00F0320F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91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</w:p>
        </w:tc>
      </w:tr>
      <w:tr w:rsidR="0065785D" w:rsidRPr="00AD3290" w14:paraId="7E705208" w14:textId="77777777" w:rsidTr="0001652B">
        <w:trPr>
          <w:trHeight w:val="510"/>
          <w:jc w:val="center"/>
        </w:trPr>
        <w:tc>
          <w:tcPr>
            <w:tcW w:w="5551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  <w:hideMark/>
          </w:tcPr>
          <w:p w14:paraId="59DFF2E1" w14:textId="2F835EBA" w:rsidR="0065785D" w:rsidRPr="00AD3290" w:rsidRDefault="00F0320F" w:rsidP="000005B2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Watching video content from sharing services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7F758E61" w14:textId="6D285A4D" w:rsidR="0065785D" w:rsidRPr="00AD3290" w:rsidRDefault="00F0320F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5BE42DFA" w14:textId="14F48399" w:rsidR="0065785D" w:rsidRPr="00AD329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88,</w:t>
            </w:r>
            <w:r w:rsidR="00F0320F">
              <w:rPr>
                <w:rFonts w:ascii="Verdana" w:hAnsi="Verdana" w:cs="Arial"/>
                <w:color w:val="365F91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5BC4AAB5" w14:textId="19B217F8" w:rsidR="0065785D" w:rsidRPr="00AD3290" w:rsidRDefault="00F0320F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22D5C842" w14:textId="787CAEAE" w:rsidR="0065785D" w:rsidRPr="00AD3290" w:rsidRDefault="00F0320F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91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65785D" w:rsidRPr="00AD3290" w14:paraId="68FA2F7C" w14:textId="77777777" w:rsidTr="0001652B">
        <w:trPr>
          <w:trHeight w:val="853"/>
          <w:jc w:val="center"/>
        </w:trPr>
        <w:tc>
          <w:tcPr>
            <w:tcW w:w="5551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12A74D" w14:textId="77777777" w:rsidR="0065785D" w:rsidRDefault="0065785D" w:rsidP="000005B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 w:rsidRPr="00E306B8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Learning Activities over the Internet</w:t>
            </w:r>
          </w:p>
          <w:p w14:paraId="0CF5A729" w14:textId="557A4B5F" w:rsidR="00F53A0E" w:rsidRPr="0001652B" w:rsidRDefault="00F53A0E" w:rsidP="00F53A0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% on total individuals aged 16-74 that used the internet</w:t>
            </w:r>
          </w:p>
          <w:p w14:paraId="3607F6BE" w14:textId="4FAA53B4" w:rsidR="00F53A0E" w:rsidRPr="001809DF" w:rsidRDefault="00F53A0E" w:rsidP="001809DF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during the 1</w:t>
            </w: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st</w:t>
            </w:r>
            <w:r w:rsidRPr="0089640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quarter of the year</w:t>
            </w:r>
            <w:r w:rsidRPr="00C62A8E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6A9197FC" w14:textId="77777777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6E808AE4" w14:textId="77777777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545D3FB1" w14:textId="77777777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186154AD" w14:textId="77777777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</w:tr>
      <w:tr w:rsidR="0065785D" w:rsidRPr="00AD3290" w14:paraId="4FF6DB5D" w14:textId="77777777" w:rsidTr="0001652B">
        <w:trPr>
          <w:trHeight w:val="510"/>
          <w:jc w:val="center"/>
        </w:trPr>
        <w:tc>
          <w:tcPr>
            <w:tcW w:w="5551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CA28E" w14:textId="77777777" w:rsidR="0065785D" w:rsidRPr="00210F7E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E96F2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Online material</w:t>
            </w:r>
            <w:r w:rsidRPr="0053197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F4FAC0" w14:textId="66AF79FD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 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447770" w14:textId="6520159E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A6B570" w14:textId="25F9681B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,8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68B7AE8" w14:textId="1741E9D6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</w:p>
        </w:tc>
      </w:tr>
      <w:tr w:rsidR="0065785D" w:rsidRPr="00AD3290" w14:paraId="64B0C07D" w14:textId="77777777" w:rsidTr="0001652B">
        <w:trPr>
          <w:trHeight w:val="510"/>
          <w:jc w:val="center"/>
        </w:trPr>
        <w:tc>
          <w:tcPr>
            <w:tcW w:w="5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4A6AC2" w14:textId="77777777" w:rsidR="0065785D" w:rsidRPr="00210F7E" w:rsidRDefault="0065785D" w:rsidP="000005B2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bookmarkStart w:id="1" w:name="_Hlk152068158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Online course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5DEE6480" w14:textId="669639B2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1D925C0B" w14:textId="0A55BCA0" w:rsidR="0065785D" w:rsidRDefault="005D7FD1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  <w:t>17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  <w:t>,7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12E1C7CC" w14:textId="62E554F8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</w:tcPr>
          <w:p w14:paraId="7ABAA09E" w14:textId="5F8DF95A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</w:p>
        </w:tc>
      </w:tr>
      <w:tr w:rsidR="0065785D" w:rsidRPr="00AD3290" w14:paraId="02D5EB8E" w14:textId="77777777" w:rsidTr="0001652B">
        <w:trPr>
          <w:trHeight w:val="510"/>
          <w:jc w:val="center"/>
        </w:trPr>
        <w:tc>
          <w:tcPr>
            <w:tcW w:w="5551" w:type="dxa"/>
            <w:gridSpan w:val="2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D5553F" w14:textId="77777777" w:rsidR="0065785D" w:rsidRPr="00210F7E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bookmarkStart w:id="2" w:name="_Hlk153346944"/>
            <w:bookmarkEnd w:id="1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</w:t>
            </w:r>
            <w:r w:rsidRPr="00DF0DD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Communication with instructors</w:t>
            </w:r>
            <w:r w:rsidRPr="00DF0DDB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 xml:space="preserve"> </w:t>
            </w:r>
            <w:r w:rsidRPr="00DF0DD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or students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FFFFFF" w:fill="FFFFFF"/>
            <w:noWrap/>
            <w:vAlign w:val="center"/>
          </w:tcPr>
          <w:p w14:paraId="723449EB" w14:textId="587ADE7A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  <w:t xml:space="preserve">        </w:t>
            </w:r>
            <w:r w:rsidR="005D7FD1"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FFFFFF" w:fill="FFFFFF"/>
            <w:noWrap/>
            <w:vAlign w:val="center"/>
          </w:tcPr>
          <w:p w14:paraId="5B04BC46" w14:textId="28E5279C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           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7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FFFFFF" w:fill="FFFFFF"/>
            <w:noWrap/>
            <w:vAlign w:val="center"/>
          </w:tcPr>
          <w:p w14:paraId="5FB7A5AA" w14:textId="75035F0B" w:rsidR="0065785D" w:rsidRPr="005D7FD1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     1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FFFFFF" w:fill="FFFFFF"/>
            <w:noWrap/>
            <w:vAlign w:val="center"/>
          </w:tcPr>
          <w:p w14:paraId="235B5B9A" w14:textId="0C2ACD58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     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5D7FD1">
              <w:rPr>
                <w:rFonts w:ascii="Verdana" w:hAnsi="Verdana" w:cs="Arial"/>
                <w:color w:val="365F91"/>
                <w:sz w:val="18"/>
                <w:szCs w:val="18"/>
              </w:rPr>
              <w:t>7</w:t>
            </w:r>
          </w:p>
        </w:tc>
      </w:tr>
    </w:tbl>
    <w:bookmarkEnd w:id="2"/>
    <w:p w14:paraId="45996761" w14:textId="77777777" w:rsidR="0001652B" w:rsidRPr="0033545C" w:rsidRDefault="0001652B" w:rsidP="0001652B">
      <w:pPr>
        <w:jc w:val="both"/>
        <w:rPr>
          <w:rFonts w:ascii="Verdana" w:hAnsi="Verdana" w:cs="Arial"/>
          <w:color w:val="365F91"/>
          <w:sz w:val="16"/>
          <w:szCs w:val="16"/>
        </w:rPr>
      </w:pPr>
      <w:r w:rsidRPr="0033545C">
        <w:rPr>
          <w:rFonts w:ascii="Verdana" w:hAnsi="Verdana" w:cs="Arial"/>
          <w:color w:val="365F91"/>
          <w:sz w:val="16"/>
          <w:szCs w:val="16"/>
        </w:rPr>
        <w:t>… Data not available</w:t>
      </w:r>
    </w:p>
    <w:p w14:paraId="7F2C48D6" w14:textId="77777777" w:rsidR="0065785D" w:rsidRPr="0001652B" w:rsidRDefault="0065785D" w:rsidP="0065785D">
      <w:pPr>
        <w:jc w:val="both"/>
        <w:rPr>
          <w:rFonts w:ascii="Verdana" w:hAnsi="Verdana" w:cs="Arial"/>
          <w:color w:val="365F91"/>
          <w:sz w:val="18"/>
          <w:szCs w:val="18"/>
        </w:rPr>
      </w:pPr>
    </w:p>
    <w:p w14:paraId="6E4D874C" w14:textId="77777777" w:rsidR="0065785D" w:rsidRDefault="0065785D" w:rsidP="0065785D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4C56E9" w14:textId="77777777" w:rsidR="0065785D" w:rsidRDefault="0065785D" w:rsidP="0065785D">
      <w:pPr>
        <w:rPr>
          <w:rFonts w:ascii="Verdana" w:eastAsia="Malgun Gothic" w:hAnsi="Verdana" w:cs="Arial"/>
          <w:sz w:val="18"/>
          <w:szCs w:val="18"/>
        </w:rPr>
      </w:pPr>
    </w:p>
    <w:tbl>
      <w:tblPr>
        <w:tblpPr w:leftFromText="180" w:rightFromText="180" w:vertAnchor="text" w:horzAnchor="margin" w:tblpY="45"/>
        <w:tblW w:w="5000" w:type="pct"/>
        <w:tblLook w:val="04A0" w:firstRow="1" w:lastRow="0" w:firstColumn="1" w:lastColumn="0" w:noHBand="0" w:noVBand="1"/>
      </w:tblPr>
      <w:tblGrid>
        <w:gridCol w:w="5424"/>
        <w:gridCol w:w="1041"/>
        <w:gridCol w:w="1041"/>
        <w:gridCol w:w="1041"/>
        <w:gridCol w:w="1041"/>
      </w:tblGrid>
      <w:tr w:rsidR="0065785D" w:rsidRPr="00445BD8" w14:paraId="5787695C" w14:textId="77777777" w:rsidTr="000005B2">
        <w:trPr>
          <w:trHeight w:val="227"/>
        </w:trPr>
        <w:tc>
          <w:tcPr>
            <w:tcW w:w="5292" w:type="dxa"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AEFC7E" w14:textId="77777777" w:rsidR="0065785D" w:rsidRPr="00E306B8" w:rsidRDefault="0065785D" w:rsidP="000005B2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Table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3A192B11" w14:textId="77777777" w:rsidR="0065785D" w:rsidRPr="00C05321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16" w:type="dxa"/>
            <w:tcBorders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7295F4FA" w14:textId="77777777" w:rsidR="0065785D" w:rsidRPr="00E306B8" w:rsidRDefault="0065785D" w:rsidP="000005B2">
            <w:pPr>
              <w:ind w:firstLineChars="100" w:firstLine="18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16" w:type="dxa"/>
            <w:tcBorders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7DE417CC" w14:textId="77777777" w:rsidR="0065785D" w:rsidRDefault="0065785D" w:rsidP="000005B2">
            <w:pPr>
              <w:ind w:firstLineChars="100" w:firstLine="18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3271EC6A" w14:textId="77777777" w:rsidR="0065785D" w:rsidRPr="00AD3290" w:rsidRDefault="0065785D" w:rsidP="000005B2">
            <w:pPr>
              <w:ind w:firstLineChars="100" w:firstLine="18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</w:tr>
      <w:tr w:rsidR="0065785D" w:rsidRPr="00445BD8" w14:paraId="6A38AD35" w14:textId="77777777" w:rsidTr="000005B2">
        <w:trPr>
          <w:trHeight w:val="529"/>
        </w:trPr>
        <w:tc>
          <w:tcPr>
            <w:tcW w:w="5292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D9E0" w14:textId="77777777" w:rsidR="0065785D" w:rsidRPr="00E306B8" w:rsidRDefault="0065785D" w:rsidP="000005B2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</w:pPr>
            <w:r w:rsidRPr="00E306B8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 xml:space="preserve">e-Commerce                                                                                      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70059E" w14:textId="77777777" w:rsidR="0065785D" w:rsidRPr="00C05321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9474CA" w14:textId="52DC7BFD" w:rsidR="0065785D" w:rsidRPr="00B640E9" w:rsidRDefault="0065785D" w:rsidP="000005B2">
            <w:pPr>
              <w:ind w:firstLineChars="100" w:firstLine="18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</w:pPr>
            <w:r w:rsidRPr="00E306B8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EC2996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512818" w14:textId="1FEB27C3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C29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7C2232" w14:textId="783DFF48" w:rsidR="0065785D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C29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</w:tr>
      <w:tr w:rsidR="0065785D" w:rsidRPr="00445BD8" w14:paraId="7519DB7B" w14:textId="77777777" w:rsidTr="000005B2">
        <w:trPr>
          <w:trHeight w:val="851"/>
        </w:trPr>
        <w:tc>
          <w:tcPr>
            <w:tcW w:w="6308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AA51" w14:textId="484B5C1A" w:rsidR="0065785D" w:rsidRPr="007B6221" w:rsidRDefault="0065785D" w:rsidP="000005B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</w:pPr>
            <w:r w:rsidRPr="007B6221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 xml:space="preserve">Purchases / Orders of </w:t>
            </w:r>
            <w:r w:rsidR="0083532E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>G</w:t>
            </w:r>
            <w:r w:rsidRPr="007B6221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 xml:space="preserve">oods and </w:t>
            </w:r>
            <w:r w:rsidR="0083532E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>S</w:t>
            </w:r>
            <w:r w:rsidRPr="007B6221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 xml:space="preserve">ervices over the </w:t>
            </w:r>
            <w:r w:rsidR="0083532E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>I</w:t>
            </w:r>
            <w:r w:rsidRPr="007B6221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>nternet</w:t>
            </w:r>
          </w:p>
          <w:p w14:paraId="59E793A8" w14:textId="77777777" w:rsidR="0065785D" w:rsidRDefault="0065785D" w:rsidP="000005B2">
            <w:pPr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eastAsia="el-GR"/>
              </w:rPr>
              <w:t>(during the 1</w:t>
            </w:r>
            <w:r w:rsidRPr="00933799"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vertAlign w:val="superscript"/>
                <w:lang w:eastAsia="el-GR"/>
              </w:rPr>
              <w:t>st</w:t>
            </w:r>
            <w:r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eastAsia="el-GR"/>
              </w:rPr>
              <w:t xml:space="preserve"> quarter of the year)</w:t>
            </w:r>
          </w:p>
          <w:p w14:paraId="241870A5" w14:textId="77777777" w:rsidR="0065785D" w:rsidRPr="00C05321" w:rsidRDefault="0065785D" w:rsidP="000005B2">
            <w:pPr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C62A8E">
              <w:rPr>
                <w:rFonts w:ascii="Verdana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% on</w:t>
            </w:r>
            <w:r w:rsidRPr="00C62A8E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total i</w:t>
            </w:r>
            <w:r w:rsidRPr="00C62A8E">
              <w:rPr>
                <w:rFonts w:ascii="Verdana" w:hAnsi="Verdana" w:cs="Arial"/>
                <w:color w:val="365F91"/>
                <w:sz w:val="18"/>
                <w:szCs w:val="18"/>
              </w:rPr>
              <w:t xml:space="preserve">ndividuals 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aged 16-74 </w:t>
            </w:r>
            <w:r w:rsidRPr="00C62A8E">
              <w:rPr>
                <w:rFonts w:ascii="Verdana" w:hAnsi="Verdana" w:cs="Arial"/>
                <w:color w:val="365F91"/>
                <w:sz w:val="18"/>
                <w:szCs w:val="18"/>
              </w:rPr>
              <w:t xml:space="preserve">that used the 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internet</w:t>
            </w:r>
            <w:r w:rsidRPr="00C62A8E">
              <w:rPr>
                <w:rFonts w:ascii="Verdana" w:hAnsi="Verdana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8A630E6" w14:textId="3A125C09" w:rsidR="0065785D" w:rsidRPr="00B640E9" w:rsidRDefault="00EC2996" w:rsidP="000005B2">
            <w:pPr>
              <w:ind w:firstLineChars="100" w:firstLine="18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37</w:t>
            </w:r>
            <w:r w:rsidR="0065785D" w:rsidRPr="007B6221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="0065785D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7AAEC1EA" w14:textId="00D0B131" w:rsidR="0065785D" w:rsidRPr="00EC2996" w:rsidRDefault="00EC2996" w:rsidP="000005B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55</w:t>
            </w:r>
            <w:r w:rsidR="0065785D" w:rsidRPr="00AD3290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1D523076" w14:textId="565953AA" w:rsidR="0065785D" w:rsidRDefault="00EC2996" w:rsidP="000005B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63</w:t>
            </w:r>
            <w:r w:rsidR="0065785D" w:rsidRPr="00AD3290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6</w:t>
            </w:r>
          </w:p>
        </w:tc>
      </w:tr>
      <w:tr w:rsidR="0065785D" w:rsidRPr="00445BD8" w14:paraId="5CE95021" w14:textId="77777777" w:rsidTr="000005B2">
        <w:trPr>
          <w:trHeight w:val="851"/>
        </w:trPr>
        <w:tc>
          <w:tcPr>
            <w:tcW w:w="9356" w:type="dxa"/>
            <w:gridSpan w:val="5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5FBDC" w14:textId="752B91DF" w:rsidR="0065785D" w:rsidRPr="007E0B1F" w:rsidRDefault="007E0B1F" w:rsidP="000005B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 xml:space="preserve">Services </w:t>
            </w:r>
            <w:r w:rsidR="0083532E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B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ought over the Internet</w:t>
            </w:r>
          </w:p>
          <w:p w14:paraId="043CC5FF" w14:textId="0C3CC028" w:rsidR="0083532E" w:rsidRPr="0001652B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7B6221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(% on total individuals aged 16-74 that ordered goods or services</w:t>
            </w:r>
          </w:p>
          <w:p w14:paraId="0C9C22A2" w14:textId="11A4748F" w:rsidR="0065785D" w:rsidRDefault="0065785D" w:rsidP="000005B2">
            <w:pPr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7B6221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 xml:space="preserve">over the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internet</w:t>
            </w:r>
            <w:r w:rsidRPr="007B6221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 xml:space="preserve"> during the 1</w:t>
            </w:r>
            <w:r w:rsidRPr="0083532E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n-GB"/>
              </w:rPr>
              <w:t>st</w:t>
            </w:r>
            <w:r w:rsidR="0083532E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 xml:space="preserve"> </w:t>
            </w:r>
            <w:r w:rsidRPr="007B6221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quarter of the year)</w:t>
            </w:r>
          </w:p>
        </w:tc>
      </w:tr>
      <w:tr w:rsidR="0065785D" w:rsidRPr="00445BD8" w14:paraId="17CD35E5" w14:textId="77777777" w:rsidTr="000005B2">
        <w:trPr>
          <w:trHeight w:val="529"/>
        </w:trPr>
        <w:tc>
          <w:tcPr>
            <w:tcW w:w="5292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F36D" w14:textId="3EBF4671" w:rsidR="0065785D" w:rsidRPr="00445BD8" w:rsidRDefault="0065785D" w:rsidP="000005B2">
            <w:pPr>
              <w:jc w:val="both"/>
              <w:rPr>
                <w:rFonts w:ascii="Verdana" w:eastAsia="Malgun Gothic" w:hAnsi="Verdana" w:cs="Arial"/>
                <w:sz w:val="18"/>
                <w:szCs w:val="18"/>
              </w:rPr>
            </w:pPr>
            <w:r w:rsidRPr="00445BD8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 xml:space="preserve">  </w:t>
            </w:r>
            <w:r w:rsidR="00CB5E3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Accommodation </w:t>
            </w:r>
            <w:r w:rsidR="00DD2961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servic</w:t>
            </w:r>
            <w:r w:rsidR="00CB5E3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es</w:t>
            </w:r>
            <w:r w:rsidRPr="00445BD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8E9CF2" w14:textId="77777777" w:rsidR="0065785D" w:rsidRPr="00C05321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27F5F6" w14:textId="1C884087" w:rsidR="0065785D" w:rsidRPr="00C05321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13B68E" w14:textId="51D6C339" w:rsidR="0065785D" w:rsidRPr="00933799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1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4F5DC5" w14:textId="227F167D" w:rsidR="0065785D" w:rsidRPr="00933799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</w:rPr>
              <w:t>6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5</w:t>
            </w:r>
          </w:p>
        </w:tc>
      </w:tr>
      <w:tr w:rsidR="0065785D" w:rsidRPr="00445BD8" w14:paraId="60B5F01D" w14:textId="77777777" w:rsidTr="000005B2">
        <w:trPr>
          <w:trHeight w:val="529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5840" w14:textId="4BAFC386" w:rsidR="0065785D" w:rsidRPr="00445BD8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445BD8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 xml:space="preserve">  </w:t>
            </w:r>
            <w:r w:rsidR="00CB5E3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 services from enterprises</w:t>
            </w:r>
            <w:r w:rsidRPr="00445BD8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DB62B9" w14:textId="77777777" w:rsidR="0065785D" w:rsidRPr="00040700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671406" w14:textId="19322425" w:rsidR="0065785D" w:rsidRPr="00C05321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77E23A" w14:textId="6AE240B4" w:rsidR="0065785D" w:rsidRPr="00933799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2E9FD1" w14:textId="092FB8AE" w:rsidR="0065785D" w:rsidRPr="00933799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45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5</w:t>
            </w:r>
          </w:p>
        </w:tc>
      </w:tr>
      <w:tr w:rsidR="0065785D" w:rsidRPr="00445BD8" w14:paraId="52E01C2A" w14:textId="77777777" w:rsidTr="000005B2">
        <w:trPr>
          <w:trHeight w:val="529"/>
        </w:trPr>
        <w:tc>
          <w:tcPr>
            <w:tcW w:w="529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EC9648C" w14:textId="68A3E018" w:rsidR="0065785D" w:rsidRPr="00445BD8" w:rsidRDefault="0065785D" w:rsidP="000005B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040700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 xml:space="preserve">  </w:t>
            </w:r>
            <w:r w:rsidR="00CB5E3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Tickets to events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</w:tcPr>
          <w:p w14:paraId="4F232ACC" w14:textId="77777777" w:rsidR="0065785D" w:rsidRPr="00C05321" w:rsidRDefault="0065785D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</w:tcPr>
          <w:p w14:paraId="132DA915" w14:textId="4FE8482E" w:rsidR="0065785D" w:rsidRPr="00C05321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  <w:hideMark/>
          </w:tcPr>
          <w:p w14:paraId="59BC3D5B" w14:textId="18673D4D" w:rsidR="0065785D" w:rsidRPr="00933799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  <w:hideMark/>
          </w:tcPr>
          <w:p w14:paraId="258AA4C7" w14:textId="63C2950E" w:rsidR="0065785D" w:rsidRPr="00933799" w:rsidRDefault="00CB5E37" w:rsidP="000005B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33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="0065785D">
              <w:rPr>
                <w:rFonts w:ascii="Verdana" w:hAnsi="Verdana" w:cs="Arial"/>
                <w:color w:val="365F91"/>
                <w:sz w:val="18"/>
                <w:szCs w:val="18"/>
              </w:rPr>
              <w:t>2</w:t>
            </w:r>
          </w:p>
        </w:tc>
      </w:tr>
    </w:tbl>
    <w:p w14:paraId="35F150C7" w14:textId="77777777" w:rsidR="0083532E" w:rsidRPr="0033545C" w:rsidRDefault="0083532E" w:rsidP="0083532E">
      <w:pPr>
        <w:jc w:val="both"/>
        <w:rPr>
          <w:rFonts w:ascii="Verdana" w:hAnsi="Verdana" w:cs="Arial"/>
          <w:color w:val="365F91"/>
          <w:sz w:val="16"/>
          <w:szCs w:val="16"/>
        </w:rPr>
      </w:pPr>
      <w:bookmarkStart w:id="3" w:name="_Hlk153346891"/>
      <w:r w:rsidRPr="0033545C">
        <w:rPr>
          <w:rFonts w:ascii="Verdana" w:hAnsi="Verdana" w:cs="Arial"/>
          <w:color w:val="365F91"/>
          <w:sz w:val="16"/>
          <w:szCs w:val="16"/>
        </w:rPr>
        <w:t>… Data not available</w:t>
      </w:r>
    </w:p>
    <w:bookmarkEnd w:id="3"/>
    <w:p w14:paraId="3697760D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B98AB02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AE56735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2DB54348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DE2F1A2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265C8A7A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47392DC1" w14:textId="77777777" w:rsidR="0065785D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79D313B" w14:textId="77777777" w:rsidR="0065785D" w:rsidRPr="005B7CD9" w:rsidRDefault="0065785D" w:rsidP="0065785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NOTE</w:t>
      </w:r>
    </w:p>
    <w:p w14:paraId="6476A8C1" w14:textId="77777777" w:rsidR="0065785D" w:rsidRDefault="0065785D" w:rsidP="0065785D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3734EBED" w14:textId="77777777" w:rsidR="0065785D" w:rsidRPr="00AD3290" w:rsidRDefault="0065785D" w:rsidP="0065785D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AD3290">
        <w:rPr>
          <w:rFonts w:ascii="Verdana" w:hAnsi="Verdana"/>
          <w:b/>
          <w:color w:val="000000"/>
          <w:sz w:val="18"/>
          <w:szCs w:val="18"/>
          <w:u w:val="single"/>
        </w:rPr>
        <w:t>Aim</w:t>
      </w:r>
    </w:p>
    <w:p w14:paraId="6568D9B7" w14:textId="7A34D2C0" w:rsidR="0065785D" w:rsidRDefault="0065785D" w:rsidP="00325B80">
      <w:pPr>
        <w:autoSpaceDE w:val="0"/>
        <w:autoSpaceDN w:val="0"/>
        <w:adjustRightInd w:val="0"/>
        <w:jc w:val="both"/>
        <w:rPr>
          <w:color w:val="000000"/>
        </w:rPr>
      </w:pPr>
      <w:r w:rsidRPr="00255F6B">
        <w:rPr>
          <w:rFonts w:ascii="Verdana" w:hAnsi="Verdana"/>
          <w:color w:val="000000"/>
          <w:sz w:val="18"/>
          <w:szCs w:val="18"/>
        </w:rPr>
        <w:t>The aim of the survey is to collect data on the access to selected Information and Communication Technologies</w:t>
      </w:r>
      <w:r>
        <w:rPr>
          <w:rFonts w:ascii="Verdana" w:hAnsi="Verdana"/>
          <w:color w:val="000000"/>
          <w:sz w:val="18"/>
          <w:szCs w:val="18"/>
        </w:rPr>
        <w:t xml:space="preserve"> (ICT)</w:t>
      </w:r>
      <w:r w:rsidRPr="00255F6B">
        <w:rPr>
          <w:rFonts w:ascii="Verdana" w:hAnsi="Verdana"/>
          <w:color w:val="000000"/>
          <w:sz w:val="18"/>
          <w:szCs w:val="18"/>
        </w:rPr>
        <w:t xml:space="preserve">, the use of the </w:t>
      </w:r>
      <w:r>
        <w:rPr>
          <w:rFonts w:ascii="Verdana" w:hAnsi="Verdana"/>
          <w:color w:val="000000"/>
          <w:sz w:val="18"/>
          <w:szCs w:val="18"/>
        </w:rPr>
        <w:t>i</w:t>
      </w:r>
      <w:r w:rsidRPr="00255F6B">
        <w:rPr>
          <w:rFonts w:ascii="Verdana" w:hAnsi="Verdana"/>
          <w:color w:val="000000"/>
          <w:sz w:val="18"/>
          <w:szCs w:val="18"/>
        </w:rPr>
        <w:t>nternet, use of e-</w:t>
      </w:r>
      <w:r w:rsidR="00C13780">
        <w:rPr>
          <w:rFonts w:ascii="Verdana" w:hAnsi="Verdana"/>
          <w:color w:val="000000"/>
          <w:sz w:val="18"/>
          <w:szCs w:val="18"/>
        </w:rPr>
        <w:t>g</w:t>
      </w:r>
      <w:r w:rsidRPr="00255F6B">
        <w:rPr>
          <w:rFonts w:ascii="Verdana" w:hAnsi="Verdana"/>
          <w:color w:val="000000"/>
          <w:sz w:val="18"/>
          <w:szCs w:val="18"/>
        </w:rPr>
        <w:t>overnment, e-</w:t>
      </w:r>
      <w:r w:rsidR="00C13780">
        <w:rPr>
          <w:rFonts w:ascii="Verdana" w:hAnsi="Verdana"/>
          <w:color w:val="000000"/>
          <w:sz w:val="18"/>
          <w:szCs w:val="18"/>
        </w:rPr>
        <w:t>c</w:t>
      </w:r>
      <w:r w:rsidRPr="00255F6B">
        <w:rPr>
          <w:rFonts w:ascii="Verdana" w:hAnsi="Verdana"/>
          <w:color w:val="000000"/>
          <w:sz w:val="18"/>
          <w:szCs w:val="18"/>
        </w:rPr>
        <w:t xml:space="preserve">ommerce, </w:t>
      </w:r>
      <w:r w:rsidR="00325B80">
        <w:rPr>
          <w:color w:val="000000"/>
        </w:rPr>
        <w:t>internet of things and green ICT</w:t>
      </w:r>
      <w:r w:rsidR="003F21F0">
        <w:rPr>
          <w:color w:val="000000"/>
        </w:rPr>
        <w:t>.</w:t>
      </w:r>
    </w:p>
    <w:p w14:paraId="33F5A808" w14:textId="77777777" w:rsidR="00325B80" w:rsidRPr="009A4B20" w:rsidRDefault="00325B80" w:rsidP="00325B8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0275327A" w14:textId="77777777" w:rsidR="0065785D" w:rsidRPr="009A4B20" w:rsidRDefault="0065785D" w:rsidP="0065785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9A4B20"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651E227F" w14:textId="090924DF" w:rsidR="0065785D" w:rsidRPr="0004064D" w:rsidRDefault="0065785D" w:rsidP="0065785D">
      <w:pPr>
        <w:autoSpaceDE w:val="0"/>
        <w:autoSpaceDN w:val="0"/>
        <w:adjustRightInd w:val="0"/>
        <w:jc w:val="both"/>
        <w:rPr>
          <w:rFonts w:ascii="Verdana" w:hAnsi="Verdana" w:cs="TimesNewRoman"/>
          <w:sz w:val="18"/>
          <w:szCs w:val="18"/>
        </w:rPr>
      </w:pPr>
      <w:r w:rsidRPr="009A4B20">
        <w:rPr>
          <w:rFonts w:ascii="Verdana" w:hAnsi="Verdana" w:cs="TimesNewRoman"/>
          <w:sz w:val="18"/>
          <w:szCs w:val="18"/>
        </w:rPr>
        <w:t>The survey was conducte</w:t>
      </w:r>
      <w:r>
        <w:rPr>
          <w:rFonts w:ascii="Verdana" w:hAnsi="Verdana" w:cs="TimesNewRoman"/>
          <w:sz w:val="18"/>
          <w:szCs w:val="18"/>
        </w:rPr>
        <w:t>d during the period April – June 202</w:t>
      </w:r>
      <w:r w:rsidR="000C09DB">
        <w:rPr>
          <w:rFonts w:ascii="Verdana" w:hAnsi="Verdana" w:cs="TimesNewRoman"/>
          <w:sz w:val="18"/>
          <w:szCs w:val="18"/>
        </w:rPr>
        <w:t>4</w:t>
      </w:r>
      <w:r>
        <w:rPr>
          <w:rFonts w:ascii="Verdana" w:hAnsi="Verdana" w:cs="TimesNewRoman"/>
          <w:sz w:val="18"/>
          <w:szCs w:val="18"/>
        </w:rPr>
        <w:t xml:space="preserve"> and covered 1.</w:t>
      </w:r>
      <w:r w:rsidRPr="00A47665">
        <w:rPr>
          <w:rFonts w:ascii="Verdana" w:hAnsi="Verdana" w:cs="TimesNewRoman"/>
          <w:sz w:val="18"/>
          <w:szCs w:val="18"/>
        </w:rPr>
        <w:t>8</w:t>
      </w:r>
      <w:r w:rsidR="000C09DB">
        <w:rPr>
          <w:rFonts w:ascii="Verdana" w:hAnsi="Verdana" w:cs="TimesNewRoman"/>
          <w:sz w:val="18"/>
          <w:szCs w:val="18"/>
        </w:rPr>
        <w:t>38</w:t>
      </w:r>
      <w:r>
        <w:rPr>
          <w:rFonts w:ascii="Verdana" w:hAnsi="Verdana" w:cs="TimesNewRoman"/>
          <w:sz w:val="18"/>
          <w:szCs w:val="18"/>
        </w:rPr>
        <w:t xml:space="preserve"> </w:t>
      </w:r>
      <w:r w:rsidRPr="009A4B20">
        <w:rPr>
          <w:rFonts w:ascii="Verdana" w:hAnsi="Verdana" w:cs="TimesNewRoman"/>
          <w:sz w:val="18"/>
          <w:szCs w:val="18"/>
        </w:rPr>
        <w:t>households with at least one membe</w:t>
      </w:r>
      <w:r>
        <w:rPr>
          <w:rFonts w:ascii="Verdana" w:hAnsi="Verdana" w:cs="TimesNewRoman"/>
          <w:sz w:val="18"/>
          <w:szCs w:val="18"/>
        </w:rPr>
        <w:t>r aged 16 – 74 and 3</w:t>
      </w:r>
      <w:r w:rsidRPr="009A4B20">
        <w:rPr>
          <w:rFonts w:ascii="Verdana" w:hAnsi="Verdana" w:cs="TimesNewRoman"/>
          <w:sz w:val="18"/>
          <w:szCs w:val="18"/>
        </w:rPr>
        <w:t>.</w:t>
      </w:r>
      <w:r w:rsidR="000C09DB">
        <w:rPr>
          <w:rFonts w:ascii="Verdana" w:hAnsi="Verdana" w:cs="TimesNewRoman"/>
          <w:sz w:val="18"/>
          <w:szCs w:val="18"/>
        </w:rPr>
        <w:t>763</w:t>
      </w:r>
      <w:r w:rsidRPr="009A4B20">
        <w:rPr>
          <w:rFonts w:ascii="Verdana" w:hAnsi="Verdana" w:cs="TimesNewRoman"/>
          <w:sz w:val="18"/>
          <w:szCs w:val="18"/>
        </w:rPr>
        <w:t xml:space="preserve"> indivi</w:t>
      </w:r>
      <w:r>
        <w:rPr>
          <w:rFonts w:ascii="Verdana" w:hAnsi="Verdana" w:cs="TimesNewRoman"/>
          <w:sz w:val="18"/>
          <w:szCs w:val="18"/>
        </w:rPr>
        <w:t>duals aged 16 – 74</w:t>
      </w:r>
      <w:r w:rsidR="00C13780">
        <w:rPr>
          <w:rFonts w:ascii="Verdana" w:hAnsi="Verdana" w:cs="TimesNewRoman"/>
          <w:sz w:val="18"/>
          <w:szCs w:val="18"/>
        </w:rPr>
        <w:t xml:space="preserve"> years</w:t>
      </w:r>
      <w:r w:rsidR="006861A7">
        <w:rPr>
          <w:rFonts w:ascii="Verdana" w:hAnsi="Verdana" w:cs="TimesNewRoman"/>
          <w:sz w:val="18"/>
          <w:szCs w:val="18"/>
        </w:rPr>
        <w:t>.</w:t>
      </w:r>
      <w:r>
        <w:rPr>
          <w:rFonts w:ascii="Verdana" w:hAnsi="Verdana" w:cs="TimesNewRoman"/>
          <w:sz w:val="18"/>
          <w:szCs w:val="18"/>
        </w:rPr>
        <w:t xml:space="preserve"> </w:t>
      </w:r>
    </w:p>
    <w:p w14:paraId="501E5A79" w14:textId="77777777" w:rsidR="0065785D" w:rsidRPr="009A4B20" w:rsidRDefault="0065785D" w:rsidP="0065785D">
      <w:pPr>
        <w:pStyle w:val="Normal13pt"/>
        <w:tabs>
          <w:tab w:val="left" w:pos="630"/>
        </w:tabs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</w:pPr>
    </w:p>
    <w:p w14:paraId="3781B9DC" w14:textId="77777777" w:rsidR="0065785D" w:rsidRDefault="0065785D" w:rsidP="0065785D">
      <w:pPr>
        <w:pStyle w:val="Normal13pt"/>
        <w:tabs>
          <w:tab w:val="left" w:pos="630"/>
        </w:tabs>
        <w:spacing w:line="240" w:lineRule="auto"/>
        <w:ind w:left="0"/>
        <w:rPr>
          <w:rFonts w:ascii="Verdana" w:eastAsia="Malgun Gothic" w:hAnsi="Verdana" w:cs="Arial"/>
          <w:sz w:val="18"/>
          <w:szCs w:val="18"/>
          <w:lang w:val="en-US"/>
        </w:rPr>
      </w:pPr>
      <w:r w:rsidRPr="009A4B20">
        <w:rPr>
          <w:rFonts w:ascii="Verdana" w:eastAsia="Malgun Gothic" w:hAnsi="Verdana" w:cs="Arial"/>
          <w:sz w:val="18"/>
          <w:szCs w:val="18"/>
          <w:lang w:val="en-US"/>
        </w:rPr>
        <w:t xml:space="preserve">Sampling </w:t>
      </w:r>
    </w:p>
    <w:p w14:paraId="06C407F7" w14:textId="77777777" w:rsidR="0065785D" w:rsidRPr="004F123C" w:rsidRDefault="0065785D" w:rsidP="0065785D">
      <w:pPr>
        <w:jc w:val="both"/>
        <w:rPr>
          <w:rFonts w:ascii="Verdana" w:hAnsi="Verdana"/>
          <w:sz w:val="18"/>
          <w:szCs w:val="18"/>
        </w:rPr>
      </w:pPr>
      <w:r w:rsidRPr="004F123C">
        <w:rPr>
          <w:rFonts w:ascii="Verdana" w:hAnsi="Verdana"/>
          <w:sz w:val="18"/>
          <w:szCs w:val="18"/>
        </w:rPr>
        <w:t>The sampling frame used for the selection of the sample was the 2021 Population Census, with reference date the 1st of October 20</w:t>
      </w:r>
      <w:r w:rsidRPr="00A47665">
        <w:rPr>
          <w:rFonts w:ascii="Verdana" w:hAnsi="Verdana"/>
          <w:sz w:val="18"/>
          <w:szCs w:val="18"/>
        </w:rPr>
        <w:t>2</w:t>
      </w:r>
      <w:r w:rsidRPr="004F123C">
        <w:rPr>
          <w:rFonts w:ascii="Verdana" w:hAnsi="Verdana"/>
          <w:sz w:val="18"/>
          <w:szCs w:val="18"/>
        </w:rPr>
        <w:t xml:space="preserve">1. The sampling units are </w:t>
      </w:r>
      <w:r>
        <w:rPr>
          <w:rFonts w:ascii="Verdana" w:hAnsi="Verdana"/>
          <w:sz w:val="18"/>
          <w:szCs w:val="18"/>
        </w:rPr>
        <w:t xml:space="preserve">the </w:t>
      </w:r>
      <w:r w:rsidRPr="004F123C">
        <w:rPr>
          <w:rFonts w:ascii="Verdana" w:hAnsi="Verdana"/>
          <w:sz w:val="18"/>
          <w:szCs w:val="18"/>
        </w:rPr>
        <w:t xml:space="preserve">households. </w:t>
      </w:r>
    </w:p>
    <w:p w14:paraId="29723672" w14:textId="77777777" w:rsidR="0065785D" w:rsidRPr="004F123C" w:rsidRDefault="0065785D" w:rsidP="0065785D">
      <w:pPr>
        <w:jc w:val="both"/>
        <w:rPr>
          <w:rFonts w:ascii="Verdana" w:hAnsi="Verdana"/>
          <w:sz w:val="18"/>
          <w:szCs w:val="18"/>
        </w:rPr>
      </w:pPr>
    </w:p>
    <w:p w14:paraId="1D9F713B" w14:textId="21D25591" w:rsidR="0065785D" w:rsidRPr="004F123C" w:rsidRDefault="0065785D" w:rsidP="0065785D">
      <w:pPr>
        <w:jc w:val="both"/>
        <w:rPr>
          <w:rFonts w:ascii="Verdana" w:hAnsi="Verdana"/>
          <w:sz w:val="18"/>
          <w:szCs w:val="18"/>
        </w:rPr>
      </w:pPr>
      <w:r w:rsidRPr="004F123C">
        <w:rPr>
          <w:rFonts w:ascii="Verdana" w:hAnsi="Verdana"/>
          <w:sz w:val="18"/>
          <w:szCs w:val="18"/>
        </w:rPr>
        <w:t xml:space="preserve">The selection of the sample in urban areas </w:t>
      </w:r>
      <w:r>
        <w:rPr>
          <w:rFonts w:ascii="Verdana" w:hAnsi="Verdana"/>
          <w:sz w:val="18"/>
          <w:szCs w:val="18"/>
        </w:rPr>
        <w:t>was</w:t>
      </w:r>
      <w:r w:rsidRPr="004F123C">
        <w:rPr>
          <w:rFonts w:ascii="Verdana" w:hAnsi="Verdana"/>
          <w:sz w:val="18"/>
          <w:szCs w:val="18"/>
        </w:rPr>
        <w:t xml:space="preserve"> done by simple random sampling (one-stage sampling). In rural areas, two-stage sampling </w:t>
      </w:r>
      <w:r>
        <w:rPr>
          <w:rFonts w:ascii="Verdana" w:hAnsi="Verdana"/>
          <w:sz w:val="18"/>
          <w:szCs w:val="18"/>
        </w:rPr>
        <w:t>was</w:t>
      </w:r>
      <w:r w:rsidRPr="004F123C">
        <w:rPr>
          <w:rFonts w:ascii="Verdana" w:hAnsi="Verdana"/>
          <w:sz w:val="18"/>
          <w:szCs w:val="18"/>
        </w:rPr>
        <w:t xml:space="preserve"> used. </w:t>
      </w:r>
      <w:r>
        <w:rPr>
          <w:rFonts w:ascii="Verdana" w:hAnsi="Verdana"/>
          <w:sz w:val="18"/>
          <w:szCs w:val="18"/>
        </w:rPr>
        <w:t>Communities constituted</w:t>
      </w:r>
      <w:r w:rsidRPr="004F123C">
        <w:rPr>
          <w:rFonts w:ascii="Verdana" w:hAnsi="Verdana"/>
          <w:sz w:val="18"/>
          <w:szCs w:val="18"/>
        </w:rPr>
        <w:t xml:space="preserve"> the primary sampling units, while households </w:t>
      </w:r>
      <w:r>
        <w:rPr>
          <w:rFonts w:ascii="Verdana" w:hAnsi="Verdana"/>
          <w:sz w:val="18"/>
          <w:szCs w:val="18"/>
        </w:rPr>
        <w:t>were</w:t>
      </w:r>
      <w:r w:rsidRPr="004F123C">
        <w:rPr>
          <w:rFonts w:ascii="Verdana" w:hAnsi="Verdana"/>
          <w:sz w:val="18"/>
          <w:szCs w:val="18"/>
        </w:rPr>
        <w:t xml:space="preserve"> the secondary sampling units. Neighbo</w:t>
      </w:r>
      <w:r>
        <w:rPr>
          <w:rFonts w:ascii="Verdana" w:hAnsi="Verdana"/>
          <w:sz w:val="18"/>
          <w:szCs w:val="18"/>
        </w:rPr>
        <w:t>u</w:t>
      </w:r>
      <w:r w:rsidRPr="004F123C">
        <w:rPr>
          <w:rFonts w:ascii="Verdana" w:hAnsi="Verdana"/>
          <w:sz w:val="18"/>
          <w:szCs w:val="18"/>
        </w:rPr>
        <w:t xml:space="preserve">ring </w:t>
      </w:r>
      <w:r>
        <w:rPr>
          <w:rFonts w:ascii="Verdana" w:hAnsi="Verdana"/>
          <w:sz w:val="18"/>
          <w:szCs w:val="18"/>
        </w:rPr>
        <w:t>communities</w:t>
      </w:r>
      <w:r w:rsidRPr="004F123C">
        <w:rPr>
          <w:rFonts w:ascii="Verdana" w:hAnsi="Verdana"/>
          <w:sz w:val="18"/>
          <w:szCs w:val="18"/>
        </w:rPr>
        <w:t xml:space="preserve"> with a small number of households </w:t>
      </w:r>
      <w:r>
        <w:rPr>
          <w:rFonts w:ascii="Verdana" w:hAnsi="Verdana"/>
          <w:sz w:val="18"/>
          <w:szCs w:val="18"/>
        </w:rPr>
        <w:t>were</w:t>
      </w:r>
      <w:r w:rsidRPr="004F123C">
        <w:rPr>
          <w:rFonts w:ascii="Verdana" w:hAnsi="Verdana"/>
          <w:sz w:val="18"/>
          <w:szCs w:val="18"/>
        </w:rPr>
        <w:t xml:space="preserve"> merged in order to create </w:t>
      </w:r>
      <w:r>
        <w:rPr>
          <w:rFonts w:ascii="Verdana" w:hAnsi="Verdana"/>
          <w:sz w:val="18"/>
          <w:szCs w:val="18"/>
        </w:rPr>
        <w:t>agglomerations</w:t>
      </w:r>
      <w:r w:rsidRPr="004F123C">
        <w:rPr>
          <w:rFonts w:ascii="Verdana" w:hAnsi="Verdana"/>
          <w:sz w:val="18"/>
          <w:szCs w:val="18"/>
        </w:rPr>
        <w:t xml:space="preserve"> with a minimum number of households. The sample of </w:t>
      </w:r>
      <w:r>
        <w:rPr>
          <w:rFonts w:ascii="Verdana" w:hAnsi="Verdana"/>
          <w:sz w:val="18"/>
          <w:szCs w:val="18"/>
        </w:rPr>
        <w:t>communities was</w:t>
      </w:r>
      <w:r w:rsidRPr="004F123C">
        <w:rPr>
          <w:rFonts w:ascii="Verdana" w:hAnsi="Verdana"/>
          <w:sz w:val="18"/>
          <w:szCs w:val="18"/>
        </w:rPr>
        <w:t xml:space="preserve"> selected with probability proportional to the size of the </w:t>
      </w:r>
      <w:r>
        <w:rPr>
          <w:rFonts w:ascii="Verdana" w:hAnsi="Verdana"/>
          <w:sz w:val="18"/>
          <w:szCs w:val="18"/>
        </w:rPr>
        <w:t xml:space="preserve">community </w:t>
      </w:r>
      <w:r w:rsidRPr="004F123C">
        <w:rPr>
          <w:rFonts w:ascii="Verdana" w:hAnsi="Verdana"/>
          <w:sz w:val="18"/>
          <w:szCs w:val="18"/>
        </w:rPr>
        <w:t xml:space="preserve">(PPS). Some </w:t>
      </w:r>
      <w:r>
        <w:rPr>
          <w:rFonts w:ascii="Verdana" w:hAnsi="Verdana"/>
          <w:sz w:val="18"/>
          <w:szCs w:val="18"/>
        </w:rPr>
        <w:t>communities</w:t>
      </w:r>
      <w:r w:rsidRPr="004F123C">
        <w:rPr>
          <w:rFonts w:ascii="Verdana" w:hAnsi="Verdana"/>
          <w:sz w:val="18"/>
          <w:szCs w:val="18"/>
        </w:rPr>
        <w:t xml:space="preserve"> are large and therefore their probability of selection </w:t>
      </w:r>
      <w:r>
        <w:rPr>
          <w:rFonts w:ascii="Verdana" w:hAnsi="Verdana"/>
          <w:sz w:val="18"/>
          <w:szCs w:val="18"/>
        </w:rPr>
        <w:t>was</w:t>
      </w:r>
      <w:r w:rsidRPr="004F123C">
        <w:rPr>
          <w:rFonts w:ascii="Verdana" w:hAnsi="Verdana"/>
          <w:sz w:val="18"/>
          <w:szCs w:val="18"/>
        </w:rPr>
        <w:t xml:space="preserve"> equal to 1. A simple random sample of households </w:t>
      </w:r>
      <w:r>
        <w:rPr>
          <w:rFonts w:ascii="Verdana" w:hAnsi="Verdana"/>
          <w:sz w:val="18"/>
          <w:szCs w:val="18"/>
        </w:rPr>
        <w:t>was</w:t>
      </w:r>
      <w:r w:rsidRPr="004F123C">
        <w:rPr>
          <w:rFonts w:ascii="Verdana" w:hAnsi="Verdana"/>
          <w:sz w:val="18"/>
          <w:szCs w:val="18"/>
        </w:rPr>
        <w:t xml:space="preserve"> </w:t>
      </w:r>
      <w:r w:rsidR="00656BFF">
        <w:rPr>
          <w:rFonts w:ascii="Verdana" w:hAnsi="Verdana"/>
          <w:sz w:val="18"/>
          <w:szCs w:val="18"/>
        </w:rPr>
        <w:t xml:space="preserve">then </w:t>
      </w:r>
      <w:r w:rsidRPr="004F123C">
        <w:rPr>
          <w:rFonts w:ascii="Verdana" w:hAnsi="Verdana"/>
          <w:sz w:val="18"/>
          <w:szCs w:val="18"/>
        </w:rPr>
        <w:t xml:space="preserve">selected </w:t>
      </w:r>
      <w:r>
        <w:rPr>
          <w:rFonts w:ascii="Verdana" w:hAnsi="Verdana"/>
          <w:sz w:val="18"/>
          <w:szCs w:val="18"/>
        </w:rPr>
        <w:t xml:space="preserve">within </w:t>
      </w:r>
      <w:r w:rsidRPr="004F123C">
        <w:rPr>
          <w:rFonts w:ascii="Verdana" w:hAnsi="Verdana"/>
          <w:sz w:val="18"/>
          <w:szCs w:val="18"/>
        </w:rPr>
        <w:t xml:space="preserve">each </w:t>
      </w:r>
      <w:r>
        <w:rPr>
          <w:rFonts w:ascii="Verdana" w:hAnsi="Verdana"/>
          <w:sz w:val="18"/>
          <w:szCs w:val="18"/>
        </w:rPr>
        <w:t>community s</w:t>
      </w:r>
      <w:r w:rsidR="00656BFF">
        <w:rPr>
          <w:rFonts w:ascii="Verdana" w:hAnsi="Verdana"/>
          <w:sz w:val="18"/>
          <w:szCs w:val="18"/>
        </w:rPr>
        <w:t>ampl</w:t>
      </w:r>
      <w:r>
        <w:rPr>
          <w:rFonts w:ascii="Verdana" w:hAnsi="Verdana"/>
          <w:sz w:val="18"/>
          <w:szCs w:val="18"/>
        </w:rPr>
        <w:t>ed</w:t>
      </w:r>
      <w:r w:rsidRPr="004F123C">
        <w:rPr>
          <w:rFonts w:ascii="Verdana" w:hAnsi="Verdana"/>
          <w:sz w:val="18"/>
          <w:szCs w:val="18"/>
        </w:rPr>
        <w:t>.</w:t>
      </w:r>
    </w:p>
    <w:p w14:paraId="08C7B8A8" w14:textId="77777777" w:rsidR="0065785D" w:rsidRPr="004F123C" w:rsidRDefault="0065785D" w:rsidP="0065785D">
      <w:pPr>
        <w:jc w:val="both"/>
        <w:rPr>
          <w:rFonts w:ascii="Verdana" w:hAnsi="Verdana"/>
          <w:sz w:val="18"/>
          <w:szCs w:val="18"/>
        </w:rPr>
      </w:pPr>
    </w:p>
    <w:p w14:paraId="7103BECC" w14:textId="28A4DE43" w:rsidR="0065785D" w:rsidRPr="004F123C" w:rsidRDefault="0065785D" w:rsidP="0065785D">
      <w:pPr>
        <w:jc w:val="both"/>
        <w:rPr>
          <w:rFonts w:ascii="Verdana" w:hAnsi="Verdana"/>
          <w:sz w:val="18"/>
          <w:szCs w:val="18"/>
          <w:lang w:val="en-GB"/>
        </w:rPr>
      </w:pPr>
      <w:r w:rsidRPr="004F123C">
        <w:rPr>
          <w:rFonts w:ascii="Verdana" w:hAnsi="Verdana"/>
          <w:sz w:val="18"/>
          <w:szCs w:val="18"/>
        </w:rPr>
        <w:t>All individuals aged 16-74</w:t>
      </w:r>
      <w:r>
        <w:rPr>
          <w:rFonts w:ascii="Verdana" w:hAnsi="Verdana"/>
          <w:sz w:val="18"/>
          <w:szCs w:val="18"/>
        </w:rPr>
        <w:t xml:space="preserve"> years</w:t>
      </w:r>
      <w:r w:rsidRPr="004F123C">
        <w:rPr>
          <w:rFonts w:ascii="Verdana" w:hAnsi="Verdana"/>
          <w:sz w:val="18"/>
          <w:szCs w:val="18"/>
        </w:rPr>
        <w:t xml:space="preserve"> within each sampled household were selected</w:t>
      </w:r>
      <w:r w:rsidR="00656BFF">
        <w:rPr>
          <w:rFonts w:ascii="Verdana" w:hAnsi="Verdana"/>
          <w:sz w:val="18"/>
          <w:szCs w:val="18"/>
        </w:rPr>
        <w:t xml:space="preserve"> for an interview</w:t>
      </w:r>
      <w:r w:rsidRPr="004F123C">
        <w:rPr>
          <w:rFonts w:ascii="Verdana" w:hAnsi="Verdana"/>
          <w:sz w:val="18"/>
          <w:szCs w:val="18"/>
        </w:rPr>
        <w:t>.</w:t>
      </w:r>
      <w:r w:rsidRPr="004F123C">
        <w:rPr>
          <w:rFonts w:ascii="Verdana" w:hAnsi="Verdana"/>
          <w:sz w:val="18"/>
          <w:szCs w:val="18"/>
          <w:lang w:val="en-GB"/>
        </w:rPr>
        <w:t xml:space="preserve"> </w:t>
      </w:r>
    </w:p>
    <w:p w14:paraId="37BB9A09" w14:textId="77777777" w:rsidR="0065785D" w:rsidRPr="004F123C" w:rsidRDefault="0065785D" w:rsidP="006578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31123E9" w14:textId="77777777" w:rsidR="0065785D" w:rsidRPr="009A4B20" w:rsidRDefault="0065785D" w:rsidP="0065785D">
      <w:pPr>
        <w:pStyle w:val="Normal13pt"/>
        <w:tabs>
          <w:tab w:val="left" w:pos="630"/>
        </w:tabs>
        <w:spacing w:line="240" w:lineRule="auto"/>
        <w:ind w:left="0"/>
        <w:rPr>
          <w:rFonts w:ascii="Verdana" w:eastAsia="Malgun Gothic" w:hAnsi="Verdana" w:cs="Arial"/>
          <w:sz w:val="18"/>
          <w:szCs w:val="18"/>
          <w:lang w:val="en-US"/>
        </w:rPr>
      </w:pPr>
      <w:r w:rsidRPr="009A4B20">
        <w:rPr>
          <w:rFonts w:ascii="Verdana" w:eastAsia="Malgun Gothic" w:hAnsi="Verdana" w:cs="Arial"/>
          <w:sz w:val="18"/>
          <w:szCs w:val="18"/>
          <w:lang w:val="en-US"/>
        </w:rPr>
        <w:t>Data Collection</w:t>
      </w:r>
    </w:p>
    <w:p w14:paraId="339B76EA" w14:textId="77777777" w:rsidR="0065785D" w:rsidRDefault="0065785D" w:rsidP="0065785D">
      <w:pPr>
        <w:pStyle w:val="Normal13pt"/>
        <w:tabs>
          <w:tab w:val="left" w:pos="630"/>
        </w:tabs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</w:pPr>
      <w:r w:rsidRPr="00FE5453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The data collection was conducted through personal interviews with all individuals of household</w:t>
      </w:r>
      <w:r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s</w:t>
      </w:r>
      <w:r w:rsidRPr="00FE5453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 xml:space="preserve"> aged 16-74 years. In case of absence of an individual, </w:t>
      </w:r>
      <w:r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another family</w:t>
      </w:r>
      <w:r w:rsidRPr="00FE5453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 xml:space="preserve"> member </w:t>
      </w:r>
      <w:r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helped with the answers.</w:t>
      </w:r>
    </w:p>
    <w:p w14:paraId="6E2DBD9B" w14:textId="77777777" w:rsidR="0065785D" w:rsidRPr="009A4B20" w:rsidRDefault="0065785D" w:rsidP="0065785D">
      <w:pPr>
        <w:pStyle w:val="Normal13pt"/>
        <w:tabs>
          <w:tab w:val="left" w:pos="630"/>
        </w:tabs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</w:pPr>
    </w:p>
    <w:p w14:paraId="6BCFD1E7" w14:textId="77777777" w:rsidR="0065785D" w:rsidRPr="009A4B20" w:rsidRDefault="0065785D" w:rsidP="0065785D">
      <w:pPr>
        <w:pStyle w:val="Normal13pt"/>
        <w:tabs>
          <w:tab w:val="left" w:pos="630"/>
        </w:tabs>
        <w:spacing w:line="240" w:lineRule="auto"/>
        <w:ind w:left="0"/>
        <w:rPr>
          <w:rFonts w:ascii="Verdana" w:eastAsia="Malgun Gothic" w:hAnsi="Verdana" w:cs="Arial"/>
          <w:sz w:val="18"/>
          <w:szCs w:val="18"/>
          <w:lang w:val="en-US"/>
        </w:rPr>
      </w:pPr>
      <w:r w:rsidRPr="009A4B20">
        <w:rPr>
          <w:rFonts w:ascii="Verdana" w:eastAsia="Malgun Gothic" w:hAnsi="Verdana" w:cs="Arial"/>
          <w:sz w:val="18"/>
          <w:szCs w:val="18"/>
          <w:lang w:val="en-US"/>
        </w:rPr>
        <w:t>Reference Period</w:t>
      </w:r>
    </w:p>
    <w:p w14:paraId="1EB468A8" w14:textId="4D79B909" w:rsidR="0065785D" w:rsidRPr="009A4B20" w:rsidRDefault="0065785D" w:rsidP="0065785D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u w:val="none"/>
          <w:lang w:val="en-US"/>
        </w:rPr>
      </w:pP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The data refer to 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 xml:space="preserve">the 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>first qua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>rter of 202</w:t>
      </w:r>
      <w:r w:rsidR="009D0A09">
        <w:rPr>
          <w:rFonts w:ascii="Verdana" w:hAnsi="Verdana"/>
          <w:b w:val="0"/>
          <w:sz w:val="18"/>
          <w:szCs w:val="18"/>
          <w:u w:val="none"/>
          <w:lang w:val="en-US"/>
        </w:rPr>
        <w:t>4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>, unless otherwise stated.</w:t>
      </w:r>
    </w:p>
    <w:p w14:paraId="0A1FB181" w14:textId="77777777" w:rsidR="0065785D" w:rsidRPr="009A4B20" w:rsidRDefault="0065785D" w:rsidP="0065785D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highlight w:val="yellow"/>
          <w:u w:val="none"/>
          <w:lang w:val="en-US"/>
        </w:rPr>
      </w:pPr>
    </w:p>
    <w:p w14:paraId="7CE94560" w14:textId="77777777" w:rsidR="0065785D" w:rsidRDefault="0065785D" w:rsidP="0065785D">
      <w:pPr>
        <w:pStyle w:val="Normal13pt"/>
        <w:spacing w:line="240" w:lineRule="auto"/>
        <w:ind w:left="0"/>
        <w:rPr>
          <w:rFonts w:ascii="Verdana" w:hAnsi="Verdana"/>
          <w:sz w:val="18"/>
          <w:szCs w:val="18"/>
          <w:lang w:val="en-US"/>
        </w:rPr>
      </w:pPr>
      <w:r w:rsidRPr="009A4B20">
        <w:rPr>
          <w:rFonts w:ascii="Verdana" w:hAnsi="Verdana"/>
          <w:sz w:val="18"/>
          <w:szCs w:val="18"/>
          <w:lang w:val="en-US"/>
        </w:rPr>
        <w:t>Definitions</w:t>
      </w:r>
    </w:p>
    <w:p w14:paraId="1C1777D4" w14:textId="77777777" w:rsidR="0065785D" w:rsidRPr="009A4B20" w:rsidRDefault="0065785D" w:rsidP="0065785D">
      <w:pPr>
        <w:pStyle w:val="Normal13pt"/>
        <w:spacing w:line="240" w:lineRule="auto"/>
        <w:ind w:left="0"/>
        <w:rPr>
          <w:rFonts w:ascii="Verdana" w:hAnsi="Verdana"/>
          <w:sz w:val="18"/>
          <w:szCs w:val="18"/>
          <w:lang w:val="en-US"/>
        </w:rPr>
      </w:pPr>
    </w:p>
    <w:p w14:paraId="4B5CAE8C" w14:textId="3CA80327" w:rsidR="0065785D" w:rsidRDefault="0065785D" w:rsidP="0065785D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u w:val="none"/>
          <w:lang w:val="en-US"/>
        </w:rPr>
      </w:pPr>
      <w:r>
        <w:rPr>
          <w:rFonts w:ascii="Verdana" w:hAnsi="Verdana"/>
          <w:sz w:val="18"/>
          <w:szCs w:val="18"/>
          <w:u w:val="none"/>
          <w:lang w:val="en-US"/>
        </w:rPr>
        <w:t xml:space="preserve">Use of </w:t>
      </w:r>
      <w:r w:rsidRPr="009A4B20">
        <w:rPr>
          <w:rFonts w:ascii="Verdana" w:hAnsi="Verdana"/>
          <w:sz w:val="18"/>
          <w:szCs w:val="18"/>
          <w:u w:val="none"/>
          <w:lang w:val="en-US"/>
        </w:rPr>
        <w:t xml:space="preserve">e-Commerce: 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refers to the purchase of goods and services over the 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>internet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f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 xml:space="preserve">or private use via any device. 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Purchases refer to ordering goods or services for which payment is required but the payment does not have to be online. Orders via manually typed e-mails, SMS or MMS 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>are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excluded.</w:t>
      </w:r>
    </w:p>
    <w:p w14:paraId="3DA102FB" w14:textId="77777777" w:rsidR="0065785D" w:rsidRDefault="0065785D" w:rsidP="0065785D">
      <w:pPr>
        <w:pStyle w:val="Normal13pt"/>
        <w:spacing w:line="240" w:lineRule="auto"/>
        <w:ind w:left="0"/>
        <w:jc w:val="left"/>
        <w:rPr>
          <w:rFonts w:ascii="Verdana" w:hAnsi="Verdana"/>
          <w:b w:val="0"/>
          <w:sz w:val="18"/>
          <w:szCs w:val="18"/>
          <w:u w:val="none"/>
          <w:lang w:val="en-US"/>
        </w:rPr>
      </w:pPr>
    </w:p>
    <w:p w14:paraId="64FC3405" w14:textId="148DC184" w:rsidR="0065785D" w:rsidRDefault="0065785D" w:rsidP="0065785D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u w:val="none"/>
          <w:lang w:val="en-US"/>
        </w:rPr>
      </w:pPr>
      <w:r>
        <w:rPr>
          <w:rFonts w:ascii="Verdana" w:hAnsi="Verdana"/>
          <w:sz w:val="18"/>
          <w:szCs w:val="18"/>
          <w:u w:val="none"/>
          <w:lang w:val="en-US"/>
        </w:rPr>
        <w:t>Use of e-Government</w:t>
      </w:r>
      <w:r w:rsidRPr="009A4B20">
        <w:rPr>
          <w:rFonts w:ascii="Verdana" w:hAnsi="Verdana"/>
          <w:sz w:val="18"/>
          <w:szCs w:val="18"/>
          <w:u w:val="none"/>
          <w:lang w:val="en-US"/>
        </w:rPr>
        <w:t>:</w:t>
      </w:r>
      <w:r>
        <w:rPr>
          <w:rFonts w:ascii="Verdana" w:hAnsi="Verdana"/>
          <w:sz w:val="18"/>
          <w:szCs w:val="18"/>
          <w:u w:val="none"/>
          <w:lang w:val="en-US"/>
        </w:rPr>
        <w:t xml:space="preserve"> </w:t>
      </w:r>
      <w:r w:rsidRPr="005A7ABA">
        <w:rPr>
          <w:rFonts w:ascii="Verdana" w:hAnsi="Verdana"/>
          <w:b w:val="0"/>
          <w:sz w:val="18"/>
          <w:szCs w:val="18"/>
          <w:u w:val="none"/>
          <w:lang w:val="en-US"/>
        </w:rPr>
        <w:t xml:space="preserve">refers to electronic contacts via the 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>internet</w:t>
      </w:r>
      <w:r w:rsidRPr="005A7ABA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with public authorities and some public services. 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>Contacts through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ma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>nually typed e-mails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r>
        <w:rPr>
          <w:rFonts w:ascii="Verdana" w:hAnsi="Verdana"/>
          <w:b w:val="0"/>
          <w:sz w:val="18"/>
          <w:szCs w:val="18"/>
          <w:u w:val="none"/>
          <w:lang w:val="en-US"/>
        </w:rPr>
        <w:t>are</w:t>
      </w:r>
      <w:r w:rsidRPr="009A4B2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excluded.</w:t>
      </w:r>
    </w:p>
    <w:p w14:paraId="3A647FAE" w14:textId="77777777" w:rsidR="0065785D" w:rsidRPr="001A6C82" w:rsidRDefault="0065785D" w:rsidP="0065785D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  <w:lang w:val="en-GB"/>
        </w:rPr>
      </w:pPr>
    </w:p>
    <w:p w14:paraId="3C830436" w14:textId="77777777" w:rsidR="0065785D" w:rsidRPr="009A4B20" w:rsidRDefault="0065785D" w:rsidP="0065785D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</w:rPr>
      </w:pPr>
      <w:r w:rsidRPr="009A4B20">
        <w:rPr>
          <w:rFonts w:ascii="Verdana" w:eastAsia="Malgun Gothic" w:hAnsi="Verdana" w:cs="Arial"/>
          <w:b/>
          <w:sz w:val="18"/>
          <w:szCs w:val="18"/>
        </w:rPr>
        <w:t xml:space="preserve">Use of </w:t>
      </w:r>
      <w:r>
        <w:rPr>
          <w:rFonts w:ascii="Verdana" w:eastAsia="Malgun Gothic" w:hAnsi="Verdana" w:cs="Arial"/>
          <w:b/>
          <w:sz w:val="18"/>
          <w:szCs w:val="18"/>
        </w:rPr>
        <w:t xml:space="preserve">the </w:t>
      </w:r>
      <w:r w:rsidRPr="009A4B20">
        <w:rPr>
          <w:rFonts w:ascii="Verdana" w:eastAsia="Malgun Gothic" w:hAnsi="Verdana" w:cs="Arial"/>
          <w:b/>
          <w:sz w:val="18"/>
          <w:szCs w:val="18"/>
        </w:rPr>
        <w:t xml:space="preserve">Internet: </w:t>
      </w:r>
      <w:r w:rsidRPr="009A4B20">
        <w:rPr>
          <w:rFonts w:ascii="Verdana" w:eastAsia="Malgun Gothic" w:hAnsi="Verdana" w:cs="Arial"/>
          <w:sz w:val="18"/>
          <w:szCs w:val="18"/>
        </w:rPr>
        <w:t>Internet use via any device: desktop, laptop, netbook, tablet, as well as smart phones, games consoles, e-book readers.</w:t>
      </w:r>
    </w:p>
    <w:p w14:paraId="094568D5" w14:textId="77777777" w:rsidR="0065785D" w:rsidRPr="00AD3290" w:rsidRDefault="0065785D" w:rsidP="0065785D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46D3655B" w14:textId="77777777" w:rsidR="0065785D" w:rsidRDefault="0065785D" w:rsidP="0065785D">
      <w:pPr>
        <w:rPr>
          <w:rFonts w:ascii="Verdana" w:hAnsi="Verdana"/>
          <w:b/>
          <w:i/>
          <w:sz w:val="18"/>
          <w:szCs w:val="18"/>
          <w:lang w:val="en-GB"/>
        </w:rPr>
      </w:pPr>
    </w:p>
    <w:p w14:paraId="36E433D1" w14:textId="77777777" w:rsidR="0065785D" w:rsidRPr="00D16ABC" w:rsidRDefault="0065785D" w:rsidP="0065785D">
      <w:pPr>
        <w:rPr>
          <w:rFonts w:ascii="Verdana" w:hAnsi="Verdana"/>
          <w:b/>
          <w:i/>
          <w:sz w:val="18"/>
          <w:szCs w:val="18"/>
          <w:lang w:val="en-GB"/>
        </w:rPr>
      </w:pPr>
      <w:r w:rsidRPr="00D16ABC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6BA4B802" w14:textId="77777777" w:rsidR="0065785D" w:rsidRPr="00D16ABC" w:rsidRDefault="0065785D" w:rsidP="0065785D">
      <w:pPr>
        <w:rPr>
          <w:rFonts w:ascii="Verdana" w:hAnsi="Verdana"/>
          <w:sz w:val="18"/>
          <w:szCs w:val="18"/>
        </w:rPr>
      </w:pPr>
      <w:r w:rsidRPr="00D16ABC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 w:rsidRPr="009A4612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Information Society</w:t>
        </w:r>
      </w:hyperlink>
    </w:p>
    <w:p w14:paraId="293411D3" w14:textId="77777777" w:rsidR="0065785D" w:rsidRDefault="0065785D" w:rsidP="0065785D">
      <w:pPr>
        <w:rPr>
          <w:rFonts w:ascii="Verdana" w:hAnsi="Verdana"/>
          <w:sz w:val="18"/>
          <w:szCs w:val="18"/>
        </w:rPr>
      </w:pPr>
      <w:hyperlink r:id="rId11" w:history="1">
        <w:r w:rsidRPr="009A4612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Pr="00D16ABC">
        <w:rPr>
          <w:rFonts w:ascii="Verdana" w:hAnsi="Verdana"/>
          <w:sz w:val="18"/>
          <w:szCs w:val="18"/>
        </w:rPr>
        <w:t xml:space="preserve"> (Online Database)</w:t>
      </w:r>
    </w:p>
    <w:p w14:paraId="4D9C911C" w14:textId="77777777" w:rsidR="0065785D" w:rsidRDefault="0065785D" w:rsidP="0065785D">
      <w:pPr>
        <w:rPr>
          <w:rStyle w:val="Hyperlink"/>
          <w:rFonts w:ascii="Verdana" w:hAnsi="Verdana"/>
          <w:sz w:val="18"/>
          <w:szCs w:val="18"/>
        </w:rPr>
      </w:pPr>
      <w:hyperlink r:id="rId12" w:history="1">
        <w:r w:rsidRPr="00CD6F9E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29FDBF3C" w14:textId="427C8F90" w:rsidR="007D1ABD" w:rsidRPr="0038641D" w:rsidRDefault="007D1ABD" w:rsidP="007D1ABD">
      <w:pPr>
        <w:jc w:val="both"/>
        <w:rPr>
          <w:rFonts w:ascii="Verdana" w:eastAsia="Times New Roman" w:hAnsi="Verdana"/>
          <w:sz w:val="18"/>
          <w:szCs w:val="18"/>
        </w:rPr>
      </w:pPr>
      <w:hyperlink r:id="rId13" w:history="1">
        <w:r w:rsidRPr="008B03FD">
          <w:rPr>
            <w:rStyle w:val="Hyperlink"/>
            <w:rFonts w:ascii="Verdana" w:eastAsia="Times New Roman" w:hAnsi="Verdana"/>
            <w:sz w:val="18"/>
            <w:szCs w:val="18"/>
          </w:rPr>
          <w:t xml:space="preserve">Summary </w:t>
        </w:r>
        <w:r w:rsidR="0001652B">
          <w:rPr>
            <w:rStyle w:val="Hyperlink"/>
            <w:rFonts w:ascii="Verdana" w:eastAsia="Times New Roman" w:hAnsi="Verdana"/>
            <w:sz w:val="18"/>
            <w:szCs w:val="18"/>
          </w:rPr>
          <w:t>R</w:t>
        </w:r>
        <w:r w:rsidRPr="008B03FD">
          <w:rPr>
            <w:rStyle w:val="Hyperlink"/>
            <w:rFonts w:ascii="Verdana" w:eastAsia="Times New Roman" w:hAnsi="Verdana"/>
            <w:sz w:val="18"/>
            <w:szCs w:val="18"/>
          </w:rPr>
          <w:t>esults</w:t>
        </w:r>
      </w:hyperlink>
    </w:p>
    <w:p w14:paraId="4546D941" w14:textId="77777777" w:rsidR="007D1ABD" w:rsidRPr="00D16ABC" w:rsidRDefault="007D1ABD" w:rsidP="0065785D">
      <w:pPr>
        <w:rPr>
          <w:rFonts w:ascii="Verdana" w:hAnsi="Verdana"/>
          <w:sz w:val="18"/>
          <w:szCs w:val="18"/>
        </w:rPr>
      </w:pPr>
    </w:p>
    <w:p w14:paraId="0A77C7A0" w14:textId="77777777" w:rsidR="0065785D" w:rsidRPr="00EA3B2D" w:rsidRDefault="0065785D" w:rsidP="0065785D">
      <w:pPr>
        <w:jc w:val="both"/>
        <w:rPr>
          <w:rFonts w:ascii="Verdana" w:eastAsia="Times New Roman" w:hAnsi="Verdana"/>
          <w:sz w:val="18"/>
          <w:szCs w:val="18"/>
          <w:highlight w:val="yellow"/>
        </w:rPr>
      </w:pPr>
    </w:p>
    <w:p w14:paraId="3032008B" w14:textId="77DF1FB0" w:rsidR="0065785D" w:rsidRPr="00D16ABC" w:rsidRDefault="0065785D" w:rsidP="0065785D">
      <w:r>
        <w:rPr>
          <w:rFonts w:ascii="Verdana" w:eastAsia="Malgun Gothic" w:hAnsi="Verdana" w:cs="Arial"/>
          <w:b/>
          <w:sz w:val="18"/>
          <w:szCs w:val="18"/>
        </w:rPr>
        <w:t xml:space="preserve">Data up to 2020 are available in excel format under </w:t>
      </w:r>
      <w:hyperlink r:id="rId14" w:history="1">
        <w:r w:rsidRPr="009A4612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9A4612">
        <w:rPr>
          <w:rFonts w:ascii="Verdana" w:hAnsi="Verdana"/>
          <w:sz w:val="18"/>
          <w:szCs w:val="18"/>
        </w:rPr>
        <w:t>.</w:t>
      </w:r>
    </w:p>
    <w:p w14:paraId="094BAFEA" w14:textId="77777777" w:rsidR="0065785D" w:rsidRPr="00DF5804" w:rsidRDefault="0065785D" w:rsidP="0065785D">
      <w:pPr>
        <w:jc w:val="both"/>
        <w:rPr>
          <w:rFonts w:ascii="Verdana" w:eastAsia="Times New Roman" w:hAnsi="Verdana"/>
          <w:sz w:val="18"/>
          <w:szCs w:val="18"/>
          <w:highlight w:val="yellow"/>
        </w:rPr>
      </w:pPr>
    </w:p>
    <w:p w14:paraId="37A84833" w14:textId="77777777" w:rsidR="0065785D" w:rsidRPr="00DF5804" w:rsidRDefault="0065785D" w:rsidP="0065785D">
      <w:pPr>
        <w:jc w:val="both"/>
        <w:rPr>
          <w:rFonts w:ascii="Verdana" w:eastAsia="Times New Roman" w:hAnsi="Verdana"/>
          <w:sz w:val="18"/>
          <w:szCs w:val="18"/>
          <w:highlight w:val="yellow"/>
        </w:rPr>
      </w:pPr>
      <w:r w:rsidRPr="00DF5804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</w:p>
    <w:p w14:paraId="4DE69C1A" w14:textId="2FB5EDD1" w:rsidR="0065785D" w:rsidRPr="00694D82" w:rsidRDefault="0065785D" w:rsidP="0065785D">
      <w:pPr>
        <w:jc w:val="both"/>
        <w:rPr>
          <w:rFonts w:ascii="Verdana" w:eastAsia="Malgun Gothic" w:hAnsi="Verdana" w:cs="Arial"/>
          <w:sz w:val="18"/>
          <w:szCs w:val="18"/>
        </w:rPr>
      </w:pPr>
      <w:r w:rsidRPr="00AD3290">
        <w:rPr>
          <w:rFonts w:ascii="Verdana" w:eastAsia="Malgun Gothic" w:hAnsi="Verdana" w:cs="Arial"/>
          <w:sz w:val="18"/>
          <w:szCs w:val="18"/>
        </w:rPr>
        <w:t xml:space="preserve">Antreas Charalambous: </w:t>
      </w:r>
      <w:r w:rsidR="001F3E6C" w:rsidRPr="00AD3290">
        <w:rPr>
          <w:rFonts w:ascii="Verdana" w:eastAsia="Malgun Gothic" w:hAnsi="Verdana" w:cs="Arial"/>
          <w:sz w:val="18"/>
          <w:szCs w:val="18"/>
        </w:rPr>
        <w:t>Tel: +</w:t>
      </w:r>
      <w:r w:rsidRPr="00AD3290">
        <w:rPr>
          <w:rFonts w:ascii="Verdana" w:eastAsia="Malgun Gothic" w:hAnsi="Verdana" w:cs="Arial"/>
          <w:sz w:val="18"/>
          <w:szCs w:val="18"/>
        </w:rPr>
        <w:t>35726</w:t>
      </w:r>
      <w:r w:rsidRPr="00AD3290">
        <w:rPr>
          <w:rFonts w:ascii="Verdana" w:eastAsia="Malgun Gothic" w:hAnsi="Verdana" w:cs="Arial"/>
          <w:sz w:val="18"/>
          <w:szCs w:val="18"/>
          <w:lang w:val="en-GB"/>
        </w:rPr>
        <w:t>804436</w:t>
      </w:r>
      <w:r w:rsidRPr="00AD3290">
        <w:rPr>
          <w:rFonts w:ascii="Verdana" w:eastAsia="Malgun Gothic" w:hAnsi="Verdana" w:cs="Arial"/>
          <w:sz w:val="18"/>
          <w:szCs w:val="18"/>
        </w:rPr>
        <w:t xml:space="preserve">, Email.: </w:t>
      </w:r>
      <w:hyperlink r:id="rId15" w:history="1">
        <w:r w:rsidRPr="00AD3290">
          <w:rPr>
            <w:rStyle w:val="Hyperlink"/>
            <w:rFonts w:ascii="Verdana" w:eastAsia="Malgun Gothic" w:hAnsi="Verdana" w:cs="Arial"/>
            <w:sz w:val="18"/>
            <w:szCs w:val="18"/>
          </w:rPr>
          <w:t>ancharalambous@cystat.mof.gov.cy</w:t>
        </w:r>
      </w:hyperlink>
    </w:p>
    <w:p w14:paraId="22FF678A" w14:textId="77777777" w:rsidR="0065785D" w:rsidRPr="00697CE0" w:rsidRDefault="0065785D" w:rsidP="0065785D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6CD4F3B7" w14:textId="409697A9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B041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811" w:right="1185" w:bottom="102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9D30" w14:textId="77777777" w:rsidR="00DE0FEA" w:rsidRDefault="00DE0FEA" w:rsidP="00FB398F">
      <w:r>
        <w:separator/>
      </w:r>
    </w:p>
  </w:endnote>
  <w:endnote w:type="continuationSeparator" w:id="0">
    <w:p w14:paraId="1C8AD143" w14:textId="77777777" w:rsidR="00DE0FEA" w:rsidRDefault="00DE0FE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7F2F" w14:textId="77777777" w:rsidR="00540668" w:rsidRDefault="0054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551F3555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111B6790" w:rsidR="0060256A" w:rsidRPr="0065785D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65785D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65785D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0D0D" w14:textId="77777777" w:rsidR="00DE0FEA" w:rsidRDefault="00DE0FEA" w:rsidP="00FB398F">
      <w:r>
        <w:separator/>
      </w:r>
    </w:p>
  </w:footnote>
  <w:footnote w:type="continuationSeparator" w:id="0">
    <w:p w14:paraId="1F0C6F6C" w14:textId="77777777" w:rsidR="00DE0FEA" w:rsidRDefault="00DE0FE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21CC" w14:textId="77777777" w:rsidR="00540668" w:rsidRDefault="0054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29744">
    <w:abstractNumId w:val="4"/>
  </w:num>
  <w:num w:numId="2" w16cid:durableId="1351644216">
    <w:abstractNumId w:val="1"/>
  </w:num>
  <w:num w:numId="3" w16cid:durableId="1245261815">
    <w:abstractNumId w:val="2"/>
  </w:num>
  <w:num w:numId="4" w16cid:durableId="1582135467">
    <w:abstractNumId w:val="3"/>
  </w:num>
  <w:num w:numId="5" w16cid:durableId="62409611">
    <w:abstractNumId w:val="0"/>
  </w:num>
  <w:num w:numId="6" w16cid:durableId="1597862716">
    <w:abstractNumId w:val="5"/>
  </w:num>
  <w:num w:numId="7" w16cid:durableId="10447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52B"/>
    <w:rsid w:val="00025A39"/>
    <w:rsid w:val="00027853"/>
    <w:rsid w:val="00030E18"/>
    <w:rsid w:val="000318CB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61F13"/>
    <w:rsid w:val="00070528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00F7"/>
    <w:rsid w:val="000B6F3B"/>
    <w:rsid w:val="000C09DB"/>
    <w:rsid w:val="000C1D95"/>
    <w:rsid w:val="000C4E72"/>
    <w:rsid w:val="000D1E7A"/>
    <w:rsid w:val="000E13A6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3E1F"/>
    <w:rsid w:val="001253B6"/>
    <w:rsid w:val="00127320"/>
    <w:rsid w:val="00127456"/>
    <w:rsid w:val="001312D8"/>
    <w:rsid w:val="0013137B"/>
    <w:rsid w:val="001357E0"/>
    <w:rsid w:val="00136E2C"/>
    <w:rsid w:val="0014225A"/>
    <w:rsid w:val="0015118B"/>
    <w:rsid w:val="001519CE"/>
    <w:rsid w:val="001555E4"/>
    <w:rsid w:val="00161CF3"/>
    <w:rsid w:val="00162C00"/>
    <w:rsid w:val="001639EF"/>
    <w:rsid w:val="0016589F"/>
    <w:rsid w:val="00166FC4"/>
    <w:rsid w:val="00176558"/>
    <w:rsid w:val="0017756A"/>
    <w:rsid w:val="0017769A"/>
    <w:rsid w:val="001809DF"/>
    <w:rsid w:val="00183DFC"/>
    <w:rsid w:val="00184384"/>
    <w:rsid w:val="00186717"/>
    <w:rsid w:val="00187FFC"/>
    <w:rsid w:val="001A2018"/>
    <w:rsid w:val="001A30EA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1F3E6C"/>
    <w:rsid w:val="0020309E"/>
    <w:rsid w:val="00205BA0"/>
    <w:rsid w:val="00210B58"/>
    <w:rsid w:val="00222423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9553D"/>
    <w:rsid w:val="002A1D1C"/>
    <w:rsid w:val="002A2FB5"/>
    <w:rsid w:val="002A4D64"/>
    <w:rsid w:val="002B6554"/>
    <w:rsid w:val="002D05F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174C7"/>
    <w:rsid w:val="00322FBE"/>
    <w:rsid w:val="00325632"/>
    <w:rsid w:val="00325B80"/>
    <w:rsid w:val="00325ECD"/>
    <w:rsid w:val="00327107"/>
    <w:rsid w:val="00327549"/>
    <w:rsid w:val="003342A5"/>
    <w:rsid w:val="00336C36"/>
    <w:rsid w:val="003375AC"/>
    <w:rsid w:val="003377E8"/>
    <w:rsid w:val="00343815"/>
    <w:rsid w:val="00347234"/>
    <w:rsid w:val="003522BB"/>
    <w:rsid w:val="00352F6C"/>
    <w:rsid w:val="003556EA"/>
    <w:rsid w:val="00364377"/>
    <w:rsid w:val="00377ABB"/>
    <w:rsid w:val="003854F5"/>
    <w:rsid w:val="00386FC7"/>
    <w:rsid w:val="00390A32"/>
    <w:rsid w:val="00396C89"/>
    <w:rsid w:val="00397644"/>
    <w:rsid w:val="003A2D67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21F0"/>
    <w:rsid w:val="003F49E4"/>
    <w:rsid w:val="003F4D2F"/>
    <w:rsid w:val="003F5E32"/>
    <w:rsid w:val="003F75F6"/>
    <w:rsid w:val="00404670"/>
    <w:rsid w:val="00414608"/>
    <w:rsid w:val="00414CA0"/>
    <w:rsid w:val="00422F54"/>
    <w:rsid w:val="0043026D"/>
    <w:rsid w:val="00431516"/>
    <w:rsid w:val="004361B3"/>
    <w:rsid w:val="0044249D"/>
    <w:rsid w:val="0044379F"/>
    <w:rsid w:val="00443E0D"/>
    <w:rsid w:val="00446FB1"/>
    <w:rsid w:val="0046078F"/>
    <w:rsid w:val="00463214"/>
    <w:rsid w:val="0046434D"/>
    <w:rsid w:val="004656FA"/>
    <w:rsid w:val="00471D77"/>
    <w:rsid w:val="00475587"/>
    <w:rsid w:val="00480BC2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37A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138F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6B4B"/>
    <w:rsid w:val="00567D64"/>
    <w:rsid w:val="00572BC2"/>
    <w:rsid w:val="005776DF"/>
    <w:rsid w:val="005938ED"/>
    <w:rsid w:val="0059478C"/>
    <w:rsid w:val="005978D4"/>
    <w:rsid w:val="005A2E4C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D7FD1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BFF"/>
    <w:rsid w:val="0065711B"/>
    <w:rsid w:val="0065785D"/>
    <w:rsid w:val="00671785"/>
    <w:rsid w:val="00672BA9"/>
    <w:rsid w:val="00673005"/>
    <w:rsid w:val="006804BE"/>
    <w:rsid w:val="006861A7"/>
    <w:rsid w:val="0069008E"/>
    <w:rsid w:val="0069087E"/>
    <w:rsid w:val="00691191"/>
    <w:rsid w:val="00691CE0"/>
    <w:rsid w:val="006925C4"/>
    <w:rsid w:val="0069309C"/>
    <w:rsid w:val="006A02B7"/>
    <w:rsid w:val="006B46D5"/>
    <w:rsid w:val="006B46F4"/>
    <w:rsid w:val="006C7AF3"/>
    <w:rsid w:val="006D6548"/>
    <w:rsid w:val="006D79C9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7AB"/>
    <w:rsid w:val="007531B1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3A0"/>
    <w:rsid w:val="00784BDC"/>
    <w:rsid w:val="00792F28"/>
    <w:rsid w:val="0079543F"/>
    <w:rsid w:val="00795880"/>
    <w:rsid w:val="007A4367"/>
    <w:rsid w:val="007B0867"/>
    <w:rsid w:val="007B1AC1"/>
    <w:rsid w:val="007B5A08"/>
    <w:rsid w:val="007B693D"/>
    <w:rsid w:val="007C1DAB"/>
    <w:rsid w:val="007D0338"/>
    <w:rsid w:val="007D1ABD"/>
    <w:rsid w:val="007E041B"/>
    <w:rsid w:val="007E090C"/>
    <w:rsid w:val="007E0B1F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532E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13B2"/>
    <w:rsid w:val="0086628D"/>
    <w:rsid w:val="00867186"/>
    <w:rsid w:val="00870AF6"/>
    <w:rsid w:val="00881268"/>
    <w:rsid w:val="0088394A"/>
    <w:rsid w:val="008860BD"/>
    <w:rsid w:val="00887399"/>
    <w:rsid w:val="008874CD"/>
    <w:rsid w:val="0088779E"/>
    <w:rsid w:val="008912AF"/>
    <w:rsid w:val="00892114"/>
    <w:rsid w:val="00892CB9"/>
    <w:rsid w:val="008935CB"/>
    <w:rsid w:val="008A4E29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8F7F6B"/>
    <w:rsid w:val="0090338C"/>
    <w:rsid w:val="00914A23"/>
    <w:rsid w:val="00915B0E"/>
    <w:rsid w:val="0092089C"/>
    <w:rsid w:val="00920A01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3A82"/>
    <w:rsid w:val="00972912"/>
    <w:rsid w:val="00972CA0"/>
    <w:rsid w:val="00976D1F"/>
    <w:rsid w:val="00981C81"/>
    <w:rsid w:val="00992209"/>
    <w:rsid w:val="009A2D24"/>
    <w:rsid w:val="009A456C"/>
    <w:rsid w:val="009A4612"/>
    <w:rsid w:val="009A4B24"/>
    <w:rsid w:val="009B00E0"/>
    <w:rsid w:val="009B292A"/>
    <w:rsid w:val="009B76D5"/>
    <w:rsid w:val="009C165D"/>
    <w:rsid w:val="009C37F7"/>
    <w:rsid w:val="009C3CEA"/>
    <w:rsid w:val="009C4626"/>
    <w:rsid w:val="009C583D"/>
    <w:rsid w:val="009D0A09"/>
    <w:rsid w:val="009D2611"/>
    <w:rsid w:val="009D79D2"/>
    <w:rsid w:val="009E076C"/>
    <w:rsid w:val="009E247C"/>
    <w:rsid w:val="009E31BA"/>
    <w:rsid w:val="009F0528"/>
    <w:rsid w:val="009F0806"/>
    <w:rsid w:val="009F0B47"/>
    <w:rsid w:val="009F233B"/>
    <w:rsid w:val="009F6901"/>
    <w:rsid w:val="00A05D16"/>
    <w:rsid w:val="00A0659F"/>
    <w:rsid w:val="00A079BA"/>
    <w:rsid w:val="00A1357B"/>
    <w:rsid w:val="00A30193"/>
    <w:rsid w:val="00A33875"/>
    <w:rsid w:val="00A360A1"/>
    <w:rsid w:val="00A402B3"/>
    <w:rsid w:val="00A43C33"/>
    <w:rsid w:val="00A463DF"/>
    <w:rsid w:val="00A544B7"/>
    <w:rsid w:val="00A55FF7"/>
    <w:rsid w:val="00A56A5E"/>
    <w:rsid w:val="00A618CF"/>
    <w:rsid w:val="00A62770"/>
    <w:rsid w:val="00A62EEB"/>
    <w:rsid w:val="00A660FF"/>
    <w:rsid w:val="00A6625A"/>
    <w:rsid w:val="00A66266"/>
    <w:rsid w:val="00A73395"/>
    <w:rsid w:val="00A82B4C"/>
    <w:rsid w:val="00A856A7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BB5"/>
    <w:rsid w:val="00B041A0"/>
    <w:rsid w:val="00B04AF4"/>
    <w:rsid w:val="00B05214"/>
    <w:rsid w:val="00B056CB"/>
    <w:rsid w:val="00B05ED6"/>
    <w:rsid w:val="00B0736F"/>
    <w:rsid w:val="00B12479"/>
    <w:rsid w:val="00B30D97"/>
    <w:rsid w:val="00B31738"/>
    <w:rsid w:val="00B3181A"/>
    <w:rsid w:val="00B35A7C"/>
    <w:rsid w:val="00B450D1"/>
    <w:rsid w:val="00B53D47"/>
    <w:rsid w:val="00B54A25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780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2FC3"/>
    <w:rsid w:val="00C469C1"/>
    <w:rsid w:val="00C50659"/>
    <w:rsid w:val="00C51B39"/>
    <w:rsid w:val="00C5338A"/>
    <w:rsid w:val="00C54EF9"/>
    <w:rsid w:val="00C568C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5E37"/>
    <w:rsid w:val="00CB6BC1"/>
    <w:rsid w:val="00CB7021"/>
    <w:rsid w:val="00CC15A9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3EAE"/>
    <w:rsid w:val="00D15FF1"/>
    <w:rsid w:val="00D167F4"/>
    <w:rsid w:val="00D2092A"/>
    <w:rsid w:val="00D2216D"/>
    <w:rsid w:val="00D314B8"/>
    <w:rsid w:val="00D31A6F"/>
    <w:rsid w:val="00D33293"/>
    <w:rsid w:val="00D34D7B"/>
    <w:rsid w:val="00D353D1"/>
    <w:rsid w:val="00D367DB"/>
    <w:rsid w:val="00D36E05"/>
    <w:rsid w:val="00D44F27"/>
    <w:rsid w:val="00D45304"/>
    <w:rsid w:val="00D461C7"/>
    <w:rsid w:val="00D50424"/>
    <w:rsid w:val="00D57D3E"/>
    <w:rsid w:val="00D64174"/>
    <w:rsid w:val="00D72FF1"/>
    <w:rsid w:val="00D843F4"/>
    <w:rsid w:val="00D976A2"/>
    <w:rsid w:val="00DC23CF"/>
    <w:rsid w:val="00DC575F"/>
    <w:rsid w:val="00DC6562"/>
    <w:rsid w:val="00DD2961"/>
    <w:rsid w:val="00DE041A"/>
    <w:rsid w:val="00DE0FEA"/>
    <w:rsid w:val="00DE130D"/>
    <w:rsid w:val="00DE24CF"/>
    <w:rsid w:val="00DE407C"/>
    <w:rsid w:val="00DE6647"/>
    <w:rsid w:val="00DE7C7D"/>
    <w:rsid w:val="00DF2992"/>
    <w:rsid w:val="00DF2B6B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2996"/>
    <w:rsid w:val="00EC33CD"/>
    <w:rsid w:val="00EC5BE5"/>
    <w:rsid w:val="00ED2650"/>
    <w:rsid w:val="00ED4762"/>
    <w:rsid w:val="00ED721A"/>
    <w:rsid w:val="00EE393D"/>
    <w:rsid w:val="00EF01CF"/>
    <w:rsid w:val="00EF6A66"/>
    <w:rsid w:val="00EF7AF9"/>
    <w:rsid w:val="00F01495"/>
    <w:rsid w:val="00F01EE6"/>
    <w:rsid w:val="00F0320F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107E"/>
    <w:rsid w:val="00F53A0E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962D8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1351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n/PublicationList?s=40&amp;pcID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0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Information%20Society_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charalambous@cystat.mof.gov.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ystat.gov.cy/en/SubthemeStatistics?s=4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ystat.gov.cy/en/KeyFiguresList?s=40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3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7019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51</cp:revision>
  <cp:lastPrinted>2016-09-28T08:24:00Z</cp:lastPrinted>
  <dcterms:created xsi:type="dcterms:W3CDTF">2023-12-14T14:07:00Z</dcterms:created>
  <dcterms:modified xsi:type="dcterms:W3CDTF">2024-12-12T08:08:00Z</dcterms:modified>
</cp:coreProperties>
</file>