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EF75" w14:textId="391D5800" w:rsidR="001712CF" w:rsidRDefault="0064531A" w:rsidP="0064531A">
      <w:pPr>
        <w:jc w:val="right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sz w:val="18"/>
          <w:szCs w:val="18"/>
          <w:lang w:val="el-GR"/>
        </w:rPr>
        <w:t>1 Δεκεμβρίου, 2022</w:t>
      </w:r>
    </w:p>
    <w:p w14:paraId="6F0E521A" w14:textId="13709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A3EE097" w14:textId="134DCA82" w:rsidR="001712CF" w:rsidRDefault="0064531A" w:rsidP="0064531A">
      <w:pPr>
        <w:jc w:val="center"/>
        <w:rPr>
          <w:rFonts w:ascii="Verdana" w:hAnsi="Verdana" w:cs="Arial"/>
          <w:b/>
          <w:bCs/>
          <w:caps/>
          <w:sz w:val="24"/>
          <w:szCs w:val="24"/>
          <w:lang w:val="el-GR"/>
        </w:rPr>
      </w:pPr>
      <w:r w:rsidRPr="0064531A">
        <w:rPr>
          <w:rFonts w:ascii="Verdana" w:hAnsi="Verdana" w:cs="Arial"/>
          <w:b/>
          <w:bCs/>
          <w:caps/>
          <w:sz w:val="24"/>
          <w:szCs w:val="24"/>
          <w:lang w:val="el-GR"/>
        </w:rPr>
        <w:t>Δελτίο Τύπου</w:t>
      </w:r>
    </w:p>
    <w:p w14:paraId="2A5E9F17" w14:textId="0B0A023C" w:rsidR="0064531A" w:rsidRDefault="0064531A" w:rsidP="0064531A">
      <w:pPr>
        <w:jc w:val="center"/>
        <w:rPr>
          <w:rFonts w:ascii="Verdana" w:hAnsi="Verdana" w:cs="Arial"/>
          <w:b/>
          <w:bCs/>
          <w:caps/>
          <w:sz w:val="24"/>
          <w:szCs w:val="24"/>
          <w:lang w:val="el-GR"/>
        </w:rPr>
      </w:pPr>
    </w:p>
    <w:p w14:paraId="1A047936" w14:textId="10219B52" w:rsidR="0064531A" w:rsidRPr="0064531A" w:rsidRDefault="0064531A" w:rsidP="0064531A">
      <w:pPr>
        <w:jc w:val="center"/>
        <w:rPr>
          <w:rFonts w:ascii="Verdana" w:hAnsi="Verdana" w:cs="Arial"/>
          <w:caps/>
          <w:u w:val="single"/>
          <w:lang w:val="el-GR"/>
        </w:rPr>
      </w:pPr>
      <w:r w:rsidRPr="0064531A">
        <w:rPr>
          <w:rFonts w:ascii="Verdana" w:hAnsi="Verdana" w:cs="Arial"/>
          <w:caps/>
          <w:u w:val="single"/>
          <w:lang w:val="el-GR"/>
        </w:rPr>
        <w:t>ΑΠΟΤΕΛΕΣΜΑΤΑ ΕΡΕΥΝΑΣ ΧΡΗΣΗΣ ΤΕΧΝΟΛΟΓΙΩΝ ΠΛΗΡΟΦΟΡΙΚΗΣ ΚΑΙ ΕΠΙΚΟΙΝΩΝΙΩΝ</w:t>
      </w:r>
      <w:r w:rsidR="00D61574" w:rsidRPr="00910F25">
        <w:rPr>
          <w:rFonts w:ascii="Verdana" w:hAnsi="Verdana" w:cs="Arial"/>
          <w:caps/>
          <w:u w:val="single"/>
          <w:lang w:val="el-GR"/>
        </w:rPr>
        <w:t xml:space="preserve"> (</w:t>
      </w:r>
      <w:r w:rsidR="00D61574">
        <w:rPr>
          <w:rFonts w:ascii="Verdana" w:hAnsi="Verdana" w:cs="Arial"/>
          <w:caps/>
          <w:u w:val="single"/>
          <w:lang w:val="el-GR"/>
        </w:rPr>
        <w:t>Τ</w:t>
      </w:r>
      <w:r w:rsidR="00910F25">
        <w:rPr>
          <w:rFonts w:ascii="Verdana" w:hAnsi="Verdana" w:cs="Arial"/>
          <w:caps/>
          <w:u w:val="single"/>
          <w:lang w:val="el-GR"/>
        </w:rPr>
        <w:t>πε</w:t>
      </w:r>
      <w:r w:rsidR="00D61574">
        <w:rPr>
          <w:rFonts w:ascii="Verdana" w:hAnsi="Verdana" w:cs="Arial"/>
          <w:caps/>
          <w:u w:val="single"/>
          <w:lang w:val="el-GR"/>
        </w:rPr>
        <w:t>)</w:t>
      </w:r>
      <w:r w:rsidRPr="0064531A">
        <w:rPr>
          <w:rFonts w:ascii="Verdana" w:hAnsi="Verdana" w:cs="Arial"/>
          <w:caps/>
          <w:u w:val="single"/>
          <w:lang w:val="el-GR"/>
        </w:rPr>
        <w:t xml:space="preserve"> ΚΑΙ ΗΛΕΚΤΡΟΝΙΚΟΥ ΕΜΠΟΡΙΟΥ ΣΤΙΣ ΕΠΙΧΕΙΡΗΣΕΙΣ 2022</w:t>
      </w:r>
    </w:p>
    <w:p w14:paraId="1976F61D" w14:textId="77777777" w:rsidR="0064531A" w:rsidRDefault="0064531A" w:rsidP="0064531A">
      <w:pPr>
        <w:jc w:val="center"/>
        <w:rPr>
          <w:rFonts w:ascii="Verdana" w:hAnsi="Verdana" w:cs="Arial"/>
          <w:sz w:val="18"/>
          <w:szCs w:val="18"/>
          <w:lang w:val="el-GR"/>
        </w:rPr>
      </w:pPr>
    </w:p>
    <w:p w14:paraId="737BA75E" w14:textId="220064D1" w:rsidR="000E2A1D" w:rsidRPr="009158C4" w:rsidRDefault="000E2A1D" w:rsidP="000E2A1D">
      <w:pPr>
        <w:jc w:val="both"/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</w:pPr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 xml:space="preserve">Εξ’ αποστάσεως εργασία- εξ’ αποστάσεως πρόσβαση, φορητές συσκευές και </w:t>
      </w:r>
      <w:r w:rsidR="0064531A"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σ</w:t>
      </w:r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υσκέψεις μέσω Διαδικτύου</w:t>
      </w:r>
    </w:p>
    <w:p w14:paraId="3808B809" w14:textId="77777777" w:rsidR="0064531A" w:rsidRDefault="0064531A" w:rsidP="0064531A">
      <w:pPr>
        <w:jc w:val="both"/>
        <w:rPr>
          <w:rFonts w:ascii="Verdana" w:hAnsi="Verdana"/>
          <w:sz w:val="18"/>
          <w:szCs w:val="18"/>
          <w:lang w:val="el-GR"/>
        </w:rPr>
      </w:pPr>
    </w:p>
    <w:p w14:paraId="4A60B49F" w14:textId="29A4B3C0" w:rsidR="000E2A1D" w:rsidRDefault="00DB60DC" w:rsidP="000E2A1D">
      <w:pPr>
        <w:spacing w:after="120"/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Κατά το 2022, το </w:t>
      </w:r>
      <w:r w:rsidR="000E2A1D" w:rsidRPr="00977D21">
        <w:rPr>
          <w:rFonts w:ascii="Verdana" w:hAnsi="Verdana"/>
          <w:sz w:val="18"/>
          <w:szCs w:val="18"/>
          <w:lang w:val="el-GR"/>
        </w:rPr>
        <w:t>81,4% όλων των επιχειρήσεων παρέχουν</w:t>
      </w:r>
      <w:r w:rsidR="00D53540" w:rsidRPr="00D53540">
        <w:rPr>
          <w:rFonts w:ascii="Verdana" w:hAnsi="Verdana"/>
          <w:sz w:val="18"/>
          <w:szCs w:val="18"/>
          <w:lang w:val="el-GR"/>
        </w:rPr>
        <w:t xml:space="preserve"> </w:t>
      </w:r>
      <w:r w:rsidR="000E2A1D" w:rsidRPr="004E3BED">
        <w:rPr>
          <w:rFonts w:ascii="Verdana" w:hAnsi="Verdana"/>
          <w:sz w:val="18"/>
          <w:szCs w:val="18"/>
          <w:lang w:val="el-GR"/>
        </w:rPr>
        <w:t xml:space="preserve">εξ’ αποστάσεως </w:t>
      </w:r>
      <w:r w:rsidR="000E2A1D" w:rsidRPr="00977D21">
        <w:rPr>
          <w:rFonts w:ascii="Verdana" w:hAnsi="Verdana"/>
          <w:sz w:val="18"/>
          <w:szCs w:val="18"/>
          <w:lang w:val="el-GR"/>
        </w:rPr>
        <w:t>πρόσβαση στο σύστημα ηλεκτρονικού ταχυδρομείου της επιχείρησης, το 68,7%</w:t>
      </w:r>
      <w:r w:rsidR="000E2A1D">
        <w:rPr>
          <w:rFonts w:ascii="Verdana" w:hAnsi="Verdana"/>
          <w:sz w:val="18"/>
          <w:szCs w:val="18"/>
          <w:lang w:val="el-GR"/>
        </w:rPr>
        <w:t xml:space="preserve"> </w:t>
      </w:r>
      <w:r w:rsidR="000E2A1D" w:rsidRPr="00977D21">
        <w:rPr>
          <w:rFonts w:ascii="Verdana" w:hAnsi="Verdana"/>
          <w:sz w:val="18"/>
          <w:szCs w:val="18"/>
          <w:lang w:val="el-GR"/>
        </w:rPr>
        <w:t xml:space="preserve">πρόσβαση στα έγγραφα της επιχείρησης, συμπεριλαμβανομένων υπολογιστικών φύλλων, παρουσιάσεων ή άλλων αρχείων και το </w:t>
      </w:r>
      <w:r w:rsidR="000E2A1D">
        <w:rPr>
          <w:rFonts w:ascii="Verdana" w:hAnsi="Verdana"/>
          <w:sz w:val="18"/>
          <w:szCs w:val="18"/>
          <w:lang w:val="el-GR"/>
        </w:rPr>
        <w:t xml:space="preserve"> </w:t>
      </w:r>
      <w:r w:rsidR="000E2A1D" w:rsidRPr="00977D21">
        <w:rPr>
          <w:rFonts w:ascii="Verdana" w:hAnsi="Verdana"/>
          <w:sz w:val="18"/>
          <w:szCs w:val="18"/>
          <w:lang w:val="el-GR"/>
        </w:rPr>
        <w:t xml:space="preserve">64,8%  πρόσβαση στις επιχειρηματικές εφαρμογές της επιχείρησης ή λογισμικό που χρησιμοποιείται από την επιχείρηση </w:t>
      </w:r>
      <w:r w:rsidR="000E2A1D" w:rsidRPr="00780222">
        <w:rPr>
          <w:rFonts w:ascii="Verdana" w:hAnsi="Verdana"/>
          <w:sz w:val="18"/>
          <w:szCs w:val="18"/>
          <w:lang w:val="el-GR"/>
        </w:rPr>
        <w:t xml:space="preserve">(π.χ. πρόσβαση σε λογιστήριο, πωλήσεις, παραγγελίες, CRM) </w:t>
      </w:r>
      <w:r w:rsidR="000E2A1D" w:rsidRPr="00C22940">
        <w:rPr>
          <w:rFonts w:ascii="Verdana" w:hAnsi="Verdana"/>
          <w:sz w:val="18"/>
          <w:szCs w:val="18"/>
          <w:lang w:val="el-GR"/>
        </w:rPr>
        <w:t xml:space="preserve">(Διάγραμμα </w:t>
      </w:r>
      <w:r w:rsidR="0064531A">
        <w:rPr>
          <w:rFonts w:ascii="Verdana" w:hAnsi="Verdana"/>
          <w:sz w:val="18"/>
          <w:szCs w:val="18"/>
          <w:lang w:val="el-GR"/>
        </w:rPr>
        <w:t>1</w:t>
      </w:r>
      <w:r w:rsidR="000E2A1D" w:rsidRPr="00C22940">
        <w:rPr>
          <w:rFonts w:ascii="Verdana" w:hAnsi="Verdana"/>
          <w:sz w:val="18"/>
          <w:szCs w:val="18"/>
          <w:lang w:val="el-GR"/>
        </w:rPr>
        <w:t>).</w:t>
      </w:r>
    </w:p>
    <w:p w14:paraId="1A9B7744" w14:textId="77777777" w:rsidR="00DB60DC" w:rsidRDefault="00DB60DC" w:rsidP="00DB60DC">
      <w:pPr>
        <w:jc w:val="both"/>
        <w:rPr>
          <w:rFonts w:ascii="Verdana" w:hAnsi="Verdana"/>
          <w:sz w:val="18"/>
          <w:szCs w:val="18"/>
          <w:lang w:val="el-GR"/>
        </w:rPr>
      </w:pPr>
      <w:r w:rsidRPr="00977D21">
        <w:rPr>
          <w:rFonts w:ascii="Verdana" w:hAnsi="Verdana"/>
          <w:sz w:val="18"/>
          <w:szCs w:val="18"/>
          <w:lang w:val="el-GR"/>
        </w:rPr>
        <w:t xml:space="preserve">Με τον όρο </w:t>
      </w:r>
      <w:r>
        <w:rPr>
          <w:rFonts w:ascii="Verdana" w:hAnsi="Verdana"/>
          <w:sz w:val="18"/>
          <w:szCs w:val="18"/>
          <w:lang w:val="el-GR"/>
        </w:rPr>
        <w:t xml:space="preserve">εξ’ αποστάσεως </w:t>
      </w:r>
      <w:r w:rsidRPr="00977D21">
        <w:rPr>
          <w:rFonts w:ascii="Verdana" w:hAnsi="Verdana"/>
          <w:sz w:val="18"/>
          <w:szCs w:val="18"/>
          <w:lang w:val="el-GR"/>
        </w:rPr>
        <w:t xml:space="preserve">πρόσβαση, αναφερόμαστε στην ετοιμότητα, την ικανότητα και την προθυμία των επιχειρήσεων να δώσουν τη δυνατότητα στους </w:t>
      </w:r>
      <w:r>
        <w:rPr>
          <w:rFonts w:ascii="Verdana" w:hAnsi="Verdana"/>
          <w:sz w:val="18"/>
          <w:szCs w:val="18"/>
          <w:lang w:val="el-GR"/>
        </w:rPr>
        <w:t xml:space="preserve">απασχολούμενους </w:t>
      </w:r>
      <w:r w:rsidRPr="00977D21">
        <w:rPr>
          <w:rFonts w:ascii="Verdana" w:hAnsi="Verdana"/>
          <w:sz w:val="18"/>
          <w:szCs w:val="18"/>
          <w:lang w:val="el-GR"/>
        </w:rPr>
        <w:t>να εργάζονται εξ</w:t>
      </w:r>
      <w:r>
        <w:rPr>
          <w:rFonts w:ascii="Verdana" w:hAnsi="Verdana"/>
          <w:sz w:val="18"/>
          <w:szCs w:val="18"/>
          <w:lang w:val="el-GR"/>
        </w:rPr>
        <w:t xml:space="preserve">’ </w:t>
      </w:r>
      <w:r w:rsidRPr="00977D21">
        <w:rPr>
          <w:rFonts w:ascii="Verdana" w:hAnsi="Verdana"/>
          <w:sz w:val="18"/>
          <w:szCs w:val="18"/>
          <w:lang w:val="el-GR"/>
        </w:rPr>
        <w:t xml:space="preserve">αποστάσεως, επιτρέποντάς τους </w:t>
      </w:r>
      <w:r w:rsidRPr="004E3BED">
        <w:rPr>
          <w:rFonts w:ascii="Verdana" w:hAnsi="Verdana"/>
          <w:sz w:val="18"/>
          <w:szCs w:val="18"/>
          <w:lang w:val="el-GR"/>
        </w:rPr>
        <w:t xml:space="preserve">εξ’ αποστάσεως </w:t>
      </w:r>
      <w:r w:rsidRPr="00977D21">
        <w:rPr>
          <w:rFonts w:ascii="Verdana" w:hAnsi="Verdana"/>
          <w:sz w:val="18"/>
          <w:szCs w:val="18"/>
          <w:lang w:val="el-GR"/>
        </w:rPr>
        <w:t xml:space="preserve">πρόσβαση </w:t>
      </w:r>
      <w:r>
        <w:rPr>
          <w:rFonts w:ascii="Verdana" w:hAnsi="Verdana"/>
          <w:sz w:val="18"/>
          <w:szCs w:val="18"/>
          <w:lang w:val="el-GR"/>
        </w:rPr>
        <w:t xml:space="preserve">στους πόρους της </w:t>
      </w:r>
      <w:r w:rsidRPr="00977D21">
        <w:rPr>
          <w:rFonts w:ascii="Verdana" w:hAnsi="Verdana"/>
          <w:sz w:val="18"/>
          <w:szCs w:val="18"/>
          <w:lang w:val="el-GR"/>
        </w:rPr>
        <w:t>επιχείρηση</w:t>
      </w:r>
      <w:r>
        <w:rPr>
          <w:rFonts w:ascii="Verdana" w:hAnsi="Verdana"/>
          <w:sz w:val="18"/>
          <w:szCs w:val="18"/>
          <w:lang w:val="el-GR"/>
        </w:rPr>
        <w:t>ς</w:t>
      </w:r>
      <w:r w:rsidRPr="00977D21">
        <w:rPr>
          <w:rFonts w:ascii="Verdana" w:hAnsi="Verdana"/>
          <w:sz w:val="18"/>
          <w:szCs w:val="18"/>
          <w:lang w:val="el-GR"/>
        </w:rPr>
        <w:t xml:space="preserve"> (π.χ. </w:t>
      </w:r>
      <w:r w:rsidRPr="004E3BED">
        <w:rPr>
          <w:rFonts w:ascii="Verdana" w:hAnsi="Verdana"/>
          <w:sz w:val="18"/>
          <w:szCs w:val="18"/>
          <w:lang w:val="el-GR"/>
        </w:rPr>
        <w:t xml:space="preserve">εξ’ αποστάσεως </w:t>
      </w:r>
      <w:r w:rsidRPr="00977D21">
        <w:rPr>
          <w:rFonts w:ascii="Verdana" w:hAnsi="Verdana"/>
          <w:sz w:val="18"/>
          <w:szCs w:val="18"/>
          <w:lang w:val="el-GR"/>
        </w:rPr>
        <w:t>πρόσβαση στο ηλεκτρονικό ταχυδρομείο, πρόσβαση σε έγγραφα και συστήματα ΤΠΕ της επιχείρησης).</w:t>
      </w:r>
    </w:p>
    <w:p w14:paraId="4B7001A9" w14:textId="77777777" w:rsidR="00DB60DC" w:rsidRDefault="00DB60DC" w:rsidP="0064531A">
      <w:pPr>
        <w:jc w:val="both"/>
        <w:rPr>
          <w:rFonts w:ascii="Verdana" w:hAnsi="Verdana"/>
          <w:sz w:val="18"/>
          <w:szCs w:val="18"/>
          <w:lang w:val="el-GR"/>
        </w:rPr>
      </w:pPr>
    </w:p>
    <w:p w14:paraId="6194503B" w14:textId="593B1A62" w:rsidR="000E2A1D" w:rsidRPr="00C22940" w:rsidRDefault="00225F10" w:rsidP="0064531A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Το </w:t>
      </w:r>
      <w:r w:rsidR="000E2A1D">
        <w:rPr>
          <w:rFonts w:ascii="Verdana" w:hAnsi="Verdana"/>
          <w:sz w:val="18"/>
          <w:szCs w:val="18"/>
          <w:lang w:val="el-GR"/>
        </w:rPr>
        <w:t>85</w:t>
      </w:r>
      <w:r w:rsidR="000E2A1D" w:rsidRPr="00C22940">
        <w:rPr>
          <w:rFonts w:ascii="Verdana" w:hAnsi="Verdana"/>
          <w:sz w:val="18"/>
          <w:szCs w:val="18"/>
          <w:lang w:val="el-GR"/>
        </w:rPr>
        <w:t>,</w:t>
      </w:r>
      <w:r w:rsidR="000E2A1D">
        <w:rPr>
          <w:rFonts w:ascii="Verdana" w:hAnsi="Verdana"/>
          <w:sz w:val="18"/>
          <w:szCs w:val="18"/>
          <w:lang w:val="el-GR"/>
        </w:rPr>
        <w:t>9</w:t>
      </w:r>
      <w:r w:rsidR="000E2A1D" w:rsidRPr="00C22940">
        <w:rPr>
          <w:rFonts w:ascii="Verdana" w:hAnsi="Verdana"/>
          <w:sz w:val="18"/>
          <w:szCs w:val="18"/>
          <w:lang w:val="el-GR"/>
        </w:rPr>
        <w:t>% των επιχειρήσεων με 10 ή περισσότερους απασχολούμενους, παρείχαν φορητές συσκευές που επιτρέπουν κινητή σύνδεση στο Διαδίκτυο χρησιμοποιώντας δίκτυα κινητής τηλεφωνίας, για επαγγελματικούς σκοπούς.</w:t>
      </w:r>
      <w:r w:rsidR="0064531A">
        <w:rPr>
          <w:rFonts w:ascii="Verdana" w:hAnsi="Verdana"/>
          <w:sz w:val="18"/>
          <w:szCs w:val="18"/>
          <w:lang w:val="el-GR"/>
        </w:rPr>
        <w:t xml:space="preserve"> </w:t>
      </w:r>
      <w:r w:rsidR="000E2A1D" w:rsidRPr="00C22940">
        <w:rPr>
          <w:rFonts w:ascii="Verdana" w:hAnsi="Verdana"/>
          <w:sz w:val="18"/>
          <w:szCs w:val="18"/>
          <w:lang w:val="el-GR"/>
        </w:rPr>
        <w:t xml:space="preserve">Με τον όρο «φορητές συσκευές» εννοούμε τη χρήση φορητών συσκευών </w:t>
      </w:r>
      <w:r w:rsidR="0064531A">
        <w:rPr>
          <w:rFonts w:ascii="Verdana" w:hAnsi="Verdana"/>
          <w:sz w:val="18"/>
          <w:szCs w:val="18"/>
          <w:lang w:val="el-GR"/>
        </w:rPr>
        <w:t>για τις οποίες ο</w:t>
      </w:r>
      <w:r w:rsidR="000E2A1D" w:rsidRPr="00C22940">
        <w:rPr>
          <w:rFonts w:ascii="Verdana" w:hAnsi="Verdana"/>
          <w:sz w:val="18"/>
          <w:szCs w:val="18"/>
          <w:lang w:val="el-GR"/>
        </w:rPr>
        <w:t xml:space="preserve">ι επιχειρήσεις πληρώνουν εξ ολοκλήρου ή τουλάχιστον μέχρι ενός ορίου το κόστος </w:t>
      </w:r>
      <w:r>
        <w:rPr>
          <w:rFonts w:ascii="Verdana" w:hAnsi="Verdana"/>
          <w:sz w:val="18"/>
          <w:szCs w:val="18"/>
          <w:lang w:val="el-GR"/>
        </w:rPr>
        <w:t>αγοράς</w:t>
      </w:r>
      <w:r w:rsidR="0064531A">
        <w:rPr>
          <w:rFonts w:ascii="Verdana" w:hAnsi="Verdana"/>
          <w:sz w:val="18"/>
          <w:szCs w:val="18"/>
          <w:lang w:val="el-GR"/>
        </w:rPr>
        <w:t xml:space="preserve"> ή </w:t>
      </w:r>
      <w:r w:rsidR="000E2A1D" w:rsidRPr="00C22940">
        <w:rPr>
          <w:rFonts w:ascii="Verdana" w:hAnsi="Verdana"/>
          <w:sz w:val="18"/>
          <w:szCs w:val="18"/>
          <w:lang w:val="el-GR"/>
        </w:rPr>
        <w:t>χρήσης (συνδρομή)</w:t>
      </w:r>
      <w:r w:rsidR="000E2A1D" w:rsidRPr="00960198">
        <w:rPr>
          <w:lang w:val="el-GR"/>
        </w:rPr>
        <w:t xml:space="preserve"> </w:t>
      </w:r>
      <w:r w:rsidR="000E2A1D" w:rsidRPr="00960198">
        <w:rPr>
          <w:rFonts w:ascii="Verdana" w:hAnsi="Verdana"/>
          <w:sz w:val="18"/>
          <w:szCs w:val="18"/>
          <w:lang w:val="el-GR"/>
        </w:rPr>
        <w:t xml:space="preserve">(Διάγραμμα </w:t>
      </w:r>
      <w:r w:rsidR="0064531A">
        <w:rPr>
          <w:rFonts w:ascii="Verdana" w:hAnsi="Verdana"/>
          <w:sz w:val="18"/>
          <w:szCs w:val="18"/>
          <w:lang w:val="el-GR"/>
        </w:rPr>
        <w:t>1</w:t>
      </w:r>
      <w:r w:rsidR="000E2A1D" w:rsidRPr="00960198">
        <w:rPr>
          <w:rFonts w:ascii="Verdana" w:hAnsi="Verdana"/>
          <w:sz w:val="18"/>
          <w:szCs w:val="18"/>
          <w:lang w:val="el-GR"/>
        </w:rPr>
        <w:t>)</w:t>
      </w:r>
      <w:r w:rsidR="000E2A1D" w:rsidRPr="00C22940">
        <w:rPr>
          <w:rFonts w:ascii="Verdana" w:hAnsi="Verdana"/>
          <w:sz w:val="18"/>
          <w:szCs w:val="18"/>
          <w:lang w:val="el-GR"/>
        </w:rPr>
        <w:t>.</w:t>
      </w:r>
    </w:p>
    <w:p w14:paraId="7D6E158F" w14:textId="77777777" w:rsidR="000E2A1D" w:rsidRPr="00C22940" w:rsidRDefault="000E2A1D" w:rsidP="000E2A1D">
      <w:pPr>
        <w:jc w:val="both"/>
        <w:rPr>
          <w:rFonts w:ascii="Verdana" w:hAnsi="Verdana"/>
          <w:sz w:val="18"/>
          <w:szCs w:val="18"/>
          <w:lang w:val="el-GR"/>
        </w:rPr>
      </w:pPr>
    </w:p>
    <w:p w14:paraId="033E0172" w14:textId="52B5D6E8" w:rsidR="000E2A1D" w:rsidRDefault="00225F10" w:rsidP="000E2A1D">
      <w:pPr>
        <w:jc w:val="both"/>
        <w:rPr>
          <w:rFonts w:ascii="Verdana" w:hAnsi="Verdana"/>
          <w:sz w:val="18"/>
          <w:szCs w:val="18"/>
          <w:lang w:val="el-GR"/>
        </w:rPr>
      </w:pPr>
      <w:r>
        <w:rPr>
          <w:rFonts w:ascii="Verdana" w:hAnsi="Verdana"/>
          <w:sz w:val="18"/>
          <w:szCs w:val="18"/>
          <w:lang w:val="el-GR"/>
        </w:rPr>
        <w:t xml:space="preserve">Κατά το 2022, </w:t>
      </w:r>
      <w:r w:rsidR="000E2A1D" w:rsidRPr="005202DB">
        <w:rPr>
          <w:rFonts w:ascii="Verdana" w:hAnsi="Verdana"/>
          <w:sz w:val="18"/>
          <w:szCs w:val="18"/>
          <w:lang w:val="el-GR"/>
        </w:rPr>
        <w:t>59,0% όλων των επιχειρήσεων (10+) έχουν πραγματοποιήσει εξ</w:t>
      </w:r>
      <w:r w:rsidR="00D53540">
        <w:rPr>
          <w:rFonts w:ascii="Verdana" w:hAnsi="Verdana"/>
          <w:sz w:val="18"/>
          <w:szCs w:val="18"/>
          <w:lang w:val="el-GR"/>
        </w:rPr>
        <w:t xml:space="preserve">’ </w:t>
      </w:r>
      <w:r w:rsidR="000E2A1D" w:rsidRPr="005202DB">
        <w:rPr>
          <w:rFonts w:ascii="Verdana" w:hAnsi="Verdana"/>
          <w:sz w:val="18"/>
          <w:szCs w:val="18"/>
          <w:lang w:val="el-GR"/>
        </w:rPr>
        <w:t xml:space="preserve">αποστάσεως συσκέψεις μέσω διαδικτύου (π.χ. Skype, </w:t>
      </w:r>
      <w:proofErr w:type="spellStart"/>
      <w:r w:rsidR="000E2A1D" w:rsidRPr="005202DB">
        <w:rPr>
          <w:rFonts w:ascii="Verdana" w:hAnsi="Verdana"/>
          <w:sz w:val="18"/>
          <w:szCs w:val="18"/>
          <w:lang w:val="el-GR"/>
        </w:rPr>
        <w:t>Zoom</w:t>
      </w:r>
      <w:proofErr w:type="spellEnd"/>
      <w:r w:rsidR="000E2A1D" w:rsidRPr="005202DB">
        <w:rPr>
          <w:rFonts w:ascii="Verdana" w:hAnsi="Verdana"/>
          <w:sz w:val="18"/>
          <w:szCs w:val="18"/>
          <w:lang w:val="el-GR"/>
        </w:rPr>
        <w:t xml:space="preserve">, ομάδες MS, </w:t>
      </w:r>
      <w:proofErr w:type="spellStart"/>
      <w:r w:rsidR="000E2A1D" w:rsidRPr="005202DB">
        <w:rPr>
          <w:rFonts w:ascii="Verdana" w:hAnsi="Verdana"/>
          <w:sz w:val="18"/>
          <w:szCs w:val="18"/>
          <w:lang w:val="el-GR"/>
        </w:rPr>
        <w:t>WebEx</w:t>
      </w:r>
      <w:proofErr w:type="spellEnd"/>
      <w:r w:rsidR="000E2A1D" w:rsidRPr="005202DB">
        <w:rPr>
          <w:rFonts w:ascii="Verdana" w:hAnsi="Verdana"/>
          <w:sz w:val="18"/>
          <w:szCs w:val="18"/>
          <w:lang w:val="el-GR"/>
        </w:rPr>
        <w:t xml:space="preserve"> κ.λπ.). (</w:t>
      </w:r>
      <w:r w:rsidR="000E2A1D">
        <w:rPr>
          <w:rFonts w:ascii="Verdana" w:hAnsi="Verdana"/>
          <w:sz w:val="18"/>
          <w:szCs w:val="18"/>
          <w:lang w:val="el-GR"/>
        </w:rPr>
        <w:t>Διάγραμμα</w:t>
      </w:r>
      <w:r w:rsidR="000E2A1D" w:rsidRPr="005202DB">
        <w:rPr>
          <w:rFonts w:ascii="Verdana" w:hAnsi="Verdana"/>
          <w:sz w:val="18"/>
          <w:szCs w:val="18"/>
          <w:lang w:val="el-GR"/>
        </w:rPr>
        <w:t xml:space="preserve"> </w:t>
      </w:r>
      <w:r w:rsidR="0064531A">
        <w:rPr>
          <w:rFonts w:ascii="Verdana" w:hAnsi="Verdana"/>
          <w:sz w:val="18"/>
          <w:szCs w:val="18"/>
          <w:lang w:val="el-GR"/>
        </w:rPr>
        <w:t>1</w:t>
      </w:r>
      <w:r w:rsidR="000E2A1D" w:rsidRPr="005202DB">
        <w:rPr>
          <w:rFonts w:ascii="Verdana" w:hAnsi="Verdana"/>
          <w:sz w:val="18"/>
          <w:szCs w:val="18"/>
          <w:lang w:val="el-GR"/>
        </w:rPr>
        <w:t>).</w:t>
      </w:r>
    </w:p>
    <w:p w14:paraId="22C70BE1" w14:textId="4C898A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9E7EF6" w14:textId="783F0C0A" w:rsidR="00187784" w:rsidRDefault="00187784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  <w:r w:rsidRPr="00187784">
        <w:rPr>
          <w:rFonts w:ascii="Verdana" w:hAnsi="Verdana" w:cs="Arial"/>
          <w:noProof/>
          <w:sz w:val="18"/>
          <w:szCs w:val="18"/>
          <w:lang w:val="el-GR"/>
        </w:rPr>
        <w:drawing>
          <wp:inline distT="0" distB="0" distL="0" distR="0" wp14:anchorId="021ACC48" wp14:editId="1B6BF59F">
            <wp:extent cx="6059805" cy="3615055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61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CA4B2F" w14:textId="6F1DC85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49AC016" w14:textId="1FC80527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77A77FE" w14:textId="105A286A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FDADD38" w14:textId="77777777" w:rsidR="00E068C8" w:rsidRPr="009158C4" w:rsidRDefault="00E068C8" w:rsidP="00E068C8">
      <w:pPr>
        <w:jc w:val="both"/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</w:pPr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Ταχύτητα μεταφοράς δεδομένων στο Διαδίκτυο</w:t>
      </w:r>
    </w:p>
    <w:p w14:paraId="6A659A70" w14:textId="77777777" w:rsidR="00E068C8" w:rsidRPr="000304EB" w:rsidRDefault="00E068C8" w:rsidP="00E068C8">
      <w:pPr>
        <w:jc w:val="both"/>
        <w:rPr>
          <w:rFonts w:ascii="Verdana" w:eastAsia="Malgun Gothic" w:hAnsi="Verdana" w:cs="Arial"/>
          <w:b/>
          <w:sz w:val="18"/>
          <w:szCs w:val="18"/>
          <w:u w:val="single"/>
          <w:lang w:val="el-GR"/>
        </w:rPr>
      </w:pPr>
    </w:p>
    <w:p w14:paraId="42A2C5D5" w14:textId="3C0B143D" w:rsidR="00225F10" w:rsidRDefault="00E068C8" w:rsidP="00E068C8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 xml:space="preserve">Οι </w:t>
      </w:r>
      <w:r w:rsidRPr="0038526F">
        <w:rPr>
          <w:rFonts w:ascii="Verdana" w:eastAsia="Malgun Gothic" w:hAnsi="Verdana" w:cs="Arial"/>
          <w:sz w:val="18"/>
          <w:szCs w:val="18"/>
          <w:lang w:val="el-GR"/>
        </w:rPr>
        <w:t xml:space="preserve">συνδέσεις Διαδικτύου υψηλής ταχύτητας (100 </w:t>
      </w:r>
      <w:proofErr w:type="spellStart"/>
      <w:r w:rsidRPr="0038526F">
        <w:rPr>
          <w:rFonts w:ascii="Verdana" w:eastAsia="Malgun Gothic" w:hAnsi="Verdana" w:cs="Arial"/>
          <w:sz w:val="18"/>
          <w:szCs w:val="18"/>
          <w:lang w:val="el-GR"/>
        </w:rPr>
        <w:t>Mbit</w:t>
      </w:r>
      <w:proofErr w:type="spellEnd"/>
      <w:r w:rsidRPr="0038526F">
        <w:rPr>
          <w:rFonts w:ascii="Verdana" w:eastAsia="Malgun Gothic" w:hAnsi="Verdana" w:cs="Arial"/>
          <w:sz w:val="18"/>
          <w:szCs w:val="18"/>
          <w:lang w:val="el-GR"/>
        </w:rPr>
        <w:t>/s ή περισσότερο) έχ</w:t>
      </w:r>
      <w:r>
        <w:rPr>
          <w:rFonts w:ascii="Verdana" w:eastAsia="Malgun Gothic" w:hAnsi="Verdana" w:cs="Arial"/>
          <w:sz w:val="18"/>
          <w:szCs w:val="18"/>
          <w:lang w:val="el-GR"/>
        </w:rPr>
        <w:t>ουν</w:t>
      </w:r>
      <w:r w:rsidRPr="0038526F">
        <w:rPr>
          <w:rFonts w:ascii="Verdana" w:eastAsia="Malgun Gothic" w:hAnsi="Verdana" w:cs="Arial"/>
          <w:sz w:val="18"/>
          <w:szCs w:val="18"/>
          <w:lang w:val="el-GR"/>
        </w:rPr>
        <w:t xml:space="preserve"> αυξηθεί σημαντικά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κατά τα τελευταία </w:t>
      </w:r>
      <w:r w:rsidRPr="0038526F">
        <w:rPr>
          <w:rFonts w:ascii="Verdana" w:eastAsia="Malgun Gothic" w:hAnsi="Verdana" w:cs="Arial"/>
          <w:sz w:val="18"/>
          <w:szCs w:val="18"/>
          <w:lang w:val="el-GR"/>
        </w:rPr>
        <w:t>χρόνια. Το 202</w:t>
      </w:r>
      <w:r w:rsidR="00225F10">
        <w:rPr>
          <w:rFonts w:ascii="Verdana" w:eastAsia="Malgun Gothic" w:hAnsi="Verdana" w:cs="Arial"/>
          <w:sz w:val="18"/>
          <w:szCs w:val="18"/>
          <w:lang w:val="el-GR"/>
        </w:rPr>
        <w:t>2</w:t>
      </w:r>
      <w:r w:rsidRPr="0038526F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="00225F10">
        <w:rPr>
          <w:rFonts w:ascii="Verdana" w:eastAsia="Malgun Gothic" w:hAnsi="Verdana" w:cs="Arial"/>
          <w:sz w:val="18"/>
          <w:szCs w:val="18"/>
          <w:lang w:val="el-GR"/>
        </w:rPr>
        <w:t xml:space="preserve">περίπου έξι στις δέκα επιχειρήσεις (61,2%) </w:t>
      </w:r>
      <w:r w:rsidR="00225F10" w:rsidRPr="00225F10">
        <w:rPr>
          <w:rFonts w:ascii="Verdana" w:eastAsia="Malgun Gothic" w:hAnsi="Verdana" w:cs="Arial"/>
          <w:sz w:val="18"/>
          <w:szCs w:val="18"/>
          <w:lang w:val="el-GR"/>
        </w:rPr>
        <w:t>έχουν σύνδεση στο διαδίκτυο με ταχύτητες</w:t>
      </w:r>
      <w:r w:rsidR="00225F10" w:rsidRPr="00225F10">
        <w:rPr>
          <w:lang w:val="el-GR"/>
        </w:rPr>
        <w:t xml:space="preserve"> </w:t>
      </w:r>
      <w:r w:rsidR="00225F10" w:rsidRPr="00225F10">
        <w:rPr>
          <w:rFonts w:ascii="Verdana" w:eastAsia="Malgun Gothic" w:hAnsi="Verdana" w:cs="Arial"/>
          <w:sz w:val="18"/>
          <w:szCs w:val="18"/>
          <w:lang w:val="el-GR"/>
        </w:rPr>
        <w:t>σύνδεσης στο Διαδίκτυο υψηλότερες από 100Mbit/s</w:t>
      </w:r>
      <w:r w:rsidR="005C59FD">
        <w:rPr>
          <w:rFonts w:ascii="Verdana" w:eastAsia="Malgun Gothic" w:hAnsi="Verdana" w:cs="Arial"/>
          <w:sz w:val="18"/>
          <w:szCs w:val="18"/>
          <w:lang w:val="el-GR"/>
        </w:rPr>
        <w:t xml:space="preserve"> σε σύγκριση με 10,2% το 2018</w:t>
      </w:r>
      <w:r w:rsidR="00225F10" w:rsidRPr="00225F10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5C59FD">
        <w:rPr>
          <w:rFonts w:ascii="Verdana" w:eastAsia="Malgun Gothic" w:hAnsi="Verdana" w:cs="Arial"/>
          <w:sz w:val="18"/>
          <w:szCs w:val="18"/>
          <w:lang w:val="el-GR"/>
        </w:rPr>
        <w:t xml:space="preserve"> (Πίνακας 1)</w:t>
      </w:r>
    </w:p>
    <w:p w14:paraId="1905264F" w14:textId="77777777" w:rsidR="00225F10" w:rsidRDefault="00225F10" w:rsidP="00E068C8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6707E02F" w14:textId="7DB0D071" w:rsidR="00225F10" w:rsidRDefault="002A15E3" w:rsidP="00E068C8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Το 2022, η πιο δημοφιλής ταχύτητα μεταφοράς δεδομένων στην Κύπρο ήταν μεταξύ 100 και 500 </w:t>
      </w:r>
      <w:r w:rsidRPr="002A15E3">
        <w:rPr>
          <w:rFonts w:ascii="Verdana" w:eastAsia="Malgun Gothic" w:hAnsi="Verdana" w:cs="Arial"/>
          <w:sz w:val="18"/>
          <w:szCs w:val="18"/>
        </w:rPr>
        <w:t>Mbit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Pr="002A15E3">
        <w:rPr>
          <w:rFonts w:ascii="Verdana" w:eastAsia="Malgun Gothic" w:hAnsi="Verdana" w:cs="Arial"/>
          <w:sz w:val="18"/>
          <w:szCs w:val="18"/>
        </w:rPr>
        <w:t>s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(39,2% όλων των επιχειρήσεων). Οι επιχειρήσεις με μέγιστη ταχύτητα μεταφοράς δεδομένων τουλάχιστον 30 </w:t>
      </w:r>
      <w:r w:rsidRPr="002A15E3">
        <w:rPr>
          <w:rFonts w:ascii="Verdana" w:eastAsia="Malgun Gothic" w:hAnsi="Verdana" w:cs="Arial"/>
          <w:sz w:val="18"/>
          <w:szCs w:val="18"/>
        </w:rPr>
        <w:t>Mbit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Pr="002A15E3">
        <w:rPr>
          <w:rFonts w:ascii="Verdana" w:eastAsia="Malgun Gothic" w:hAnsi="Verdana" w:cs="Arial"/>
          <w:sz w:val="18"/>
          <w:szCs w:val="18"/>
        </w:rPr>
        <w:t>s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αλλά λιγότερο από 100 </w:t>
      </w:r>
      <w:r w:rsidRPr="002A15E3">
        <w:rPr>
          <w:rFonts w:ascii="Verdana" w:eastAsia="Malgun Gothic" w:hAnsi="Verdana" w:cs="Arial"/>
          <w:sz w:val="18"/>
          <w:szCs w:val="18"/>
        </w:rPr>
        <w:t>Mbit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Pr="002A15E3">
        <w:rPr>
          <w:rFonts w:ascii="Verdana" w:eastAsia="Malgun Gothic" w:hAnsi="Verdana" w:cs="Arial"/>
          <w:sz w:val="18"/>
          <w:szCs w:val="18"/>
        </w:rPr>
        <w:t>s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ήταν η δεύτερη πιο δημοφιλής με 22,7%. </w:t>
      </w:r>
      <w:r w:rsidR="00CA7F2E">
        <w:rPr>
          <w:rFonts w:ascii="Verdana" w:eastAsia="Malgun Gothic" w:hAnsi="Verdana" w:cs="Arial"/>
          <w:sz w:val="18"/>
          <w:szCs w:val="18"/>
          <w:lang w:val="el-GR"/>
        </w:rPr>
        <w:t>Οι ε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πιχειρήσεις με μέγιστη ταχύτητα μεταφοράς δεδομένων τουλάχιστον 500 </w:t>
      </w:r>
      <w:r w:rsidRPr="002A15E3">
        <w:rPr>
          <w:rFonts w:ascii="Verdana" w:eastAsia="Malgun Gothic" w:hAnsi="Verdana" w:cs="Arial"/>
          <w:sz w:val="18"/>
          <w:szCs w:val="18"/>
        </w:rPr>
        <w:t>Mbit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Pr="002A15E3">
        <w:rPr>
          <w:rFonts w:ascii="Verdana" w:eastAsia="Malgun Gothic" w:hAnsi="Verdana" w:cs="Arial"/>
          <w:sz w:val="18"/>
          <w:szCs w:val="18"/>
        </w:rPr>
        <w:t>s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αλλά λιγότερο από 1 </w:t>
      </w:r>
      <w:r w:rsidRPr="002A15E3">
        <w:rPr>
          <w:rFonts w:ascii="Verdana" w:eastAsia="Malgun Gothic" w:hAnsi="Verdana" w:cs="Arial"/>
          <w:sz w:val="18"/>
          <w:szCs w:val="18"/>
        </w:rPr>
        <w:t>Gbit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Pr="002A15E3">
        <w:rPr>
          <w:rFonts w:ascii="Verdana" w:eastAsia="Malgun Gothic" w:hAnsi="Verdana" w:cs="Arial"/>
          <w:sz w:val="18"/>
          <w:szCs w:val="18"/>
        </w:rPr>
        <w:t>s</w:t>
      </w:r>
      <w:r w:rsidR="005D656F" w:rsidRPr="00910F2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5D656F">
        <w:rPr>
          <w:rFonts w:ascii="Verdana" w:eastAsia="Malgun Gothic" w:hAnsi="Verdana" w:cs="Arial"/>
          <w:sz w:val="18"/>
          <w:szCs w:val="18"/>
          <w:lang w:val="el-GR"/>
        </w:rPr>
        <w:t>και</w:t>
      </w:r>
      <w:r w:rsidR="005D656F"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CA7F2E">
        <w:rPr>
          <w:rFonts w:ascii="Verdana" w:eastAsia="Malgun Gothic" w:hAnsi="Verdana" w:cs="Arial"/>
          <w:sz w:val="18"/>
          <w:szCs w:val="18"/>
          <w:lang w:val="el-GR"/>
        </w:rPr>
        <w:t xml:space="preserve">οι επιχειρήσεις με 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περισσότερο από 1 </w:t>
      </w:r>
      <w:r w:rsidRPr="002A15E3">
        <w:rPr>
          <w:rFonts w:ascii="Verdana" w:eastAsia="Malgun Gothic" w:hAnsi="Verdana" w:cs="Arial"/>
          <w:sz w:val="18"/>
          <w:szCs w:val="18"/>
        </w:rPr>
        <w:t>Gbit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>/, ακολουθούν με 11,0%</w:t>
      </w:r>
      <w:r w:rsidR="005D656F">
        <w:rPr>
          <w:rFonts w:ascii="Verdana" w:eastAsia="Malgun Gothic" w:hAnsi="Verdana" w:cs="Arial"/>
          <w:sz w:val="18"/>
          <w:szCs w:val="18"/>
          <w:lang w:val="el-GR"/>
        </w:rPr>
        <w:t>.</w:t>
      </w:r>
      <w:r w:rsidR="00910F25" w:rsidRPr="00910F2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5D656F">
        <w:rPr>
          <w:rFonts w:ascii="Verdana" w:eastAsia="Malgun Gothic" w:hAnsi="Verdana" w:cs="Arial"/>
          <w:sz w:val="18"/>
          <w:szCs w:val="18"/>
          <w:lang w:val="el-GR"/>
        </w:rPr>
        <w:t xml:space="preserve">Η λιγότερο δημοφιλής ταχύτητες ήταν οι λιγότερο από 30 </w:t>
      </w:r>
      <w:r w:rsidR="005D656F">
        <w:rPr>
          <w:rFonts w:ascii="Verdana" w:eastAsia="Malgun Gothic" w:hAnsi="Verdana" w:cs="Arial"/>
          <w:sz w:val="18"/>
          <w:szCs w:val="18"/>
        </w:rPr>
        <w:t>Mbit</w:t>
      </w:r>
      <w:r w:rsidR="005D656F" w:rsidRPr="00910F25">
        <w:rPr>
          <w:rFonts w:ascii="Verdana" w:eastAsia="Malgun Gothic" w:hAnsi="Verdana" w:cs="Arial"/>
          <w:sz w:val="18"/>
          <w:szCs w:val="18"/>
          <w:lang w:val="el-GR"/>
        </w:rPr>
        <w:t>/</w:t>
      </w:r>
      <w:r w:rsidR="005D656F">
        <w:rPr>
          <w:rFonts w:ascii="Verdana" w:eastAsia="Malgun Gothic" w:hAnsi="Verdana" w:cs="Arial"/>
          <w:sz w:val="18"/>
          <w:szCs w:val="18"/>
        </w:rPr>
        <w:t>s</w:t>
      </w:r>
      <w:r w:rsidR="005D656F" w:rsidRPr="00910F25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 w:rsidR="005D656F">
        <w:rPr>
          <w:rFonts w:ascii="Verdana" w:eastAsia="Malgun Gothic" w:hAnsi="Verdana" w:cs="Arial"/>
          <w:sz w:val="18"/>
          <w:szCs w:val="18"/>
        </w:rPr>
        <w:t>me</w:t>
      </w:r>
      <w:r w:rsidR="005D656F" w:rsidRPr="00910F25">
        <w:rPr>
          <w:rFonts w:ascii="Verdana" w:eastAsia="Malgun Gothic" w:hAnsi="Verdana" w:cs="Arial"/>
          <w:sz w:val="18"/>
          <w:szCs w:val="18"/>
          <w:lang w:val="el-GR"/>
        </w:rPr>
        <w:t xml:space="preserve"> 8%.  </w:t>
      </w:r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Με τον όρο μέγιστη ταχύτητα μεταφοράς δεδομένων εννοούμε την ταχύτητα μεταφοράς δεδομένων με βάση το συμβόλαιο με τον </w:t>
      </w:r>
      <w:proofErr w:type="spellStart"/>
      <w:r w:rsidRPr="002A15E3">
        <w:rPr>
          <w:rFonts w:ascii="Verdana" w:eastAsia="Malgun Gothic" w:hAnsi="Verdana" w:cs="Arial"/>
          <w:sz w:val="18"/>
          <w:szCs w:val="18"/>
          <w:lang w:val="el-GR"/>
        </w:rPr>
        <w:t>παροχέα</w:t>
      </w:r>
      <w:proofErr w:type="spellEnd"/>
      <w:r w:rsidRPr="002A15E3">
        <w:rPr>
          <w:rFonts w:ascii="Verdana" w:eastAsia="Malgun Gothic" w:hAnsi="Verdana" w:cs="Arial"/>
          <w:sz w:val="18"/>
          <w:szCs w:val="18"/>
          <w:lang w:val="el-GR"/>
        </w:rPr>
        <w:t xml:space="preserve"> Υπηρεσιών Διαδικτύου (Διάγραμμα 1).</w:t>
      </w:r>
    </w:p>
    <w:p w14:paraId="6DCD1584" w14:textId="3800E11B" w:rsidR="00E068C8" w:rsidRPr="002A15E3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4C89144" w14:textId="20949427" w:rsidR="00E068C8" w:rsidRPr="00E068C8" w:rsidRDefault="00E068C8" w:rsidP="000E4CB0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drawing>
          <wp:inline distT="0" distB="0" distL="0" distR="0" wp14:anchorId="669460B7" wp14:editId="11D65966">
            <wp:extent cx="6057900" cy="3139440"/>
            <wp:effectExtent l="0" t="0" r="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13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3662A" w14:textId="4CA32A8E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FE8B807" w14:textId="77777777" w:rsidR="00D01570" w:rsidRPr="009158C4" w:rsidRDefault="00D01570" w:rsidP="00454B95">
      <w:pPr>
        <w:jc w:val="both"/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</w:pPr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Ηλεκτρονικό Εμπόριο (e-</w:t>
      </w:r>
      <w:proofErr w:type="spellStart"/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Commerce</w:t>
      </w:r>
      <w:proofErr w:type="spellEnd"/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)</w:t>
      </w:r>
    </w:p>
    <w:p w14:paraId="1DE8D503" w14:textId="77777777" w:rsidR="00D01570" w:rsidRPr="00C22940" w:rsidRDefault="00D01570" w:rsidP="00D01570">
      <w:pPr>
        <w:rPr>
          <w:rFonts w:ascii="Verdana" w:hAnsi="Verdana"/>
          <w:b/>
          <w:caps/>
          <w:sz w:val="18"/>
          <w:szCs w:val="18"/>
          <w:u w:val="single"/>
          <w:lang w:val="el-GR"/>
        </w:rPr>
      </w:pPr>
    </w:p>
    <w:p w14:paraId="69EAEBAA" w14:textId="4C80C8B0" w:rsidR="00D01570" w:rsidRPr="00C22940" w:rsidRDefault="00D01570" w:rsidP="00D01570">
      <w:pPr>
        <w:jc w:val="both"/>
        <w:rPr>
          <w:rFonts w:ascii="Verdana" w:hAnsi="Verdana"/>
          <w:sz w:val="18"/>
          <w:szCs w:val="18"/>
          <w:lang w:val="el-GR"/>
        </w:rPr>
      </w:pPr>
      <w:r w:rsidRPr="00C22940">
        <w:rPr>
          <w:rFonts w:ascii="Verdana" w:hAnsi="Verdana"/>
          <w:sz w:val="18"/>
          <w:szCs w:val="18"/>
          <w:lang w:val="el-GR"/>
        </w:rPr>
        <w:t>Κατά το 202</w:t>
      </w:r>
      <w:r w:rsidRPr="00AA788D">
        <w:rPr>
          <w:rFonts w:ascii="Verdana" w:hAnsi="Verdana"/>
          <w:sz w:val="18"/>
          <w:szCs w:val="18"/>
          <w:lang w:val="el-GR"/>
        </w:rPr>
        <w:t>1</w:t>
      </w:r>
      <w:r w:rsidRPr="00C22940">
        <w:rPr>
          <w:rFonts w:ascii="Verdana" w:hAnsi="Verdana"/>
          <w:sz w:val="18"/>
          <w:szCs w:val="18"/>
          <w:lang w:val="el-GR"/>
        </w:rPr>
        <w:t xml:space="preserve">, </w:t>
      </w:r>
      <w:r w:rsidRPr="00AA788D">
        <w:rPr>
          <w:rFonts w:ascii="Verdana" w:hAnsi="Verdana"/>
          <w:sz w:val="18"/>
          <w:szCs w:val="18"/>
          <w:lang w:val="el-GR"/>
        </w:rPr>
        <w:t>22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 w:rsidRPr="00AA788D">
        <w:rPr>
          <w:rFonts w:ascii="Verdana" w:hAnsi="Verdana"/>
          <w:sz w:val="18"/>
          <w:szCs w:val="18"/>
          <w:lang w:val="el-GR"/>
        </w:rPr>
        <w:t>0</w:t>
      </w:r>
      <w:r w:rsidRPr="00C22940">
        <w:rPr>
          <w:rFonts w:ascii="Verdana" w:hAnsi="Verdana"/>
          <w:sz w:val="18"/>
          <w:szCs w:val="18"/>
          <w:lang w:val="el-GR"/>
        </w:rPr>
        <w:t>% των επιχειρήσεων έλαβαν παραγγελίες μέσω δικτύων υπολογιστών (εξαιρούνται τα δακτυλογραφημένα e-</w:t>
      </w:r>
      <w:proofErr w:type="spellStart"/>
      <w:r w:rsidRPr="00C22940">
        <w:rPr>
          <w:rFonts w:ascii="Verdana" w:hAnsi="Verdana"/>
          <w:sz w:val="18"/>
          <w:szCs w:val="18"/>
          <w:lang w:val="el-GR"/>
        </w:rPr>
        <w:t>mails</w:t>
      </w:r>
      <w:proofErr w:type="spellEnd"/>
      <w:r w:rsidRPr="00C22940">
        <w:rPr>
          <w:rFonts w:ascii="Verdana" w:hAnsi="Verdana"/>
          <w:sz w:val="18"/>
          <w:szCs w:val="18"/>
          <w:lang w:val="el-GR"/>
        </w:rPr>
        <w:t>).</w:t>
      </w:r>
      <w:r w:rsidR="007D6CB6" w:rsidRPr="007D6CB6">
        <w:rPr>
          <w:rFonts w:ascii="Verdana" w:hAnsi="Verdana"/>
          <w:sz w:val="18"/>
          <w:szCs w:val="18"/>
          <w:lang w:val="el-GR"/>
        </w:rPr>
        <w:t xml:space="preserve"> </w:t>
      </w:r>
      <w:r w:rsidR="005D656F">
        <w:rPr>
          <w:rFonts w:ascii="Verdana" w:hAnsi="Verdana"/>
          <w:sz w:val="18"/>
          <w:szCs w:val="18"/>
          <w:lang w:val="el-GR"/>
        </w:rPr>
        <w:t xml:space="preserve">Το </w:t>
      </w:r>
      <w:r w:rsidRPr="00AA788D">
        <w:rPr>
          <w:rFonts w:ascii="Verdana" w:hAnsi="Verdana"/>
          <w:sz w:val="18"/>
          <w:szCs w:val="18"/>
          <w:lang w:val="el-GR"/>
        </w:rPr>
        <w:t>21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 w:rsidRPr="00AA788D">
        <w:rPr>
          <w:rFonts w:ascii="Verdana" w:hAnsi="Verdana"/>
          <w:sz w:val="18"/>
          <w:szCs w:val="18"/>
          <w:lang w:val="el-GR"/>
        </w:rPr>
        <w:t>2</w:t>
      </w:r>
      <w:r w:rsidRPr="00C22940">
        <w:rPr>
          <w:rFonts w:ascii="Verdana" w:hAnsi="Verdana"/>
          <w:sz w:val="18"/>
          <w:szCs w:val="18"/>
          <w:lang w:val="el-GR"/>
        </w:rPr>
        <w:t xml:space="preserve">% των επιχειρήσεων έλαβαν παραγγελίες μέσω </w:t>
      </w:r>
      <w:proofErr w:type="spellStart"/>
      <w:r w:rsidRPr="00C22940">
        <w:rPr>
          <w:rFonts w:ascii="Verdana" w:hAnsi="Verdana"/>
          <w:sz w:val="18"/>
          <w:szCs w:val="18"/>
          <w:lang w:val="el-GR"/>
        </w:rPr>
        <w:t>ιστότοπων</w:t>
      </w:r>
      <w:proofErr w:type="spellEnd"/>
      <w:r w:rsidRPr="00C22940">
        <w:rPr>
          <w:rFonts w:ascii="Verdana" w:hAnsi="Verdana"/>
          <w:sz w:val="18"/>
          <w:szCs w:val="18"/>
          <w:lang w:val="el-GR"/>
        </w:rPr>
        <w:t xml:space="preserve"> ή </w:t>
      </w:r>
      <w:r>
        <w:rPr>
          <w:rFonts w:ascii="Verdana" w:hAnsi="Verdana"/>
          <w:sz w:val="18"/>
          <w:szCs w:val="18"/>
          <w:lang w:val="el-GR"/>
        </w:rPr>
        <w:t>εφαρμογών</w:t>
      </w:r>
      <w:r w:rsidRPr="00C22940">
        <w:rPr>
          <w:rFonts w:ascii="Verdana" w:hAnsi="Verdana"/>
          <w:sz w:val="18"/>
          <w:szCs w:val="18"/>
          <w:lang w:val="el-GR"/>
        </w:rPr>
        <w:t xml:space="preserve"> και</w:t>
      </w:r>
      <w:r w:rsidR="005D656F">
        <w:rPr>
          <w:rFonts w:ascii="Verdana" w:hAnsi="Verdana"/>
          <w:sz w:val="18"/>
          <w:szCs w:val="18"/>
          <w:lang w:val="el-GR"/>
        </w:rPr>
        <w:t xml:space="preserve"> το</w:t>
      </w:r>
      <w:r w:rsidRPr="00C22940">
        <w:rPr>
          <w:rFonts w:ascii="Verdana" w:hAnsi="Verdana"/>
          <w:sz w:val="18"/>
          <w:szCs w:val="18"/>
          <w:lang w:val="el-GR"/>
        </w:rPr>
        <w:t xml:space="preserve"> </w:t>
      </w:r>
      <w:r w:rsidRPr="00AA788D">
        <w:rPr>
          <w:rFonts w:ascii="Verdana" w:hAnsi="Verdana"/>
          <w:sz w:val="18"/>
          <w:szCs w:val="18"/>
          <w:lang w:val="el-GR"/>
        </w:rPr>
        <w:t>3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 w:rsidRPr="00AA788D">
        <w:rPr>
          <w:rFonts w:ascii="Verdana" w:hAnsi="Verdana"/>
          <w:sz w:val="18"/>
          <w:szCs w:val="18"/>
          <w:lang w:val="el-GR"/>
        </w:rPr>
        <w:t>3</w:t>
      </w:r>
      <w:r w:rsidRPr="00C22940">
        <w:rPr>
          <w:rFonts w:ascii="Verdana" w:hAnsi="Verdana"/>
          <w:sz w:val="18"/>
          <w:szCs w:val="18"/>
          <w:lang w:val="el-GR"/>
        </w:rPr>
        <w:t>% μέσω μηνυμάτων τύπου “EDI</w:t>
      </w:r>
      <w:r w:rsidRPr="001D23C3">
        <w:rPr>
          <w:rFonts w:ascii="Verdana" w:hAnsi="Verdana"/>
          <w:sz w:val="18"/>
          <w:szCs w:val="18"/>
          <w:lang w:val="el-GR"/>
        </w:rPr>
        <w:t>”</w:t>
      </w:r>
      <w:r w:rsidRPr="001D23C3">
        <w:rPr>
          <w:lang w:val="el-GR"/>
        </w:rPr>
        <w:t xml:space="preserve"> (</w:t>
      </w:r>
      <w:proofErr w:type="spellStart"/>
      <w:r w:rsidRPr="001D23C3">
        <w:rPr>
          <w:rFonts w:ascii="Verdana" w:hAnsi="Verdana"/>
          <w:sz w:val="18"/>
          <w:szCs w:val="18"/>
          <w:lang w:val="el-GR"/>
        </w:rPr>
        <w:t>Electronic</w:t>
      </w:r>
      <w:proofErr w:type="spellEnd"/>
      <w:r w:rsidRPr="001D23C3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 w:rsidRPr="001D23C3">
        <w:rPr>
          <w:rFonts w:ascii="Verdana" w:hAnsi="Verdana"/>
          <w:sz w:val="18"/>
          <w:szCs w:val="18"/>
          <w:lang w:val="el-GR"/>
        </w:rPr>
        <w:t>Data</w:t>
      </w:r>
      <w:proofErr w:type="spellEnd"/>
      <w:r w:rsidRPr="001D23C3">
        <w:rPr>
          <w:rFonts w:ascii="Verdana" w:hAnsi="Verdana"/>
          <w:sz w:val="18"/>
          <w:szCs w:val="18"/>
          <w:lang w:val="el-GR"/>
        </w:rPr>
        <w:t xml:space="preserve"> </w:t>
      </w:r>
      <w:proofErr w:type="spellStart"/>
      <w:r w:rsidRPr="001D23C3">
        <w:rPr>
          <w:rFonts w:ascii="Verdana" w:hAnsi="Verdana"/>
          <w:sz w:val="18"/>
          <w:szCs w:val="18"/>
          <w:lang w:val="el-GR"/>
        </w:rPr>
        <w:t>Interchange</w:t>
      </w:r>
      <w:proofErr w:type="spellEnd"/>
      <w:r w:rsidRPr="001D23C3">
        <w:rPr>
          <w:rFonts w:ascii="Verdana" w:hAnsi="Verdana"/>
          <w:sz w:val="18"/>
          <w:szCs w:val="18"/>
          <w:lang w:val="el-GR"/>
        </w:rPr>
        <w:t>)</w:t>
      </w:r>
      <w:r w:rsidRPr="00C22940">
        <w:rPr>
          <w:rFonts w:ascii="Verdana" w:hAnsi="Verdana"/>
          <w:sz w:val="18"/>
          <w:szCs w:val="18"/>
          <w:lang w:val="el-GR"/>
        </w:rPr>
        <w:t>. Το 1</w:t>
      </w:r>
      <w:r>
        <w:rPr>
          <w:rFonts w:ascii="Verdana" w:hAnsi="Verdana"/>
          <w:sz w:val="18"/>
          <w:szCs w:val="18"/>
          <w:lang w:val="el-GR"/>
        </w:rPr>
        <w:t>7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8</w:t>
      </w:r>
      <w:r w:rsidRPr="00C22940">
        <w:rPr>
          <w:rFonts w:ascii="Verdana" w:hAnsi="Verdana"/>
          <w:sz w:val="18"/>
          <w:szCs w:val="18"/>
          <w:lang w:val="el-GR"/>
        </w:rPr>
        <w:t xml:space="preserve">% των επιχειρήσεων έλαβε παραγγελίες για προϊόντα ή υπηρεσίες μέσω των </w:t>
      </w:r>
      <w:proofErr w:type="spellStart"/>
      <w:r w:rsidRPr="00C22940">
        <w:rPr>
          <w:rFonts w:ascii="Verdana" w:hAnsi="Verdana"/>
          <w:sz w:val="18"/>
          <w:szCs w:val="18"/>
          <w:lang w:val="el-GR"/>
        </w:rPr>
        <w:t>ιστότοπων</w:t>
      </w:r>
      <w:proofErr w:type="spellEnd"/>
      <w:r w:rsidRPr="00C22940">
        <w:rPr>
          <w:rFonts w:ascii="Verdana" w:hAnsi="Verdana"/>
          <w:sz w:val="18"/>
          <w:szCs w:val="18"/>
          <w:lang w:val="el-GR"/>
        </w:rPr>
        <w:t xml:space="preserve">  ή εφαρμογών της ίδιας της επιχείρησης, ενώ το </w:t>
      </w:r>
      <w:r>
        <w:rPr>
          <w:rFonts w:ascii="Verdana" w:hAnsi="Verdana"/>
          <w:sz w:val="18"/>
          <w:szCs w:val="18"/>
          <w:lang w:val="el-GR"/>
        </w:rPr>
        <w:t>11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9</w:t>
      </w:r>
      <w:r w:rsidRPr="00C22940">
        <w:rPr>
          <w:rFonts w:ascii="Verdana" w:hAnsi="Verdana"/>
          <w:sz w:val="18"/>
          <w:szCs w:val="18"/>
          <w:lang w:val="el-GR"/>
        </w:rPr>
        <w:t xml:space="preserve">% έλαβε παραγγελίες μέσω </w:t>
      </w:r>
      <w:proofErr w:type="spellStart"/>
      <w:r w:rsidRPr="00C22940">
        <w:rPr>
          <w:rFonts w:ascii="Verdana" w:hAnsi="Verdana"/>
          <w:sz w:val="18"/>
          <w:szCs w:val="18"/>
          <w:lang w:val="el-GR"/>
        </w:rPr>
        <w:t>ιστότοπων</w:t>
      </w:r>
      <w:proofErr w:type="spellEnd"/>
      <w:r w:rsidRPr="00C22940">
        <w:rPr>
          <w:rFonts w:ascii="Verdana" w:hAnsi="Verdana"/>
          <w:sz w:val="18"/>
          <w:szCs w:val="18"/>
          <w:lang w:val="el-GR"/>
        </w:rPr>
        <w:t xml:space="preserve">  ηλεκτρονικής αγοράς ή εφαρμογών που χρησιμοποιούνται από διάφορες  επιχειρήσεις για εμπορία προϊόντων</w:t>
      </w:r>
      <w:r>
        <w:rPr>
          <w:rFonts w:ascii="Verdana" w:hAnsi="Verdana"/>
          <w:sz w:val="18"/>
          <w:szCs w:val="18"/>
          <w:lang w:val="el-GR"/>
        </w:rPr>
        <w:t>.</w:t>
      </w:r>
      <w:r w:rsidRPr="00D01570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 xml:space="preserve">Το 19,6% των επιχειρήσεων έλαβε παραγγελίες για αγαθά ή υπηρεσίες μέσω </w:t>
      </w:r>
      <w:proofErr w:type="spellStart"/>
      <w:r>
        <w:rPr>
          <w:rFonts w:ascii="Verdana" w:hAnsi="Verdana"/>
          <w:sz w:val="18"/>
          <w:szCs w:val="18"/>
          <w:lang w:val="el-GR"/>
        </w:rPr>
        <w:t>ιστότοπων</w:t>
      </w:r>
      <w:proofErr w:type="spellEnd"/>
      <w:r>
        <w:rPr>
          <w:rFonts w:ascii="Verdana" w:hAnsi="Verdana"/>
          <w:sz w:val="18"/>
          <w:szCs w:val="18"/>
          <w:lang w:val="el-GR"/>
        </w:rPr>
        <w:t xml:space="preserve"> ή εφαρμογών από ιδιώτες καταναλωτές σε σύγκριση με 12,7% των επιχειρήσεων που έλαβαν παραγγελίες από </w:t>
      </w:r>
      <w:r w:rsidRPr="002550C5">
        <w:rPr>
          <w:rFonts w:ascii="Verdana" w:hAnsi="Verdana"/>
          <w:sz w:val="18"/>
          <w:szCs w:val="18"/>
          <w:lang w:val="el-GR"/>
        </w:rPr>
        <w:t>άλλες επιχειρήσεις</w:t>
      </w:r>
      <w:r>
        <w:rPr>
          <w:rFonts w:ascii="Verdana" w:hAnsi="Verdana"/>
          <w:sz w:val="18"/>
          <w:szCs w:val="18"/>
          <w:lang w:val="el-GR"/>
        </w:rPr>
        <w:t xml:space="preserve"> ή/</w:t>
      </w:r>
      <w:r w:rsidRPr="002550C5">
        <w:rPr>
          <w:rFonts w:ascii="Verdana" w:hAnsi="Verdana"/>
          <w:sz w:val="18"/>
          <w:szCs w:val="18"/>
          <w:lang w:val="el-GR"/>
        </w:rPr>
        <w:t>και δημόσιες αρχές</w:t>
      </w:r>
      <w:r>
        <w:rPr>
          <w:rFonts w:ascii="Verdana" w:hAnsi="Verdana"/>
          <w:sz w:val="18"/>
          <w:szCs w:val="18"/>
          <w:lang w:val="el-GR"/>
        </w:rPr>
        <w:t xml:space="preserve">. </w:t>
      </w:r>
      <w:r w:rsidRPr="00C22940">
        <w:rPr>
          <w:rFonts w:ascii="Verdana" w:hAnsi="Verdana"/>
          <w:sz w:val="18"/>
          <w:szCs w:val="18"/>
          <w:lang w:val="el-GR"/>
        </w:rPr>
        <w:t>Το 1</w:t>
      </w:r>
      <w:r>
        <w:rPr>
          <w:rFonts w:ascii="Verdana" w:hAnsi="Verdana"/>
          <w:sz w:val="18"/>
          <w:szCs w:val="18"/>
          <w:lang w:val="el-GR"/>
        </w:rPr>
        <w:t>9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9</w:t>
      </w:r>
      <w:r w:rsidRPr="00C22940">
        <w:rPr>
          <w:rFonts w:ascii="Verdana" w:hAnsi="Verdana"/>
          <w:sz w:val="18"/>
          <w:szCs w:val="18"/>
          <w:lang w:val="el-GR"/>
        </w:rPr>
        <w:t xml:space="preserve">% των επιχειρήσεων έλαβε παραγγελίες για προϊόντα ή υπηρεσίες μέσω </w:t>
      </w:r>
      <w:proofErr w:type="spellStart"/>
      <w:r w:rsidRPr="00C22940">
        <w:rPr>
          <w:rFonts w:ascii="Verdana" w:hAnsi="Verdana"/>
          <w:sz w:val="18"/>
          <w:szCs w:val="18"/>
          <w:lang w:val="el-GR"/>
        </w:rPr>
        <w:t>ιστότοπων</w:t>
      </w:r>
      <w:proofErr w:type="spellEnd"/>
      <w:r w:rsidRPr="00C22940">
        <w:rPr>
          <w:rFonts w:ascii="Verdana" w:hAnsi="Verdana"/>
          <w:sz w:val="18"/>
          <w:szCs w:val="18"/>
          <w:lang w:val="el-GR"/>
        </w:rPr>
        <w:t xml:space="preserve"> ή εφαρμογών, από πελάτες πού διαμένουν στην Κύπρο,</w:t>
      </w:r>
      <w:r>
        <w:rPr>
          <w:rFonts w:ascii="Verdana" w:hAnsi="Verdana"/>
          <w:sz w:val="18"/>
          <w:szCs w:val="18"/>
          <w:lang w:val="el-GR"/>
        </w:rPr>
        <w:t xml:space="preserve"> το</w:t>
      </w:r>
      <w:r w:rsidRPr="00C22940">
        <w:rPr>
          <w:rFonts w:ascii="Verdana" w:hAnsi="Verdana"/>
          <w:sz w:val="18"/>
          <w:szCs w:val="18"/>
          <w:lang w:val="el-GR"/>
        </w:rPr>
        <w:t xml:space="preserve"> </w:t>
      </w:r>
      <w:r>
        <w:rPr>
          <w:rFonts w:ascii="Verdana" w:hAnsi="Verdana"/>
          <w:sz w:val="18"/>
          <w:szCs w:val="18"/>
          <w:lang w:val="el-GR"/>
        </w:rPr>
        <w:t>9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6</w:t>
      </w:r>
      <w:r w:rsidRPr="00C22940">
        <w:rPr>
          <w:rFonts w:ascii="Verdana" w:hAnsi="Verdana"/>
          <w:sz w:val="18"/>
          <w:szCs w:val="18"/>
          <w:lang w:val="el-GR"/>
        </w:rPr>
        <w:t xml:space="preserve">% από πελάτες που βρίσκονται σε άλλες χώρες της Ευρωπαϊκής Ένωσης και </w:t>
      </w:r>
      <w:r>
        <w:rPr>
          <w:rFonts w:ascii="Verdana" w:hAnsi="Verdana"/>
          <w:sz w:val="18"/>
          <w:szCs w:val="18"/>
          <w:lang w:val="el-GR"/>
        </w:rPr>
        <w:t>το 8</w:t>
      </w:r>
      <w:r w:rsidRPr="00C22940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2</w:t>
      </w:r>
      <w:r w:rsidRPr="00C22940">
        <w:rPr>
          <w:rFonts w:ascii="Verdana" w:hAnsi="Verdana"/>
          <w:sz w:val="18"/>
          <w:szCs w:val="18"/>
          <w:lang w:val="el-GR"/>
        </w:rPr>
        <w:t xml:space="preserve">% από πελάτες που βρίσκονται στον υπόλοιπο κόσμο (Διάγραμμα </w:t>
      </w:r>
      <w:r w:rsidRPr="00D01570">
        <w:rPr>
          <w:rFonts w:ascii="Verdana" w:hAnsi="Verdana"/>
          <w:sz w:val="18"/>
          <w:szCs w:val="18"/>
          <w:lang w:val="el-GR"/>
        </w:rPr>
        <w:t>3</w:t>
      </w:r>
      <w:r w:rsidRPr="00C22940">
        <w:rPr>
          <w:rFonts w:ascii="Verdana" w:hAnsi="Verdana"/>
          <w:sz w:val="18"/>
          <w:szCs w:val="18"/>
          <w:lang w:val="el-GR"/>
        </w:rPr>
        <w:t>).</w:t>
      </w:r>
    </w:p>
    <w:p w14:paraId="0840A04C" w14:textId="745FB897" w:rsidR="00D01570" w:rsidRDefault="00D01570" w:rsidP="00D01570">
      <w:pPr>
        <w:tabs>
          <w:tab w:val="left" w:pos="7725"/>
        </w:tabs>
        <w:jc w:val="both"/>
        <w:rPr>
          <w:rFonts w:ascii="Verdana" w:hAnsi="Verdana"/>
          <w:sz w:val="18"/>
          <w:szCs w:val="18"/>
          <w:lang w:val="el-GR"/>
        </w:rPr>
      </w:pPr>
    </w:p>
    <w:p w14:paraId="0072938F" w14:textId="469397DC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35B4A2" w14:textId="525F6465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9B63B7" w14:textId="544D21F8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1D13AB" w14:textId="2C88422B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25F2432" w14:textId="1D794F1E" w:rsidR="00E068C8" w:rsidRPr="003313A9" w:rsidRDefault="002F19A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  <w:r>
        <w:rPr>
          <w:rFonts w:ascii="Verdana" w:hAnsi="Verdana" w:cs="Arial"/>
          <w:noProof/>
          <w:sz w:val="18"/>
          <w:szCs w:val="18"/>
          <w:lang w:val="el-GR"/>
        </w:rPr>
        <w:lastRenderedPageBreak/>
        <w:drawing>
          <wp:inline distT="0" distB="0" distL="0" distR="0" wp14:anchorId="15F92860" wp14:editId="277DAF81">
            <wp:extent cx="6057900" cy="4895215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89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5C24A" w14:textId="3A5B7C8E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677BF7F" w14:textId="77777777" w:rsidR="00D01570" w:rsidRPr="009158C4" w:rsidRDefault="00D01570" w:rsidP="00D01570">
      <w:pPr>
        <w:jc w:val="both"/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</w:pPr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 xml:space="preserve">Εξειδικευμένο προσωπικό σε θέματα </w:t>
      </w:r>
      <w:proofErr w:type="spellStart"/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>τπε</w:t>
      </w:r>
      <w:proofErr w:type="spellEnd"/>
      <w:r w:rsidRPr="009158C4">
        <w:rPr>
          <w:rFonts w:ascii="Verdana" w:hAnsi="Verdana" w:cs="Arial"/>
          <w:b/>
          <w:bCs/>
          <w:caps/>
          <w:sz w:val="18"/>
          <w:szCs w:val="18"/>
          <w:u w:val="single"/>
          <w:lang w:val="el-GR"/>
        </w:rPr>
        <w:t xml:space="preserve"> και δεξιότητες</w:t>
      </w:r>
    </w:p>
    <w:p w14:paraId="5AFA43C7" w14:textId="77777777" w:rsidR="00D01570" w:rsidRDefault="00D01570" w:rsidP="00D01570">
      <w:pPr>
        <w:jc w:val="both"/>
        <w:rPr>
          <w:rFonts w:ascii="Verdana" w:hAnsi="Verdana"/>
          <w:b/>
          <w:bCs/>
          <w:smallCaps/>
          <w:sz w:val="18"/>
          <w:szCs w:val="18"/>
          <w:u w:val="single"/>
          <w:lang w:val="el-GR"/>
        </w:rPr>
      </w:pPr>
    </w:p>
    <w:p w14:paraId="4E06FE90" w14:textId="46FC7499" w:rsidR="00D01570" w:rsidRPr="006637FF" w:rsidRDefault="00D01570" w:rsidP="00D01570">
      <w:pPr>
        <w:jc w:val="both"/>
        <w:rPr>
          <w:rFonts w:ascii="Verdana" w:hAnsi="Verdana"/>
          <w:sz w:val="18"/>
          <w:szCs w:val="18"/>
          <w:lang w:val="el-GR"/>
        </w:rPr>
      </w:pPr>
      <w:r w:rsidRPr="006637FF">
        <w:rPr>
          <w:rFonts w:ascii="Verdana" w:hAnsi="Verdana"/>
          <w:sz w:val="18"/>
          <w:szCs w:val="18"/>
          <w:lang w:val="el-GR"/>
        </w:rPr>
        <w:t xml:space="preserve">Εξειδικευμένο προσωπικό σε θέματα ΤΠΕ θεωρείται το προσωπικό του οποίου η κύρια εργασία είναι η χρήση των ΤΠΕ. Για παράδειγμα, έχει τη δυνατότητα να αναπτύσσει, να σχεδιάζει, να λειτουργεί, να υποστηρίζει ή </w:t>
      </w:r>
      <w:r w:rsidR="006C48D3">
        <w:rPr>
          <w:rFonts w:ascii="Verdana" w:hAnsi="Verdana"/>
          <w:sz w:val="18"/>
          <w:szCs w:val="18"/>
          <w:lang w:val="el-GR"/>
        </w:rPr>
        <w:t xml:space="preserve">και </w:t>
      </w:r>
      <w:r w:rsidRPr="006637FF">
        <w:rPr>
          <w:rFonts w:ascii="Verdana" w:hAnsi="Verdana"/>
          <w:sz w:val="18"/>
          <w:szCs w:val="18"/>
          <w:lang w:val="el-GR"/>
        </w:rPr>
        <w:t xml:space="preserve">να συντηρεί συστήματα ΤΠΕ και εφαρμογές που χρησιμοποιούνται για την αποθήκευση, ανάκτηση και αποστολή δεδομένων. </w:t>
      </w:r>
    </w:p>
    <w:p w14:paraId="7D60A8E9" w14:textId="77777777" w:rsidR="00D01570" w:rsidRPr="006637FF" w:rsidRDefault="00D01570" w:rsidP="00D01570">
      <w:pPr>
        <w:rPr>
          <w:rFonts w:ascii="Verdana" w:hAnsi="Verdana"/>
          <w:sz w:val="18"/>
          <w:szCs w:val="18"/>
          <w:lang w:val="el-GR"/>
        </w:rPr>
      </w:pPr>
    </w:p>
    <w:p w14:paraId="003CE13E" w14:textId="1FC6E45C" w:rsidR="00D01570" w:rsidRDefault="00D01570" w:rsidP="00D01570">
      <w:pPr>
        <w:jc w:val="both"/>
        <w:rPr>
          <w:rFonts w:ascii="Verdana" w:hAnsi="Verdana"/>
          <w:sz w:val="18"/>
          <w:szCs w:val="18"/>
          <w:lang w:val="el-GR"/>
        </w:rPr>
      </w:pPr>
      <w:r w:rsidRPr="000A4204">
        <w:rPr>
          <w:rFonts w:ascii="Verdana" w:hAnsi="Verdana"/>
          <w:sz w:val="18"/>
          <w:szCs w:val="18"/>
          <w:lang w:val="el-GR"/>
        </w:rPr>
        <w:t>Μία στις τέσσερις επιχειρήσεις (24,5%) απασχολεί εξειδικευμένο προσωπικό σε θέματα ΤΠΕ. Στις μεγάλες επιχειρήσεις το ποσοστό αυτό φτάνει το 73,3%</w:t>
      </w:r>
      <w:r>
        <w:rPr>
          <w:rFonts w:ascii="Verdana" w:hAnsi="Verdana"/>
          <w:sz w:val="18"/>
          <w:szCs w:val="18"/>
          <w:lang w:val="el-GR"/>
        </w:rPr>
        <w:t>,</w:t>
      </w:r>
      <w:r w:rsidRPr="000A4204">
        <w:rPr>
          <w:rFonts w:ascii="Verdana" w:hAnsi="Verdana"/>
          <w:sz w:val="18"/>
          <w:szCs w:val="18"/>
          <w:lang w:val="el-GR"/>
        </w:rPr>
        <w:t xml:space="preserve"> σε σύγκριση με </w:t>
      </w:r>
      <w:r w:rsidR="006C48D3">
        <w:rPr>
          <w:rFonts w:ascii="Verdana" w:hAnsi="Verdana"/>
          <w:sz w:val="18"/>
          <w:szCs w:val="18"/>
          <w:lang w:val="el-GR"/>
        </w:rPr>
        <w:t xml:space="preserve">46,5% στις μεσαίες και </w:t>
      </w:r>
      <w:r w:rsidRPr="000A4204">
        <w:rPr>
          <w:rFonts w:ascii="Verdana" w:hAnsi="Verdana"/>
          <w:sz w:val="18"/>
          <w:szCs w:val="18"/>
          <w:lang w:val="el-GR"/>
        </w:rPr>
        <w:t>20,1% στις μικρές επιχειρήσεις</w:t>
      </w:r>
      <w:r w:rsidR="00E355A5">
        <w:rPr>
          <w:rFonts w:ascii="Verdana" w:hAnsi="Verdana"/>
          <w:sz w:val="18"/>
          <w:szCs w:val="18"/>
          <w:lang w:val="el-GR"/>
        </w:rPr>
        <w:t>.</w:t>
      </w:r>
      <w:r w:rsidRPr="000A4204">
        <w:rPr>
          <w:rFonts w:ascii="Verdana" w:hAnsi="Verdana"/>
          <w:sz w:val="18"/>
          <w:szCs w:val="18"/>
          <w:lang w:val="el-GR"/>
        </w:rPr>
        <w:t xml:space="preserve"> (</w:t>
      </w:r>
      <w:r>
        <w:rPr>
          <w:rFonts w:ascii="Verdana" w:hAnsi="Verdana"/>
          <w:sz w:val="18"/>
          <w:szCs w:val="18"/>
          <w:lang w:val="el-GR"/>
        </w:rPr>
        <w:t>Πίνακας 2</w:t>
      </w:r>
      <w:r w:rsidRPr="000A4204">
        <w:rPr>
          <w:rFonts w:ascii="Verdana" w:hAnsi="Verdana"/>
          <w:sz w:val="18"/>
          <w:szCs w:val="18"/>
          <w:lang w:val="el-GR"/>
        </w:rPr>
        <w:t>)</w:t>
      </w:r>
    </w:p>
    <w:p w14:paraId="3A99BEE5" w14:textId="77777777" w:rsidR="00D01570" w:rsidRDefault="00D01570" w:rsidP="00D01570">
      <w:pPr>
        <w:rPr>
          <w:rFonts w:ascii="Verdana" w:hAnsi="Verdana"/>
          <w:sz w:val="18"/>
          <w:szCs w:val="18"/>
          <w:lang w:val="el-GR"/>
        </w:rPr>
      </w:pPr>
    </w:p>
    <w:p w14:paraId="373D39F3" w14:textId="2D5D96ED" w:rsidR="00D01570" w:rsidRDefault="00D01570" w:rsidP="00D01570">
      <w:pPr>
        <w:jc w:val="both"/>
        <w:rPr>
          <w:rFonts w:ascii="Verdana" w:hAnsi="Verdana"/>
          <w:sz w:val="18"/>
          <w:szCs w:val="18"/>
          <w:lang w:val="el-GR"/>
        </w:rPr>
      </w:pPr>
      <w:r w:rsidRPr="000A4204">
        <w:rPr>
          <w:rFonts w:ascii="Verdana" w:hAnsi="Verdana"/>
          <w:sz w:val="18"/>
          <w:szCs w:val="18"/>
          <w:lang w:val="el-GR"/>
        </w:rPr>
        <w:t xml:space="preserve">Το ποσοστό των επιχειρήσεων που παρείχαν οποιοδήποτε είδος εκπαίδευσης κατά το 2021, σε εξειδικευμένο ή μη εξειδικευμένο προσωπικό παραμένει χαμηλό στο 13,9% και 25,6% αντίστοιχα. </w:t>
      </w:r>
      <w:r w:rsidRPr="00A911D2">
        <w:rPr>
          <w:rFonts w:ascii="Verdana" w:hAnsi="Verdana"/>
          <w:sz w:val="18"/>
          <w:szCs w:val="18"/>
          <w:lang w:val="el-GR"/>
        </w:rPr>
        <w:t>Στις μεγάλες επιχειρήσεις τα αντίστοιχα ποσοστά είναι 51,1% σε εξειδικευμένο προσωπικό και 65,7% σε μη εξειδικευμένο προσωπικό</w:t>
      </w:r>
      <w:r w:rsidR="00E355A5">
        <w:rPr>
          <w:rFonts w:ascii="Verdana" w:hAnsi="Verdana"/>
          <w:sz w:val="18"/>
          <w:szCs w:val="18"/>
          <w:lang w:val="el-GR"/>
        </w:rPr>
        <w:t>.</w:t>
      </w:r>
      <w:r w:rsidRPr="00A911D2">
        <w:rPr>
          <w:rFonts w:ascii="Verdana" w:hAnsi="Verdana"/>
          <w:sz w:val="18"/>
          <w:szCs w:val="18"/>
          <w:lang w:val="el-GR"/>
        </w:rPr>
        <w:t xml:space="preserve"> (</w:t>
      </w:r>
      <w:r>
        <w:rPr>
          <w:rFonts w:ascii="Verdana" w:hAnsi="Verdana"/>
          <w:sz w:val="18"/>
          <w:szCs w:val="18"/>
          <w:lang w:val="el-GR"/>
        </w:rPr>
        <w:t>Πίνακας 2</w:t>
      </w:r>
      <w:r w:rsidRPr="00A911D2">
        <w:rPr>
          <w:rFonts w:ascii="Verdana" w:hAnsi="Verdana"/>
          <w:sz w:val="18"/>
          <w:szCs w:val="18"/>
          <w:lang w:val="el-GR"/>
        </w:rPr>
        <w:t>)</w:t>
      </w:r>
    </w:p>
    <w:p w14:paraId="42E4F093" w14:textId="77777777" w:rsidR="00D01570" w:rsidRDefault="00D01570" w:rsidP="00D01570">
      <w:pPr>
        <w:rPr>
          <w:rFonts w:ascii="Verdana" w:hAnsi="Verdana"/>
          <w:sz w:val="18"/>
          <w:szCs w:val="18"/>
          <w:lang w:val="el-GR"/>
        </w:rPr>
      </w:pPr>
    </w:p>
    <w:p w14:paraId="63EE1450" w14:textId="49703BDE" w:rsidR="00D01570" w:rsidRDefault="00D01570" w:rsidP="00D01570">
      <w:pPr>
        <w:jc w:val="both"/>
        <w:rPr>
          <w:rFonts w:ascii="Verdana" w:hAnsi="Verdana"/>
          <w:sz w:val="18"/>
          <w:szCs w:val="18"/>
          <w:lang w:val="el-GR"/>
        </w:rPr>
      </w:pPr>
      <w:r w:rsidRPr="006637FF">
        <w:rPr>
          <w:rFonts w:ascii="Verdana" w:hAnsi="Verdana"/>
          <w:sz w:val="18"/>
          <w:szCs w:val="18"/>
          <w:lang w:val="el-GR"/>
        </w:rPr>
        <w:t>Το 10,</w:t>
      </w:r>
      <w:r>
        <w:rPr>
          <w:rFonts w:ascii="Verdana" w:hAnsi="Verdana"/>
          <w:sz w:val="18"/>
          <w:szCs w:val="18"/>
          <w:lang w:val="el-GR"/>
        </w:rPr>
        <w:t>5</w:t>
      </w:r>
      <w:r w:rsidRPr="006637FF">
        <w:rPr>
          <w:rFonts w:ascii="Verdana" w:hAnsi="Verdana"/>
          <w:sz w:val="18"/>
          <w:szCs w:val="18"/>
          <w:lang w:val="el-GR"/>
        </w:rPr>
        <w:t xml:space="preserve">% των επιχειρήσεων με 10 ή περισσότερους υπαλλήλους προσέλαβε ή προσπάθησε να προσλάβει </w:t>
      </w:r>
      <w:bookmarkStart w:id="0" w:name="_Hlk117591622"/>
      <w:r w:rsidRPr="006637FF">
        <w:rPr>
          <w:rFonts w:ascii="Verdana" w:hAnsi="Verdana"/>
          <w:sz w:val="18"/>
          <w:szCs w:val="18"/>
          <w:lang w:val="el-GR"/>
        </w:rPr>
        <w:t xml:space="preserve">εξειδικευμένο προσωπικό σε θέματα ΤΠΕ </w:t>
      </w:r>
      <w:bookmarkEnd w:id="0"/>
      <w:r w:rsidRPr="006637FF">
        <w:rPr>
          <w:rFonts w:ascii="Verdana" w:hAnsi="Verdana"/>
          <w:sz w:val="18"/>
          <w:szCs w:val="18"/>
          <w:lang w:val="el-GR"/>
        </w:rPr>
        <w:t>το 20</w:t>
      </w:r>
      <w:r>
        <w:rPr>
          <w:rFonts w:ascii="Verdana" w:hAnsi="Verdana"/>
          <w:sz w:val="18"/>
          <w:szCs w:val="18"/>
          <w:lang w:val="el-GR"/>
        </w:rPr>
        <w:t>21</w:t>
      </w:r>
      <w:r w:rsidRPr="006637FF">
        <w:rPr>
          <w:rFonts w:ascii="Verdana" w:hAnsi="Verdana"/>
          <w:sz w:val="18"/>
          <w:szCs w:val="18"/>
          <w:lang w:val="el-GR"/>
        </w:rPr>
        <w:t xml:space="preserve">. Το </w:t>
      </w:r>
      <w:r>
        <w:rPr>
          <w:rFonts w:ascii="Verdana" w:hAnsi="Verdana"/>
          <w:sz w:val="18"/>
          <w:szCs w:val="18"/>
          <w:lang w:val="el-GR"/>
        </w:rPr>
        <w:t>5</w:t>
      </w:r>
      <w:r w:rsidRPr="006637FF">
        <w:rPr>
          <w:rFonts w:ascii="Verdana" w:hAnsi="Verdana"/>
          <w:sz w:val="18"/>
          <w:szCs w:val="18"/>
          <w:lang w:val="el-GR"/>
        </w:rPr>
        <w:t>,</w:t>
      </w:r>
      <w:r>
        <w:rPr>
          <w:rFonts w:ascii="Verdana" w:hAnsi="Verdana"/>
          <w:sz w:val="18"/>
          <w:szCs w:val="18"/>
          <w:lang w:val="el-GR"/>
        </w:rPr>
        <w:t>7</w:t>
      </w:r>
      <w:r w:rsidRPr="006637FF">
        <w:rPr>
          <w:rFonts w:ascii="Verdana" w:hAnsi="Verdana"/>
          <w:sz w:val="18"/>
          <w:szCs w:val="18"/>
          <w:lang w:val="el-GR"/>
        </w:rPr>
        <w:t xml:space="preserve">% των επιχειρήσεων αντιμετώπισε δυσκολίες στο να πληρώσει αυτές τις θέσεις </w:t>
      </w:r>
      <w:r>
        <w:rPr>
          <w:rFonts w:ascii="Verdana" w:hAnsi="Verdana"/>
          <w:sz w:val="18"/>
          <w:szCs w:val="18"/>
          <w:lang w:val="el-GR"/>
        </w:rPr>
        <w:t>κατά το 2021</w:t>
      </w:r>
      <w:r w:rsidR="00E355A5">
        <w:rPr>
          <w:rFonts w:ascii="Verdana" w:hAnsi="Verdana"/>
          <w:sz w:val="18"/>
          <w:szCs w:val="18"/>
          <w:lang w:val="el-GR"/>
        </w:rPr>
        <w:t>.</w:t>
      </w:r>
      <w:r>
        <w:rPr>
          <w:rFonts w:ascii="Verdana" w:hAnsi="Verdana"/>
          <w:sz w:val="18"/>
          <w:szCs w:val="18"/>
          <w:lang w:val="el-GR"/>
        </w:rPr>
        <w:t xml:space="preserve"> </w:t>
      </w:r>
      <w:r w:rsidRPr="006637FF">
        <w:rPr>
          <w:rFonts w:ascii="Verdana" w:hAnsi="Verdana"/>
          <w:sz w:val="18"/>
          <w:szCs w:val="18"/>
          <w:lang w:val="el-GR"/>
        </w:rPr>
        <w:t>(</w:t>
      </w:r>
      <w:r>
        <w:rPr>
          <w:rFonts w:ascii="Verdana" w:hAnsi="Verdana"/>
          <w:sz w:val="18"/>
          <w:szCs w:val="18"/>
          <w:lang w:val="el-GR"/>
        </w:rPr>
        <w:t>Πίνακας 2</w:t>
      </w:r>
      <w:r w:rsidRPr="006637FF">
        <w:rPr>
          <w:rFonts w:ascii="Verdana" w:hAnsi="Verdana"/>
          <w:sz w:val="18"/>
          <w:szCs w:val="18"/>
          <w:lang w:val="el-GR"/>
        </w:rPr>
        <w:t xml:space="preserve">) </w:t>
      </w:r>
    </w:p>
    <w:p w14:paraId="67D48D11" w14:textId="71CEAF87" w:rsidR="00E068C8" w:rsidRDefault="00E068C8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130B1C6" w14:textId="6420C9C7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E9B0C2" w14:textId="182ED7AC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814A91D" w14:textId="2BA8B040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17E649D" w14:textId="68E69AF2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D333CB" w14:textId="4E76DE0B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1312A08" w14:textId="16264D2D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66B69C6" w14:textId="71C5B422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89C6913" w14:textId="3377C6F5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51882AB" w14:textId="68598F8B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EE4B4E4" w14:textId="36FC7029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D67ACDD" w14:textId="77777777" w:rsidR="00454B95" w:rsidRDefault="00454B95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98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V w:val="single" w:sz="4" w:space="0" w:color="548DD4"/>
        </w:tblBorders>
        <w:tblLook w:val="04A0" w:firstRow="1" w:lastRow="0" w:firstColumn="1" w:lastColumn="0" w:noHBand="0" w:noVBand="1"/>
      </w:tblPr>
      <w:tblGrid>
        <w:gridCol w:w="4754"/>
        <w:gridCol w:w="843"/>
        <w:gridCol w:w="924"/>
        <w:gridCol w:w="850"/>
        <w:gridCol w:w="851"/>
        <w:gridCol w:w="850"/>
        <w:gridCol w:w="740"/>
      </w:tblGrid>
      <w:tr w:rsidR="001E47E3" w:rsidRPr="00B86583" w14:paraId="3F110BFB" w14:textId="77777777" w:rsidTr="00DB60DC">
        <w:trPr>
          <w:trHeight w:val="376"/>
        </w:trPr>
        <w:tc>
          <w:tcPr>
            <w:tcW w:w="475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4197630" w14:textId="77777777" w:rsidR="001E47E3" w:rsidRPr="00696AC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proofErr w:type="spellStart"/>
            <w:r w:rsidRPr="0034376D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lastRenderedPageBreak/>
              <w:t>Πίν</w:t>
            </w:r>
            <w:proofErr w:type="spellEnd"/>
            <w:r w:rsidRPr="0034376D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 xml:space="preserve">ακας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FD800A8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C9DF230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2610E62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0716B4A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7A2DDDBC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CA05CB3" w14:textId="77777777" w:rsidR="001E47E3" w:rsidRPr="00553164" w:rsidRDefault="001E47E3" w:rsidP="00BE73E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</w:p>
        </w:tc>
      </w:tr>
      <w:tr w:rsidR="00DB60DC" w:rsidRPr="00553164" w14:paraId="2D8D32B0" w14:textId="77777777" w:rsidTr="00DB60DC">
        <w:trPr>
          <w:trHeight w:val="617"/>
        </w:trPr>
        <w:tc>
          <w:tcPr>
            <w:tcW w:w="475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0C056491" w14:textId="77777777" w:rsidR="00DB60DC" w:rsidRPr="0034376D" w:rsidRDefault="00DB60DC" w:rsidP="00DB60DC">
            <w:pP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34376D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Ταχύτητα Μεταφοράς Δεδομένων 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              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(% επί του συνόλου των επιχειρήσεων (10+))</w:t>
            </w:r>
          </w:p>
        </w:tc>
        <w:tc>
          <w:tcPr>
            <w:tcW w:w="843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45EFD3FC" w14:textId="1FF7961D" w:rsidR="00DB60DC" w:rsidRPr="00DB60DC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924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1CA44510" w14:textId="007889C8" w:rsidR="00DB60DC" w:rsidRPr="00B6762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5316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201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4FA3A79" w14:textId="2B4A7568" w:rsidR="00DB60DC" w:rsidRPr="00B6762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5316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201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EA20E9E" w14:textId="6286CFA7" w:rsidR="00DB60DC" w:rsidRPr="00B6762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A17BB5B" w14:textId="68D919D6" w:rsidR="00DB60DC" w:rsidRPr="00B6762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553164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</w:t>
            </w: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single" w:sz="4" w:space="0" w:color="365F91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5B7B8AEB" w14:textId="6BC118EE" w:rsidR="00DB60DC" w:rsidRPr="00B6762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2022</w:t>
            </w:r>
          </w:p>
        </w:tc>
      </w:tr>
      <w:tr w:rsidR="00DB60DC" w:rsidRPr="00553164" w14:paraId="644940CC" w14:textId="77777777" w:rsidTr="00DB60DC">
        <w:trPr>
          <w:trHeight w:val="417"/>
        </w:trPr>
        <w:tc>
          <w:tcPr>
            <w:tcW w:w="4754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DE5132" w14:textId="77777777" w:rsidR="00DB60DC" w:rsidRPr="00553164" w:rsidRDefault="00DB60DC" w:rsidP="00DB60DC">
            <w:pPr>
              <w:tabs>
                <w:tab w:val="left" w:pos="252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proofErr w:type="spellStart"/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Λιγότερο</w:t>
            </w:r>
            <w:proofErr w:type="spellEnd"/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από 30 Mbit/s</w:t>
            </w:r>
          </w:p>
        </w:tc>
        <w:tc>
          <w:tcPr>
            <w:tcW w:w="843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DBB0A" w14:textId="32AA367D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D3A3D" w14:textId="69E65BC5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58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8FF434" w14:textId="455B7167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44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9831A7" w14:textId="601A5847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26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B5A771" w14:textId="6DB99027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15,5</w:t>
            </w:r>
          </w:p>
        </w:tc>
        <w:tc>
          <w:tcPr>
            <w:tcW w:w="740" w:type="dxa"/>
            <w:tcBorders>
              <w:top w:val="single" w:sz="4" w:space="0" w:color="365F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5505F" w14:textId="02DC2BBF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8,0</w:t>
            </w:r>
          </w:p>
        </w:tc>
      </w:tr>
      <w:tr w:rsidR="00DB60DC" w:rsidRPr="00553164" w14:paraId="5CDBB3B0" w14:textId="77777777" w:rsidTr="00E355A5">
        <w:trPr>
          <w:trHeight w:val="517"/>
        </w:trPr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47CEB7" w14:textId="77777777" w:rsidR="00DB60DC" w:rsidRPr="0034376D" w:rsidRDefault="00DB60DC" w:rsidP="00DB60DC">
            <w:pPr>
              <w:tabs>
                <w:tab w:val="left" w:pos="252"/>
              </w:tabs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30 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Mbit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/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ή περισσότερο και λιγότερο από 100 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Mbit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/</w:t>
            </w:r>
            <w:r w:rsidRPr="0034376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s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21EF2" w14:textId="60590416" w:rsidR="00DB60DC" w:rsidRP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F9E2EF" w14:textId="5386F05D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25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83CD6E" w14:textId="7ABFFF8B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32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6CE74E" w14:textId="32BB6D96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25601" w14:textId="5B67D128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36,2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DA46D1" w14:textId="38CFD82E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22,7</w:t>
            </w:r>
          </w:p>
        </w:tc>
      </w:tr>
      <w:tr w:rsidR="00DB60DC" w:rsidRPr="00F60BD9" w14:paraId="2AAAE97A" w14:textId="77777777" w:rsidTr="00DB60DC">
        <w:trPr>
          <w:trHeight w:val="500"/>
        </w:trPr>
        <w:tc>
          <w:tcPr>
            <w:tcW w:w="4754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621AD83F" w14:textId="6C5795F4" w:rsidR="00DB60DC" w:rsidRPr="00F60BD9" w:rsidRDefault="00DB60DC" w:rsidP="00DB60DC">
            <w:pPr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Τουλάχιστον</w:t>
            </w:r>
            <w:r w:rsidRPr="00F60BD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1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00</w:t>
            </w:r>
            <w:r w:rsidRPr="00F60BD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</w:t>
            </w:r>
            <w:r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M</w:t>
            </w:r>
            <w:r w:rsidRPr="00F60BD9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bit/s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365F91"/>
              <w:right w:val="nil"/>
            </w:tcBorders>
            <w:shd w:val="clear" w:color="auto" w:fill="auto"/>
            <w:vAlign w:val="center"/>
          </w:tcPr>
          <w:p w14:paraId="3AE6C14E" w14:textId="5C6A9CB1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928DB3" w14:textId="18A51EBA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2E6FE" w14:textId="11987A06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746562" w14:textId="218DF15A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31</w:t>
            </w:r>
            <w:r w:rsidRPr="005C447C">
              <w:rPr>
                <w:rFonts w:ascii="Verdana" w:hAnsi="Verdana" w:cs="Arial"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color w:val="365F91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2228A" w14:textId="5D70D3DF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3DBFB" w14:textId="4C7D0B78" w:rsidR="00DB60DC" w:rsidRPr="005C447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61,2</w:t>
            </w:r>
          </w:p>
        </w:tc>
      </w:tr>
    </w:tbl>
    <w:p w14:paraId="7FBCDA29" w14:textId="615AF753" w:rsidR="001E47E3" w:rsidRDefault="001E47E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9305A87" w14:textId="7F0DCFF2" w:rsidR="00DB60DC" w:rsidRDefault="00DB60DC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tbl>
      <w:tblPr>
        <w:tblW w:w="5110" w:type="pct"/>
        <w:tblBorders>
          <w:bottom w:val="single" w:sz="4" w:space="0" w:color="548DD4"/>
        </w:tblBorders>
        <w:tblLook w:val="04A0" w:firstRow="1" w:lastRow="0" w:firstColumn="1" w:lastColumn="0" w:noHBand="0" w:noVBand="1"/>
      </w:tblPr>
      <w:tblGrid>
        <w:gridCol w:w="4490"/>
        <w:gridCol w:w="394"/>
        <w:gridCol w:w="227"/>
        <w:gridCol w:w="674"/>
        <w:gridCol w:w="968"/>
        <w:gridCol w:w="921"/>
        <w:gridCol w:w="1039"/>
        <w:gridCol w:w="1086"/>
      </w:tblGrid>
      <w:tr w:rsidR="00DB60DC" w:rsidRPr="00EA3FD6" w14:paraId="42B227E0" w14:textId="77777777" w:rsidTr="008909ED">
        <w:trPr>
          <w:trHeight w:val="393"/>
        </w:trPr>
        <w:tc>
          <w:tcPr>
            <w:tcW w:w="5000" w:type="pct"/>
            <w:gridSpan w:val="8"/>
            <w:tcBorders>
              <w:bottom w:val="single" w:sz="4" w:space="0" w:color="365F91"/>
            </w:tcBorders>
            <w:shd w:val="clear" w:color="auto" w:fill="auto"/>
            <w:vAlign w:val="center"/>
          </w:tcPr>
          <w:p w14:paraId="71256575" w14:textId="072F9986" w:rsidR="00DB60DC" w:rsidRPr="00EA3FD6" w:rsidRDefault="00511FC2" w:rsidP="00DF658A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bookmarkStart w:id="1" w:name="_Hlk119399595"/>
            <w: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Πίνακας </w:t>
            </w:r>
            <w:r w:rsidR="00DB60DC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  <w:t>2</w:t>
            </w:r>
          </w:p>
        </w:tc>
      </w:tr>
      <w:tr w:rsidR="00DB60DC" w:rsidRPr="00EA3FD6" w14:paraId="3D1AD217" w14:textId="77777777" w:rsidTr="008909ED">
        <w:trPr>
          <w:trHeight w:val="636"/>
        </w:trPr>
        <w:tc>
          <w:tcPr>
            <w:tcW w:w="2291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5594A3ED" w14:textId="3619DBA9" w:rsidR="0044744D" w:rsidRDefault="0044744D" w:rsidP="0044744D">
            <w:pPr>
              <w:ind w:left="-108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 xml:space="preserve">  </w:t>
            </w:r>
            <w:r w:rsidR="00511FC2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Εξειδικευμένο προσωπικό σε θέματα ΤΠΕ</w:t>
            </w:r>
          </w:p>
          <w:p w14:paraId="59F5EAE1" w14:textId="16E64F42" w:rsidR="00DB60DC" w:rsidRPr="00511FC2" w:rsidRDefault="0044744D" w:rsidP="0044744D">
            <w:pPr>
              <w:ind w:left="-108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 </w:t>
            </w:r>
            <w:r w:rsidR="00511FC2" w:rsidRPr="0015622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(% επί του συνόλου των επιχειρήσεων </w:t>
            </w:r>
            <w:r w:rsid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(</w:t>
            </w:r>
            <w:r w:rsidR="00511FC2" w:rsidRPr="0015622B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10+))</w:t>
            </w:r>
          </w:p>
        </w:tc>
        <w:tc>
          <w:tcPr>
            <w:tcW w:w="201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4A409DC4" w14:textId="77777777" w:rsidR="00DB60DC" w:rsidRPr="00511FC2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116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2BF154DA" w14:textId="77777777" w:rsidR="00DB60DC" w:rsidRPr="00511FC2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344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6450F135" w14:textId="77777777" w:rsidR="00DB60DC" w:rsidRPr="00511FC2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494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10425912" w14:textId="3FE82457" w:rsidR="00DB60DC" w:rsidRPr="00C4008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0304E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Σύνολο</w:t>
            </w:r>
          </w:p>
        </w:tc>
        <w:tc>
          <w:tcPr>
            <w:tcW w:w="470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5C5FC0B5" w14:textId="47C70408" w:rsidR="00DB60DC" w:rsidRPr="00C4008B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0304E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Μικρές</w:t>
            </w:r>
          </w:p>
        </w:tc>
        <w:tc>
          <w:tcPr>
            <w:tcW w:w="530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6070D04B" w14:textId="38F28C5C" w:rsidR="00DB60DC" w:rsidRPr="00EA3FD6" w:rsidRDefault="00DB60DC" w:rsidP="00DB60DC">
            <w:pPr>
              <w:jc w:val="right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0304E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Μεσαίες</w:t>
            </w:r>
          </w:p>
        </w:tc>
        <w:tc>
          <w:tcPr>
            <w:tcW w:w="554" w:type="pct"/>
            <w:tcBorders>
              <w:top w:val="single" w:sz="4" w:space="0" w:color="365F91"/>
              <w:bottom w:val="single" w:sz="4" w:space="0" w:color="365F91"/>
            </w:tcBorders>
            <w:shd w:val="clear" w:color="auto" w:fill="auto"/>
            <w:vAlign w:val="center"/>
          </w:tcPr>
          <w:p w14:paraId="62F3C6B4" w14:textId="4BFF7D03" w:rsidR="00DB60DC" w:rsidRPr="00396B90" w:rsidRDefault="00DB60DC" w:rsidP="00DB60DC">
            <w:pPr>
              <w:jc w:val="center"/>
              <w:rPr>
                <w:rFonts w:ascii="Verdana" w:eastAsia="Malgun Gothic" w:hAnsi="Verdana" w:cs="Arial"/>
                <w:b/>
                <w:color w:val="365F91"/>
                <w:sz w:val="18"/>
                <w:szCs w:val="18"/>
              </w:rPr>
            </w:pPr>
            <w:r w:rsidRPr="000304E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Μεγάλες</w:t>
            </w:r>
          </w:p>
        </w:tc>
      </w:tr>
      <w:tr w:rsidR="00DB60DC" w:rsidRPr="00F34133" w14:paraId="7553B9C2" w14:textId="77777777" w:rsidTr="008909ED">
        <w:trPr>
          <w:trHeight w:val="571"/>
        </w:trPr>
        <w:tc>
          <w:tcPr>
            <w:tcW w:w="2951" w:type="pct"/>
            <w:gridSpan w:val="4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48FA8902" w14:textId="27209D05" w:rsidR="00511FC2" w:rsidRPr="00511FC2" w:rsidRDefault="00511FC2" w:rsidP="00511FC2">
            <w:pPr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</w:pPr>
            <w:r w:rsidRPr="006B690B">
              <w:rPr>
                <w:rFonts w:ascii="Verdana" w:eastAsia="Malgun Gothic" w:hAnsi="Verdana" w:cs="Arial"/>
                <w:b/>
                <w:color w:val="365F91"/>
                <w:sz w:val="18"/>
                <w:szCs w:val="18"/>
                <w:lang w:val="el-GR"/>
              </w:rPr>
              <w:t>Επιχειρήσεις που απασχολούν εξειδικευμένο προσωπικό ΤΠΕ</w:t>
            </w:r>
          </w:p>
        </w:tc>
        <w:tc>
          <w:tcPr>
            <w:tcW w:w="494" w:type="pc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4E66E499" w14:textId="77777777" w:rsidR="00DB60DC" w:rsidRPr="00F52005" w:rsidRDefault="00DB60DC" w:rsidP="00DB60DC">
            <w:pPr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 w:rsidRPr="00F52005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2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4</w:t>
            </w:r>
            <w:r w:rsidRPr="00F52005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5</w:t>
            </w:r>
          </w:p>
        </w:tc>
        <w:tc>
          <w:tcPr>
            <w:tcW w:w="470" w:type="pc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5C5C9760" w14:textId="77777777" w:rsidR="00DB60DC" w:rsidRPr="00F52005" w:rsidRDefault="00DB60DC" w:rsidP="00DB60DC">
            <w:pPr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20</w:t>
            </w:r>
            <w:r w:rsidRPr="00F52005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1</w:t>
            </w:r>
          </w:p>
        </w:tc>
        <w:tc>
          <w:tcPr>
            <w:tcW w:w="530" w:type="pc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672816E3" w14:textId="77777777" w:rsidR="00DB60DC" w:rsidRPr="00F52005" w:rsidRDefault="00DB60DC" w:rsidP="00DB60DC">
            <w:pPr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46</w:t>
            </w:r>
            <w:r w:rsidRPr="00F52005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5</w:t>
            </w:r>
          </w:p>
        </w:tc>
        <w:tc>
          <w:tcPr>
            <w:tcW w:w="554" w:type="pct"/>
            <w:tcBorders>
              <w:top w:val="single" w:sz="4" w:space="0" w:color="365F91"/>
            </w:tcBorders>
            <w:shd w:val="clear" w:color="auto" w:fill="auto"/>
            <w:vAlign w:val="center"/>
          </w:tcPr>
          <w:p w14:paraId="0802FA94" w14:textId="77777777" w:rsidR="00DB60DC" w:rsidRPr="00F52005" w:rsidRDefault="00DB60DC" w:rsidP="00DB60DC">
            <w:pPr>
              <w:jc w:val="right"/>
              <w:rPr>
                <w:rFonts w:ascii="Verdana" w:hAnsi="Verdana" w:cs="Arial"/>
                <w:b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73</w:t>
            </w:r>
            <w:r w:rsidRPr="00F52005"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,</w:t>
            </w:r>
            <w:r>
              <w:rPr>
                <w:rFonts w:ascii="Verdana" w:hAnsi="Verdana" w:cs="Arial"/>
                <w:b/>
                <w:color w:val="365F91"/>
                <w:sz w:val="18"/>
                <w:szCs w:val="18"/>
              </w:rPr>
              <w:t>3</w:t>
            </w:r>
          </w:p>
        </w:tc>
      </w:tr>
      <w:tr w:rsidR="00DB60DC" w:rsidRPr="00B104C1" w14:paraId="04860E1C" w14:textId="77777777" w:rsidTr="008909ED">
        <w:trPr>
          <w:trHeight w:val="1005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280A37F2" w14:textId="3B9156D0" w:rsidR="00DB60DC" w:rsidRPr="00511FC2" w:rsidRDefault="00511FC2" w:rsidP="00511FC2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Επιχειρήσεις που παρείχαν εκπαίδευση</w:t>
            </w:r>
            <w:r w:rsidR="00F0173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σε εξειδικευμένο προσωπικό</w:t>
            </w: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 w:rsidR="00F0173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ΤΠΕ </w:t>
            </w: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για να </w:t>
            </w:r>
            <w:r w:rsidR="00F01730"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αναπτύξ</w:t>
            </w:r>
            <w:r w:rsidR="00F0173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ει</w:t>
            </w:r>
            <w:r w:rsidR="00F01730"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ή να </w:t>
            </w:r>
            <w:r w:rsidR="00F01730"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αναβαθμίσ</w:t>
            </w:r>
            <w:r w:rsidR="00F0173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ει</w:t>
            </w:r>
            <w:r w:rsidR="00F01730"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</w:t>
            </w: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δεξιότητες σχετικές με τη χρήση ΤΠΕ, κατά τη διάρκεια του προηγούμενου έτους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B110B1E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13,9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47E44D53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11,1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C773150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26,8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3AB7A78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51,1</w:t>
            </w:r>
          </w:p>
        </w:tc>
      </w:tr>
      <w:tr w:rsidR="00DB60DC" w:rsidRPr="00B104C1" w14:paraId="68C931A8" w14:textId="77777777" w:rsidTr="008909ED">
        <w:trPr>
          <w:trHeight w:val="564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25D80AB6" w14:textId="38981DCE" w:rsidR="00DB60DC" w:rsidRPr="00511FC2" w:rsidRDefault="00511FC2" w:rsidP="00511FC2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Επιχειρήσεις που παρείχαν εκπαίδευση</w:t>
            </w:r>
            <w:r w:rsidR="00F01730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σε άλλους εργαζομένους</w:t>
            </w: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για να αναπτύξουν ή να αναβαθμίσουν δεξιότητες σχετικές με τη χρήση ΤΠΕ, κατά τη διάρκεια του προηγούμενου έτους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C1FA6FB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25,6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1555D43C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22,1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8BBCEC0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42,9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7F76421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65,7</w:t>
            </w:r>
          </w:p>
        </w:tc>
      </w:tr>
      <w:tr w:rsidR="00DB60DC" w:rsidRPr="00B104C1" w14:paraId="01E187C5" w14:textId="77777777" w:rsidTr="008909ED">
        <w:trPr>
          <w:trHeight w:val="839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0982FAFD" w14:textId="7D3AFDAD" w:rsidR="00DB60DC" w:rsidRPr="00511FC2" w:rsidRDefault="00511FC2" w:rsidP="00511FC2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Επιχειρήσεις που προσέλαβαν ή προσπάθησαν να προσλάβουν προσωπικό για εργασίες που απαιτούσαν εξειδικευμένες δεξιότητες ΤΠΕ, κατά τη διάρκεια του προηγούμενου έτους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00E3602E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10,5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2DED74E4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8,8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9AA20CE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17,1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5EB932DF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36,2</w:t>
            </w:r>
          </w:p>
        </w:tc>
      </w:tr>
      <w:tr w:rsidR="00DB60DC" w:rsidRPr="00B104C1" w14:paraId="6F350593" w14:textId="77777777" w:rsidTr="008909ED">
        <w:trPr>
          <w:trHeight w:val="850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442237D4" w14:textId="55FF2D61" w:rsidR="00DB60DC" w:rsidRPr="00511FC2" w:rsidRDefault="00511FC2" w:rsidP="00511FC2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Επιχειρήσεις που είχαν κενές θέσεις εργασίας που απαιτούσαν εξειδικευμένες δεξιότητες ΤΠΕ και ήταν δύσκολο να πληρωθούν, κατά τη διάρκεια του προηγούμενου έτους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6FC4A0BF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5,7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557C355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4,6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72ED8F22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10,3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E9903D7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23,5</w:t>
            </w:r>
          </w:p>
        </w:tc>
      </w:tr>
      <w:tr w:rsidR="00DB60DC" w:rsidRPr="009158C4" w14:paraId="76020DB6" w14:textId="77777777" w:rsidTr="008909ED">
        <w:trPr>
          <w:trHeight w:val="972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6023DAA0" w14:textId="085910A3" w:rsidR="00DB60DC" w:rsidRPr="00511FC2" w:rsidRDefault="00511FC2" w:rsidP="00511FC2">
            <w:p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Επιχειρήσεις που αντιμετώπισαν δυσκολία κατά την διαδικασία πρόσληψης προσωπικού με εξειδικευμένες δεξιότητες ΤΠΕ, κατά τη διάρκεια του προηγούμενου έτους, λόγω</w:t>
            </w:r>
            <w:r w:rsidR="00DB60DC" w:rsidRPr="00511FC2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:  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A8720A3" w14:textId="77777777" w:rsidR="00DB60DC" w:rsidRPr="00511FC2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470" w:type="pct"/>
            <w:shd w:val="clear" w:color="auto" w:fill="auto"/>
            <w:vAlign w:val="center"/>
          </w:tcPr>
          <w:p w14:paraId="0CFBF85E" w14:textId="77777777" w:rsidR="00DB60DC" w:rsidRPr="00511FC2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530" w:type="pct"/>
            <w:shd w:val="clear" w:color="auto" w:fill="auto"/>
            <w:vAlign w:val="center"/>
          </w:tcPr>
          <w:p w14:paraId="3973D7E2" w14:textId="77777777" w:rsidR="00DB60DC" w:rsidRPr="00511FC2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  <w:tc>
          <w:tcPr>
            <w:tcW w:w="554" w:type="pct"/>
            <w:shd w:val="clear" w:color="auto" w:fill="auto"/>
            <w:vAlign w:val="center"/>
          </w:tcPr>
          <w:p w14:paraId="2C2DD99C" w14:textId="77777777" w:rsidR="00DB60DC" w:rsidRPr="00511FC2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</w:p>
        </w:tc>
      </w:tr>
      <w:tr w:rsidR="00DB60DC" w:rsidRPr="00B104C1" w14:paraId="54FFA712" w14:textId="77777777" w:rsidTr="008909ED">
        <w:trPr>
          <w:trHeight w:val="337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47D4E95E" w14:textId="0CB50C15" w:rsidR="00DB60DC" w:rsidRPr="007D60AE" w:rsidRDefault="00511FC2" w:rsidP="004474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έλλειψης</w:t>
            </w:r>
            <w:proofErr w:type="spellEnd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α</w:t>
            </w:r>
            <w:proofErr w:type="spellStart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ιτήσεων</w:t>
            </w:r>
            <w:proofErr w:type="spellEnd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(</w:t>
            </w:r>
            <w:proofErr w:type="spellStart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μειωμένο</w:t>
            </w:r>
            <w:proofErr w:type="spellEnd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ενδι</w:t>
            </w:r>
            <w:proofErr w:type="spellEnd"/>
            <w:r w:rsidRPr="00511FC2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αφέρον)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4E098481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3,8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E2D1C08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3,2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3995094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5,4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2BB4DFEF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17,6</w:t>
            </w:r>
          </w:p>
        </w:tc>
      </w:tr>
      <w:tr w:rsidR="00DB60DC" w:rsidRPr="00B104C1" w14:paraId="1B616076" w14:textId="77777777" w:rsidTr="008909ED">
        <w:trPr>
          <w:trHeight w:val="329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6EB92FCF" w14:textId="4F6E6979" w:rsidR="00DB60DC" w:rsidRPr="007D60AE" w:rsidRDefault="0044744D" w:rsidP="004474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</w:rPr>
            </w:pPr>
            <w:proofErr w:type="spellStart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έλλειψης</w:t>
            </w:r>
            <w:proofErr w:type="spellEnd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π</w:t>
            </w:r>
            <w:proofErr w:type="spellStart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ροσόντων</w:t>
            </w:r>
            <w:proofErr w:type="spellEnd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των</w:t>
            </w:r>
            <w:proofErr w:type="spellEnd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 xml:space="preserve"> </w:t>
            </w:r>
            <w:proofErr w:type="spellStart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ενδι</w:t>
            </w:r>
            <w:proofErr w:type="spellEnd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αφερόμενων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16C02F9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3,9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7BADE27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16E953E4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7,3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043FD84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16,8</w:t>
            </w:r>
          </w:p>
        </w:tc>
      </w:tr>
      <w:tr w:rsidR="00DB60DC" w:rsidRPr="00B104C1" w14:paraId="123A6B3D" w14:textId="77777777" w:rsidTr="008909ED">
        <w:trPr>
          <w:trHeight w:val="563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01BE487E" w14:textId="47AF4C81" w:rsidR="00DB60DC" w:rsidRPr="0044744D" w:rsidRDefault="0044744D" w:rsidP="004474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έλλειψης εργασιακής πείρας (των ενδιαφερόμενων) σε συναφή θέση (ΤΠΕ)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BEFB108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4,4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35678701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3,5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5FB30EF2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8,3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3515518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20,2</w:t>
            </w:r>
          </w:p>
        </w:tc>
      </w:tr>
      <w:tr w:rsidR="00DB60DC" w:rsidRPr="00B104C1" w14:paraId="58FE3ED1" w14:textId="77777777" w:rsidTr="008909ED">
        <w:trPr>
          <w:trHeight w:val="585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6630BDD4" w14:textId="4D763ED9" w:rsidR="00DB60DC" w:rsidRPr="0044744D" w:rsidRDefault="0044744D" w:rsidP="0044744D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αυξημένων μισθολογικών απαιτήσεων των ενδιαφερόμενων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76EF5078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4,2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55EEFF5B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3,3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4CC73853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8,2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11C8A212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17,6</w:t>
            </w:r>
          </w:p>
        </w:tc>
      </w:tr>
      <w:tr w:rsidR="00DB60DC" w:rsidRPr="00B104C1" w14:paraId="31756609" w14:textId="77777777" w:rsidTr="008909ED">
        <w:trPr>
          <w:trHeight w:val="852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2CBCAD32" w14:textId="710D4ED9" w:rsidR="00DB60DC" w:rsidRPr="0044744D" w:rsidRDefault="0044744D" w:rsidP="0044744D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hAnsi="Verdana" w:cs="Arial"/>
                <w:color w:val="365F91"/>
                <w:sz w:val="18"/>
                <w:szCs w:val="18"/>
              </w:rPr>
              <w:t>E</w:t>
            </w:r>
            <w:proofErr w:type="spellStart"/>
            <w:r w:rsidRPr="0044744D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>κτέλεση</w:t>
            </w:r>
            <w:proofErr w:type="spellEnd"/>
            <w:r w:rsidRPr="0044744D"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  <w:t xml:space="preserve"> των λειτουργιών ΤΠΕ για την επιχείρηση, κατά τη διάρκεια του προηγούμενου έτους, από εργαζόμενους της επιχείρησης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5D4D25C3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42,0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73AE986E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38,6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0C1AB810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58,6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7813FA47" w14:textId="77777777" w:rsidR="00DB60DC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82,0</w:t>
            </w:r>
          </w:p>
        </w:tc>
      </w:tr>
      <w:tr w:rsidR="00DB60DC" w:rsidRPr="00B104C1" w14:paraId="20C7038B" w14:textId="77777777" w:rsidTr="008909ED">
        <w:trPr>
          <w:trHeight w:val="766"/>
        </w:trPr>
        <w:tc>
          <w:tcPr>
            <w:tcW w:w="2951" w:type="pct"/>
            <w:gridSpan w:val="4"/>
            <w:shd w:val="clear" w:color="auto" w:fill="auto"/>
            <w:vAlign w:val="center"/>
          </w:tcPr>
          <w:p w14:paraId="7FD84500" w14:textId="6A585259" w:rsidR="00DB60DC" w:rsidRPr="0044744D" w:rsidRDefault="0044744D" w:rsidP="0044744D">
            <w:pPr>
              <w:jc w:val="both"/>
              <w:rPr>
                <w:rFonts w:ascii="Verdana" w:hAnsi="Verdana" w:cs="Arial"/>
                <w:color w:val="365F91"/>
                <w:sz w:val="18"/>
                <w:szCs w:val="18"/>
                <w:lang w:val="el-GR"/>
              </w:rPr>
            </w:pPr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</w:rPr>
              <w:t>E</w:t>
            </w:r>
            <w:proofErr w:type="spellStart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>κτέλεση</w:t>
            </w:r>
            <w:proofErr w:type="spellEnd"/>
            <w:r w:rsidRPr="0044744D">
              <w:rPr>
                <w:rFonts w:ascii="Verdana" w:eastAsia="Malgun Gothic" w:hAnsi="Verdana" w:cs="Arial"/>
                <w:color w:val="365F91"/>
                <w:sz w:val="18"/>
                <w:szCs w:val="18"/>
                <w:lang w:val="el-GR"/>
              </w:rPr>
              <w:t xml:space="preserve"> των λειτουργιών ΤΠΕ για την επιχείρηση, κατά τη διάρκεια του προηγούμενου έτους, από εξωτερικούς προμηθευτές</w:t>
            </w:r>
          </w:p>
        </w:tc>
        <w:tc>
          <w:tcPr>
            <w:tcW w:w="494" w:type="pct"/>
            <w:shd w:val="clear" w:color="auto" w:fill="auto"/>
            <w:vAlign w:val="center"/>
          </w:tcPr>
          <w:p w14:paraId="26DC1A1F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71,1</w:t>
            </w:r>
          </w:p>
        </w:tc>
        <w:tc>
          <w:tcPr>
            <w:tcW w:w="470" w:type="pct"/>
            <w:shd w:val="clear" w:color="auto" w:fill="auto"/>
            <w:vAlign w:val="center"/>
          </w:tcPr>
          <w:p w14:paraId="64E2DA52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70,1</w:t>
            </w:r>
          </w:p>
        </w:tc>
        <w:tc>
          <w:tcPr>
            <w:tcW w:w="530" w:type="pct"/>
            <w:shd w:val="clear" w:color="auto" w:fill="auto"/>
            <w:vAlign w:val="center"/>
          </w:tcPr>
          <w:p w14:paraId="6DDE6B6E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76,3</w:t>
            </w:r>
          </w:p>
        </w:tc>
        <w:tc>
          <w:tcPr>
            <w:tcW w:w="554" w:type="pct"/>
            <w:shd w:val="clear" w:color="auto" w:fill="auto"/>
            <w:vAlign w:val="center"/>
          </w:tcPr>
          <w:p w14:paraId="08CC4D88" w14:textId="77777777" w:rsidR="00DB60DC" w:rsidRPr="00EA3FD6" w:rsidRDefault="00DB60DC" w:rsidP="00DB60DC">
            <w:pPr>
              <w:jc w:val="right"/>
              <w:rPr>
                <w:rFonts w:ascii="Verdana" w:hAnsi="Verdana" w:cs="Arial"/>
                <w:color w:val="365F91"/>
                <w:sz w:val="18"/>
                <w:szCs w:val="18"/>
              </w:rPr>
            </w:pPr>
            <w:r>
              <w:rPr>
                <w:rFonts w:ascii="Verdana" w:hAnsi="Verdana" w:cs="Arial"/>
                <w:color w:val="365F91"/>
                <w:sz w:val="18"/>
                <w:szCs w:val="18"/>
              </w:rPr>
              <w:t>77,9</w:t>
            </w:r>
          </w:p>
        </w:tc>
      </w:tr>
      <w:bookmarkEnd w:id="1"/>
    </w:tbl>
    <w:p w14:paraId="4FEF6E20" w14:textId="77777777" w:rsidR="00DB60DC" w:rsidRDefault="00DB60DC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0271917" w14:textId="36FA5F9F" w:rsidR="00DB60DC" w:rsidRDefault="00DB60DC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332F8D" w14:textId="77777777" w:rsidR="00DB60DC" w:rsidRDefault="00DB60DC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5DED5DD" w14:textId="70BF4AA9" w:rsidR="001E47E3" w:rsidRDefault="001E47E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5A02B41" w14:textId="1C7B5AB7" w:rsidR="001E47E3" w:rsidRDefault="001E47E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353D9C0" w14:textId="02D5683B" w:rsidR="0044744D" w:rsidRDefault="0044744D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00C4BDE" w14:textId="02C7527B" w:rsidR="0044744D" w:rsidRDefault="0044744D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B3E019" w14:textId="16A8E765" w:rsidR="0044744D" w:rsidRDefault="0044744D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8C1BCAB" w14:textId="77777777" w:rsidR="0044744D" w:rsidRPr="0044744D" w:rsidRDefault="0044744D" w:rsidP="000E4CB0">
      <w:pPr>
        <w:jc w:val="both"/>
        <w:rPr>
          <w:rFonts w:ascii="Verdana" w:hAnsi="Verdana" w:cs="Arial"/>
          <w:sz w:val="18"/>
          <w:szCs w:val="18"/>
        </w:rPr>
      </w:pPr>
    </w:p>
    <w:p w14:paraId="0065620B" w14:textId="4C6EDD5E" w:rsidR="001E47E3" w:rsidRDefault="001E47E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2F40C8" w14:textId="33D51485" w:rsidR="001E47E3" w:rsidRDefault="001E47E3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2ED56F" w14:textId="77777777" w:rsidR="001E47E3" w:rsidRPr="000304EB" w:rsidRDefault="001E47E3" w:rsidP="001E47E3">
      <w:pPr>
        <w:jc w:val="center"/>
        <w:rPr>
          <w:rFonts w:ascii="Verdana" w:eastAsia="Malgun Gothic" w:hAnsi="Verdana" w:cs="Arial"/>
          <w:b/>
          <w:u w:val="single"/>
          <w:lang w:val="el-GR"/>
        </w:rPr>
      </w:pPr>
      <w:r w:rsidRPr="000304EB">
        <w:rPr>
          <w:rFonts w:ascii="Verdana" w:eastAsia="Malgun Gothic" w:hAnsi="Verdana" w:cs="Arial"/>
          <w:b/>
          <w:u w:val="single"/>
          <w:lang w:val="el-GR"/>
        </w:rPr>
        <w:lastRenderedPageBreak/>
        <w:t>ΜΕΘΟΔΟΛΟΓΙΚΕΣ ΠΛΗΡΟΦΟΡΙΕΣ</w:t>
      </w:r>
    </w:p>
    <w:p w14:paraId="30BEE4CF" w14:textId="77777777" w:rsidR="001E47E3" w:rsidRPr="000304EB" w:rsidRDefault="001E47E3" w:rsidP="001E47E3">
      <w:pPr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65C98BE" w14:textId="77777777" w:rsidR="001E47E3" w:rsidRPr="000304EB" w:rsidRDefault="001E47E3" w:rsidP="001E47E3">
      <w:pPr>
        <w:spacing w:after="120"/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</w:p>
    <w:p w14:paraId="495C65B3" w14:textId="77777777" w:rsidR="001E47E3" w:rsidRPr="000304EB" w:rsidRDefault="001E47E3" w:rsidP="001E47E3">
      <w:pPr>
        <w:spacing w:after="120"/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  <w:r w:rsidRPr="000304EB"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  <w:t xml:space="preserve">Σκοπός </w:t>
      </w:r>
    </w:p>
    <w:p w14:paraId="02DB67F8" w14:textId="77777777" w:rsidR="00E355A5" w:rsidRPr="00D67E0C" w:rsidRDefault="00E355A5" w:rsidP="00E355A5">
      <w:pPr>
        <w:autoSpaceDE w:val="0"/>
        <w:autoSpaceDN w:val="0"/>
        <w:adjustRightInd w:val="0"/>
        <w:jc w:val="both"/>
        <w:rPr>
          <w:rFonts w:ascii="Verdana" w:hAnsi="Verdana"/>
          <w:color w:val="000000"/>
          <w:sz w:val="18"/>
          <w:szCs w:val="18"/>
          <w:lang w:val="el-GR"/>
        </w:rPr>
      </w:pPr>
      <w:r w:rsidRPr="00C22940">
        <w:rPr>
          <w:rFonts w:ascii="Verdana" w:hAnsi="Verdana"/>
          <w:color w:val="000000"/>
          <w:sz w:val="18"/>
          <w:szCs w:val="18"/>
          <w:lang w:val="el-GR"/>
        </w:rPr>
        <w:t xml:space="preserve">Σκοπός της έρευνας είναι η συλλογή στοιχείων για τη χρήση των τεχνολογιών πληροφορικής και επικοινωνιών στις επιχειρήσεις, τη χρήση του διαδικτύου, το ηλεκτρονικό εμπόριο, </w:t>
      </w:r>
      <w:r>
        <w:rPr>
          <w:rFonts w:ascii="Verdana" w:hAnsi="Verdana"/>
          <w:color w:val="000000"/>
          <w:sz w:val="18"/>
          <w:szCs w:val="18"/>
          <w:lang w:val="el-GR"/>
        </w:rPr>
        <w:t>τη χρήση ε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>ξειδικευμένο</w:t>
      </w:r>
      <w:r>
        <w:rPr>
          <w:rFonts w:ascii="Verdana" w:hAnsi="Verdana"/>
          <w:color w:val="000000"/>
          <w:sz w:val="18"/>
          <w:szCs w:val="18"/>
          <w:lang w:val="el-GR"/>
        </w:rPr>
        <w:t>υ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 xml:space="preserve"> προσωπικο</w:t>
      </w:r>
      <w:r>
        <w:rPr>
          <w:rFonts w:ascii="Verdana" w:hAnsi="Verdana"/>
          <w:color w:val="000000"/>
          <w:sz w:val="18"/>
          <w:szCs w:val="18"/>
          <w:lang w:val="el-GR"/>
        </w:rPr>
        <w:t>ύ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 xml:space="preserve"> σε θέματα ΤΠΕ και </w:t>
      </w:r>
      <w:r>
        <w:rPr>
          <w:rFonts w:ascii="Verdana" w:hAnsi="Verdana"/>
          <w:color w:val="000000"/>
          <w:sz w:val="18"/>
          <w:szCs w:val="18"/>
          <w:lang w:val="el-GR"/>
        </w:rPr>
        <w:t xml:space="preserve">τις 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>δεξιότητες</w:t>
      </w:r>
      <w:r>
        <w:rPr>
          <w:rFonts w:ascii="Verdana" w:hAnsi="Verdana"/>
          <w:color w:val="000000"/>
          <w:sz w:val="18"/>
          <w:szCs w:val="18"/>
          <w:lang w:val="el-GR"/>
        </w:rPr>
        <w:t xml:space="preserve"> τους, </w:t>
      </w:r>
      <w:r w:rsidRPr="00C22940">
        <w:rPr>
          <w:rFonts w:ascii="Verdana" w:hAnsi="Verdana"/>
          <w:color w:val="000000"/>
          <w:sz w:val="18"/>
          <w:szCs w:val="18"/>
          <w:lang w:val="el-GR"/>
        </w:rPr>
        <w:t xml:space="preserve">την </w:t>
      </w:r>
      <w:r>
        <w:rPr>
          <w:rFonts w:ascii="Verdana" w:hAnsi="Verdana"/>
          <w:color w:val="000000"/>
          <w:sz w:val="18"/>
          <w:szCs w:val="18"/>
          <w:lang w:val="el-GR"/>
        </w:rPr>
        <w:t>α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>σφάλεια στις ΤΠΕ</w:t>
      </w:r>
      <w:r>
        <w:rPr>
          <w:rFonts w:ascii="Verdana" w:hAnsi="Verdana"/>
          <w:color w:val="000000"/>
          <w:sz w:val="18"/>
          <w:szCs w:val="18"/>
          <w:lang w:val="el-GR"/>
        </w:rPr>
        <w:t xml:space="preserve">, </w:t>
      </w:r>
      <w:r w:rsidRPr="00A55464">
        <w:rPr>
          <w:rFonts w:ascii="Verdana" w:hAnsi="Verdana"/>
          <w:color w:val="000000"/>
          <w:sz w:val="18"/>
          <w:szCs w:val="18"/>
          <w:lang w:val="el-GR"/>
        </w:rPr>
        <w:t xml:space="preserve"> </w:t>
      </w:r>
      <w:r w:rsidRPr="00C22940">
        <w:rPr>
          <w:rFonts w:ascii="Verdana" w:hAnsi="Verdana"/>
          <w:color w:val="000000"/>
          <w:sz w:val="18"/>
          <w:szCs w:val="18"/>
          <w:lang w:val="el-GR"/>
        </w:rPr>
        <w:t xml:space="preserve">τη χρήση </w:t>
      </w:r>
      <w:r>
        <w:rPr>
          <w:rFonts w:ascii="Verdana" w:hAnsi="Verdana"/>
          <w:color w:val="000000"/>
          <w:sz w:val="18"/>
          <w:szCs w:val="18"/>
          <w:lang w:val="el-GR"/>
        </w:rPr>
        <w:t xml:space="preserve">ρομποτικής </w:t>
      </w:r>
      <w:r w:rsidRPr="00C22940">
        <w:rPr>
          <w:rFonts w:ascii="Verdana" w:hAnsi="Verdana"/>
          <w:sz w:val="18"/>
          <w:szCs w:val="18"/>
          <w:lang w:val="el-GR"/>
        </w:rPr>
        <w:t>και</w:t>
      </w:r>
      <w:r>
        <w:rPr>
          <w:rFonts w:ascii="Verdana" w:hAnsi="Verdana"/>
          <w:sz w:val="18"/>
          <w:szCs w:val="18"/>
          <w:lang w:val="el-GR"/>
        </w:rPr>
        <w:t xml:space="preserve"> τις περιβαλλοντικές επιπτώσεις από την χρήση υπηρεσιών ΤΠΕ.</w:t>
      </w:r>
      <w:r w:rsidRPr="00C22940">
        <w:rPr>
          <w:rFonts w:ascii="Verdana" w:hAnsi="Verdana"/>
          <w:color w:val="000000"/>
          <w:sz w:val="18"/>
          <w:szCs w:val="18"/>
          <w:lang w:val="el-GR"/>
        </w:rPr>
        <w:t xml:space="preserve"> Τα στοιχεία είναι απαραίτητα για την υποβοήθηση εφαρμογής προγραμμάτων πολιτικής από το δημόσιο και τον ιδιωτικό τομέα.</w:t>
      </w:r>
    </w:p>
    <w:p w14:paraId="7D7C9B32" w14:textId="77777777" w:rsidR="00E355A5" w:rsidRDefault="00E355A5" w:rsidP="001E47E3">
      <w:pPr>
        <w:spacing w:after="120"/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</w:p>
    <w:p w14:paraId="057893A1" w14:textId="1A9C6933" w:rsidR="001E47E3" w:rsidRPr="000304EB" w:rsidRDefault="001E47E3" w:rsidP="001E47E3">
      <w:pPr>
        <w:spacing w:after="120"/>
        <w:jc w:val="both"/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</w:pPr>
      <w:r w:rsidRPr="000304EB">
        <w:rPr>
          <w:rFonts w:ascii="Verdana" w:eastAsia="SimSun" w:hAnsi="Verdana"/>
          <w:b/>
          <w:sz w:val="18"/>
          <w:szCs w:val="18"/>
          <w:u w:val="single"/>
          <w:lang w:val="el-GR" w:eastAsia="zh-CN"/>
        </w:rPr>
        <w:t xml:space="preserve">Κάλυψη </w:t>
      </w:r>
    </w:p>
    <w:p w14:paraId="7DC4356A" w14:textId="3D5A5D56" w:rsidR="001E47E3" w:rsidRPr="000304EB" w:rsidRDefault="001E47E3" w:rsidP="001E47E3">
      <w:pPr>
        <w:spacing w:after="120"/>
        <w:jc w:val="both"/>
        <w:rPr>
          <w:rFonts w:ascii="Verdana" w:eastAsia="SimSun" w:hAnsi="Verdana"/>
          <w:sz w:val="18"/>
          <w:szCs w:val="18"/>
          <w:lang w:val="el-GR" w:eastAsia="zh-CN"/>
        </w:rPr>
      </w:pPr>
      <w:r w:rsidRPr="000304EB">
        <w:rPr>
          <w:rFonts w:ascii="Verdana" w:eastAsia="SimSun" w:hAnsi="Verdana"/>
          <w:sz w:val="18"/>
          <w:szCs w:val="18"/>
          <w:lang w:val="el-GR" w:eastAsia="zh-CN"/>
        </w:rPr>
        <w:t xml:space="preserve">Η έρευνα πραγματοποιήθηκε κατά την περίοδο </w:t>
      </w:r>
      <w:r>
        <w:rPr>
          <w:rFonts w:ascii="Verdana" w:eastAsia="SimSun" w:hAnsi="Verdana"/>
          <w:sz w:val="18"/>
          <w:szCs w:val="18"/>
          <w:lang w:val="el-GR" w:eastAsia="zh-CN"/>
        </w:rPr>
        <w:t>Φεβρουαρίου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 xml:space="preserve"> – </w:t>
      </w:r>
      <w:r w:rsidR="00E355A5">
        <w:rPr>
          <w:rFonts w:ascii="Verdana" w:eastAsia="SimSun" w:hAnsi="Verdana"/>
          <w:sz w:val="18"/>
          <w:szCs w:val="18"/>
          <w:lang w:val="el-GR" w:eastAsia="zh-CN"/>
        </w:rPr>
        <w:t>Ιουνίου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>, 202</w:t>
      </w:r>
      <w:r w:rsidR="00E355A5">
        <w:rPr>
          <w:rFonts w:ascii="Verdana" w:eastAsia="SimSun" w:hAnsi="Verdana"/>
          <w:sz w:val="18"/>
          <w:szCs w:val="18"/>
          <w:lang w:val="el-GR" w:eastAsia="zh-CN"/>
        </w:rPr>
        <w:t>2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 xml:space="preserve"> και κάλυψε </w:t>
      </w:r>
      <w:r>
        <w:rPr>
          <w:rFonts w:ascii="Verdana" w:eastAsia="SimSun" w:hAnsi="Verdana"/>
          <w:sz w:val="18"/>
          <w:szCs w:val="18"/>
          <w:lang w:val="el-GR" w:eastAsia="zh-CN"/>
        </w:rPr>
        <w:t>2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>.</w:t>
      </w:r>
      <w:r w:rsidR="00E355A5">
        <w:rPr>
          <w:rFonts w:ascii="Verdana" w:eastAsia="SimSun" w:hAnsi="Verdana"/>
          <w:sz w:val="18"/>
          <w:szCs w:val="18"/>
          <w:lang w:val="el-GR" w:eastAsia="zh-CN"/>
        </w:rPr>
        <w:t>700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 xml:space="preserve"> επιχειρήσεις που απασχολούν τουλάχιστον 10 </w:t>
      </w:r>
      <w:r>
        <w:rPr>
          <w:rFonts w:ascii="Verdana" w:eastAsia="SimSun" w:hAnsi="Verdana"/>
          <w:sz w:val="18"/>
          <w:szCs w:val="18"/>
          <w:lang w:val="el-GR" w:eastAsia="zh-CN"/>
        </w:rPr>
        <w:t>απασχολούμενους</w:t>
      </w:r>
      <w:r w:rsidRPr="000304EB">
        <w:rPr>
          <w:rFonts w:ascii="Verdana" w:eastAsia="SimSun" w:hAnsi="Verdana"/>
          <w:sz w:val="18"/>
          <w:szCs w:val="18"/>
          <w:lang w:val="el-GR" w:eastAsia="zh-CN"/>
        </w:rPr>
        <w:t xml:space="preserve"> στις ακόλουθες κατηγορίες οικονομικής δραστηριότητας:</w:t>
      </w:r>
    </w:p>
    <w:tbl>
      <w:tblPr>
        <w:tblW w:w="8930" w:type="dxa"/>
        <w:tblInd w:w="534" w:type="dxa"/>
        <w:tblLook w:val="01E0" w:firstRow="1" w:lastRow="1" w:firstColumn="1" w:lastColumn="1" w:noHBand="0" w:noVBand="0"/>
      </w:tblPr>
      <w:tblGrid>
        <w:gridCol w:w="1526"/>
        <w:gridCol w:w="7404"/>
      </w:tblGrid>
      <w:tr w:rsidR="001E47E3" w:rsidRPr="000304EB" w14:paraId="592671EA" w14:textId="77777777" w:rsidTr="00BE73E2">
        <w:trPr>
          <w:trHeight w:val="350"/>
        </w:trPr>
        <w:tc>
          <w:tcPr>
            <w:tcW w:w="1526" w:type="dxa"/>
          </w:tcPr>
          <w:p w14:paraId="655D97E5" w14:textId="77777777" w:rsidR="001E47E3" w:rsidRPr="000304EB" w:rsidRDefault="001E47E3" w:rsidP="00BE73E2">
            <w:pPr>
              <w:spacing w:after="120"/>
              <w:jc w:val="both"/>
              <w:rPr>
                <w:rFonts w:ascii="Verdana" w:eastAsia="SimSun" w:hAnsi="Verdana"/>
                <w:b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b/>
                <w:sz w:val="18"/>
                <w:szCs w:val="18"/>
                <w:lang w:val="el-GR" w:eastAsia="zh-CN"/>
              </w:rPr>
              <w:t>NACE Αναθ.2</w:t>
            </w:r>
          </w:p>
        </w:tc>
        <w:tc>
          <w:tcPr>
            <w:tcW w:w="7404" w:type="dxa"/>
          </w:tcPr>
          <w:p w14:paraId="52992B7E" w14:textId="77777777" w:rsidR="001E47E3" w:rsidRPr="000304EB" w:rsidRDefault="001E47E3" w:rsidP="00BE73E2">
            <w:pPr>
              <w:spacing w:after="120"/>
              <w:jc w:val="both"/>
              <w:rPr>
                <w:rFonts w:ascii="Verdana" w:eastAsia="SimSun" w:hAnsi="Verdana"/>
                <w:b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b/>
                <w:sz w:val="18"/>
                <w:szCs w:val="18"/>
                <w:lang w:val="el-GR" w:eastAsia="zh-CN"/>
              </w:rPr>
              <w:t>Περιγραφή</w:t>
            </w:r>
          </w:p>
        </w:tc>
      </w:tr>
      <w:tr w:rsidR="001E47E3" w:rsidRPr="000304EB" w14:paraId="17D417BB" w14:textId="77777777" w:rsidTr="00BE73E2">
        <w:trPr>
          <w:trHeight w:val="350"/>
        </w:trPr>
        <w:tc>
          <w:tcPr>
            <w:tcW w:w="1526" w:type="dxa"/>
          </w:tcPr>
          <w:p w14:paraId="32ED027D" w14:textId="77777777" w:rsidR="001E47E3" w:rsidRPr="000304EB" w:rsidRDefault="001E47E3" w:rsidP="00BE73E2">
            <w:pPr>
              <w:spacing w:after="12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eastAsia="zh-CN"/>
              </w:rPr>
              <w:t>C</w:t>
            </w:r>
          </w:p>
        </w:tc>
        <w:tc>
          <w:tcPr>
            <w:tcW w:w="7404" w:type="dxa"/>
          </w:tcPr>
          <w:p w14:paraId="49853F24" w14:textId="77777777" w:rsidR="001E47E3" w:rsidRPr="000304EB" w:rsidRDefault="001E47E3" w:rsidP="00BE73E2">
            <w:pPr>
              <w:spacing w:after="12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Μεταποιητικές Βιομηχανίες</w:t>
            </w:r>
          </w:p>
        </w:tc>
      </w:tr>
      <w:tr w:rsidR="001E47E3" w:rsidRPr="009158C4" w14:paraId="3FF7E19D" w14:textId="77777777" w:rsidTr="00BE73E2">
        <w:trPr>
          <w:trHeight w:val="304"/>
        </w:trPr>
        <w:tc>
          <w:tcPr>
            <w:tcW w:w="1526" w:type="dxa"/>
          </w:tcPr>
          <w:p w14:paraId="3E9F17A2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D</w:t>
            </w:r>
          </w:p>
        </w:tc>
        <w:tc>
          <w:tcPr>
            <w:tcW w:w="7404" w:type="dxa"/>
          </w:tcPr>
          <w:p w14:paraId="785A6C41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Παροχή Ηλεκτρικού Ρεύματος, Φυσικού Αερίου, Ατμού και Κλιματισμού</w:t>
            </w:r>
          </w:p>
        </w:tc>
      </w:tr>
      <w:tr w:rsidR="001E47E3" w:rsidRPr="009158C4" w14:paraId="5B2A3330" w14:textId="77777777" w:rsidTr="00BE73E2">
        <w:trPr>
          <w:trHeight w:val="518"/>
        </w:trPr>
        <w:tc>
          <w:tcPr>
            <w:tcW w:w="1526" w:type="dxa"/>
          </w:tcPr>
          <w:p w14:paraId="2397225F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E</w:t>
            </w:r>
          </w:p>
        </w:tc>
        <w:tc>
          <w:tcPr>
            <w:tcW w:w="7404" w:type="dxa"/>
          </w:tcPr>
          <w:p w14:paraId="780E6449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Παροχή Νερού, Επεξεργασία Λυμάτων, Διαχείριση Αποβλήτων και Δραστηριότητες Εξυγίανσης</w:t>
            </w:r>
          </w:p>
        </w:tc>
      </w:tr>
      <w:tr w:rsidR="001E47E3" w:rsidRPr="000304EB" w14:paraId="5EB135A8" w14:textId="77777777" w:rsidTr="00BE73E2">
        <w:trPr>
          <w:trHeight w:val="304"/>
        </w:trPr>
        <w:tc>
          <w:tcPr>
            <w:tcW w:w="1526" w:type="dxa"/>
          </w:tcPr>
          <w:p w14:paraId="7CFA9D36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F</w:t>
            </w:r>
          </w:p>
        </w:tc>
        <w:tc>
          <w:tcPr>
            <w:tcW w:w="7404" w:type="dxa"/>
          </w:tcPr>
          <w:p w14:paraId="356E2C96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Κατασκευές</w:t>
            </w:r>
          </w:p>
        </w:tc>
      </w:tr>
      <w:tr w:rsidR="001E47E3" w:rsidRPr="009158C4" w14:paraId="5255AD13" w14:textId="77777777" w:rsidTr="00BE73E2">
        <w:trPr>
          <w:trHeight w:val="518"/>
        </w:trPr>
        <w:tc>
          <w:tcPr>
            <w:tcW w:w="1526" w:type="dxa"/>
          </w:tcPr>
          <w:p w14:paraId="4F644C97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G</w:t>
            </w:r>
          </w:p>
        </w:tc>
        <w:tc>
          <w:tcPr>
            <w:tcW w:w="7404" w:type="dxa"/>
          </w:tcPr>
          <w:p w14:paraId="55DB1F89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Χονδρικό και Λιανικό Εμπόριο, Επισκευή Μηχανοκίνητων Οχημάτων και Μοτοσικλετών</w:t>
            </w:r>
          </w:p>
        </w:tc>
      </w:tr>
      <w:tr w:rsidR="001E47E3" w:rsidRPr="000304EB" w14:paraId="4BB6B98F" w14:textId="77777777" w:rsidTr="00BE73E2">
        <w:trPr>
          <w:trHeight w:val="304"/>
        </w:trPr>
        <w:tc>
          <w:tcPr>
            <w:tcW w:w="1526" w:type="dxa"/>
          </w:tcPr>
          <w:p w14:paraId="3BDD97BB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H</w:t>
            </w:r>
          </w:p>
        </w:tc>
        <w:tc>
          <w:tcPr>
            <w:tcW w:w="7404" w:type="dxa"/>
          </w:tcPr>
          <w:p w14:paraId="3F12B501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Μεταφορές και Αποθήκευση</w:t>
            </w:r>
          </w:p>
        </w:tc>
      </w:tr>
      <w:tr w:rsidR="001E47E3" w:rsidRPr="009158C4" w14:paraId="7523ACEE" w14:textId="77777777" w:rsidTr="00BE73E2">
        <w:trPr>
          <w:trHeight w:val="304"/>
        </w:trPr>
        <w:tc>
          <w:tcPr>
            <w:tcW w:w="1526" w:type="dxa"/>
          </w:tcPr>
          <w:p w14:paraId="3BF986C1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I</w:t>
            </w:r>
          </w:p>
        </w:tc>
        <w:tc>
          <w:tcPr>
            <w:tcW w:w="7404" w:type="dxa"/>
          </w:tcPr>
          <w:p w14:paraId="6EB371DA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Δραστηριότητες Υπηρεσιών Παροχής Καταλύματος και Υπηρεσιών Εστίασης</w:t>
            </w:r>
          </w:p>
        </w:tc>
      </w:tr>
      <w:tr w:rsidR="001E47E3" w:rsidRPr="000304EB" w14:paraId="2FF54A4C" w14:textId="77777777" w:rsidTr="00BE73E2">
        <w:trPr>
          <w:trHeight w:val="304"/>
        </w:trPr>
        <w:tc>
          <w:tcPr>
            <w:tcW w:w="1526" w:type="dxa"/>
          </w:tcPr>
          <w:p w14:paraId="74AE26A9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J</w:t>
            </w:r>
          </w:p>
        </w:tc>
        <w:tc>
          <w:tcPr>
            <w:tcW w:w="7404" w:type="dxa"/>
          </w:tcPr>
          <w:p w14:paraId="580E1981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Ενημέρωση και Επικοινωνία</w:t>
            </w:r>
          </w:p>
        </w:tc>
      </w:tr>
      <w:tr w:rsidR="001E47E3" w:rsidRPr="000304EB" w14:paraId="4273C009" w14:textId="77777777" w:rsidTr="00BE73E2">
        <w:trPr>
          <w:trHeight w:val="304"/>
        </w:trPr>
        <w:tc>
          <w:tcPr>
            <w:tcW w:w="1526" w:type="dxa"/>
          </w:tcPr>
          <w:p w14:paraId="703016AE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L</w:t>
            </w:r>
          </w:p>
        </w:tc>
        <w:tc>
          <w:tcPr>
            <w:tcW w:w="7404" w:type="dxa"/>
          </w:tcPr>
          <w:p w14:paraId="7FE2FF94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Διαχείριση Ακίνητης Περιουσίας</w:t>
            </w:r>
          </w:p>
        </w:tc>
      </w:tr>
      <w:tr w:rsidR="001E47E3" w:rsidRPr="009158C4" w14:paraId="7F01AC81" w14:textId="77777777" w:rsidTr="00BE73E2">
        <w:trPr>
          <w:trHeight w:val="304"/>
        </w:trPr>
        <w:tc>
          <w:tcPr>
            <w:tcW w:w="1526" w:type="dxa"/>
          </w:tcPr>
          <w:p w14:paraId="6D9AE911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M</w:t>
            </w:r>
          </w:p>
        </w:tc>
        <w:tc>
          <w:tcPr>
            <w:tcW w:w="7404" w:type="dxa"/>
          </w:tcPr>
          <w:p w14:paraId="6AEC1C2C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Επαγγελματικές, Επιστημονικές και Τεχνικές Δραστηριότητες</w:t>
            </w:r>
          </w:p>
        </w:tc>
      </w:tr>
      <w:tr w:rsidR="001E47E3" w:rsidRPr="000304EB" w14:paraId="0221DA4E" w14:textId="77777777" w:rsidTr="00BE73E2">
        <w:trPr>
          <w:trHeight w:val="304"/>
        </w:trPr>
        <w:tc>
          <w:tcPr>
            <w:tcW w:w="1526" w:type="dxa"/>
          </w:tcPr>
          <w:p w14:paraId="7E43E00C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N</w:t>
            </w:r>
          </w:p>
        </w:tc>
        <w:tc>
          <w:tcPr>
            <w:tcW w:w="7404" w:type="dxa"/>
          </w:tcPr>
          <w:p w14:paraId="0CF73110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Διοικητικές και Υποστηρικτικές Δραστηριότητες</w:t>
            </w:r>
          </w:p>
        </w:tc>
      </w:tr>
      <w:tr w:rsidR="001E47E3" w:rsidRPr="000304EB" w14:paraId="140C819C" w14:textId="77777777" w:rsidTr="00BE73E2">
        <w:trPr>
          <w:trHeight w:val="304"/>
        </w:trPr>
        <w:tc>
          <w:tcPr>
            <w:tcW w:w="1526" w:type="dxa"/>
          </w:tcPr>
          <w:p w14:paraId="67C08B3F" w14:textId="77777777" w:rsidR="001E47E3" w:rsidRPr="000304EB" w:rsidRDefault="001E47E3" w:rsidP="00BE73E2">
            <w:pPr>
              <w:spacing w:after="80"/>
              <w:jc w:val="center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S</w:t>
            </w:r>
          </w:p>
        </w:tc>
        <w:tc>
          <w:tcPr>
            <w:tcW w:w="7404" w:type="dxa"/>
          </w:tcPr>
          <w:p w14:paraId="60AAD078" w14:textId="77777777" w:rsidR="001E47E3" w:rsidRPr="000304EB" w:rsidRDefault="001E47E3" w:rsidP="00BE73E2">
            <w:pPr>
              <w:spacing w:after="80"/>
              <w:jc w:val="both"/>
              <w:rPr>
                <w:rFonts w:ascii="Verdana" w:eastAsia="SimSun" w:hAnsi="Verdana"/>
                <w:sz w:val="18"/>
                <w:szCs w:val="18"/>
                <w:lang w:val="el-GR" w:eastAsia="zh-CN"/>
              </w:rPr>
            </w:pPr>
            <w:r w:rsidRPr="000304EB">
              <w:rPr>
                <w:rFonts w:ascii="Verdana" w:eastAsia="SimSun" w:hAnsi="Verdana"/>
                <w:sz w:val="18"/>
                <w:szCs w:val="18"/>
                <w:lang w:val="el-GR" w:eastAsia="zh-CN"/>
              </w:rPr>
              <w:t>Άλλες Δραστηριότητες Παροχής Υπηρεσιών</w:t>
            </w:r>
          </w:p>
        </w:tc>
      </w:tr>
    </w:tbl>
    <w:p w14:paraId="3ED4F45F" w14:textId="77777777" w:rsidR="001E47E3" w:rsidRPr="000304EB" w:rsidRDefault="001E47E3" w:rsidP="001E47E3">
      <w:pPr>
        <w:spacing w:after="120"/>
        <w:jc w:val="both"/>
        <w:rPr>
          <w:rFonts w:ascii="Verdana" w:eastAsia="SimSun" w:hAnsi="Verdana"/>
          <w:color w:val="000000"/>
          <w:sz w:val="18"/>
          <w:szCs w:val="18"/>
          <w:lang w:val="el-GR" w:eastAsia="zh-CN"/>
        </w:rPr>
      </w:pP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br/>
        <w:t>Η έρευνα καλύπτει όλες της ελεύθερες περιοχές της Κυπριακής Δημοκρατίας.</w:t>
      </w:r>
    </w:p>
    <w:p w14:paraId="0AAFAAEB" w14:textId="77777777" w:rsidR="001E47E3" w:rsidRPr="000304EB" w:rsidRDefault="001E47E3" w:rsidP="001E47E3">
      <w:pPr>
        <w:spacing w:after="120"/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103CBB03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  <w:r w:rsidRPr="000304EB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>Δειγματοληψία</w:t>
      </w:r>
    </w:p>
    <w:p w14:paraId="04DF1A11" w14:textId="19132216" w:rsidR="001E47E3" w:rsidRPr="000304EB" w:rsidRDefault="001E47E3" w:rsidP="001E47E3">
      <w:pPr>
        <w:jc w:val="both"/>
        <w:rPr>
          <w:rFonts w:ascii="Verdana" w:eastAsia="SimSun" w:hAnsi="Verdana"/>
          <w:color w:val="000000"/>
          <w:sz w:val="18"/>
          <w:szCs w:val="18"/>
          <w:lang w:val="el-GR" w:eastAsia="zh-CN"/>
        </w:rPr>
      </w:pP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Για </w:t>
      </w:r>
      <w:r>
        <w:rPr>
          <w:rFonts w:ascii="Verdana" w:eastAsia="SimSun" w:hAnsi="Verdana"/>
          <w:color w:val="000000"/>
          <w:sz w:val="18"/>
          <w:szCs w:val="18"/>
          <w:lang w:val="el-GR" w:eastAsia="zh-CN"/>
        </w:rPr>
        <w:t>το 202</w:t>
      </w:r>
      <w:r w:rsidR="00E355A5">
        <w:rPr>
          <w:rFonts w:ascii="Verdana" w:eastAsia="SimSun" w:hAnsi="Verdana"/>
          <w:color w:val="000000"/>
          <w:sz w:val="18"/>
          <w:szCs w:val="18"/>
          <w:lang w:val="el-GR" w:eastAsia="zh-CN"/>
        </w:rPr>
        <w:t>2</w:t>
      </w:r>
      <w:r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 στην 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έρευνα </w:t>
      </w:r>
      <w:r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συμπεριλήφθηκαν όλες οι επιχειρήσεις με 10 ή περισσότερους απασχολούμενους (απογραφή επιχειρήσεων). 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 Συνολικά περιλήφθηκαν </w:t>
      </w:r>
      <w:r w:rsidR="00E355A5">
        <w:rPr>
          <w:rFonts w:ascii="Verdana" w:eastAsia="SimSun" w:hAnsi="Verdana"/>
          <w:color w:val="000000"/>
          <w:sz w:val="18"/>
          <w:szCs w:val="18"/>
          <w:lang w:val="el-GR" w:eastAsia="zh-CN"/>
        </w:rPr>
        <w:t>32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 κατηγορίες οικονομικών δραστηριοτήτων και 3 κατηγορίες μεγέθους</w:t>
      </w:r>
      <w:r w:rsidRPr="000304EB">
        <w:rPr>
          <w:rFonts w:ascii="Verdana" w:hAnsi="Verdana"/>
          <w:sz w:val="18"/>
          <w:szCs w:val="18"/>
          <w:lang w:val="el-GR"/>
        </w:rPr>
        <w:t xml:space="preserve"> (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μικρές επιχειρήσεις (10-49 απασχολούμενοι), μεσαίες επιχειρήσεις (50-249 απασχολούμενοι) και μεγάλες επιχειρήσεις (250+ απασχολούμενοι)). </w:t>
      </w:r>
    </w:p>
    <w:p w14:paraId="7DF7A596" w14:textId="77777777" w:rsidR="001E47E3" w:rsidRPr="000304EB" w:rsidRDefault="001E47E3" w:rsidP="001E47E3">
      <w:pPr>
        <w:jc w:val="both"/>
        <w:rPr>
          <w:rFonts w:ascii="Verdana" w:eastAsia="Times New Roman" w:hAnsi="Verdana"/>
          <w:b/>
          <w:sz w:val="18"/>
          <w:szCs w:val="18"/>
          <w:u w:val="single"/>
          <w:lang w:val="el-GR"/>
        </w:rPr>
      </w:pPr>
    </w:p>
    <w:p w14:paraId="20985A2A" w14:textId="77777777" w:rsidR="001E47E3" w:rsidRPr="000304EB" w:rsidRDefault="001E47E3" w:rsidP="001E47E3">
      <w:pPr>
        <w:jc w:val="both"/>
        <w:rPr>
          <w:rFonts w:ascii="Verdana" w:eastAsia="Times New Roman" w:hAnsi="Verdana"/>
          <w:b/>
          <w:sz w:val="18"/>
          <w:szCs w:val="18"/>
          <w:u w:val="single"/>
          <w:lang w:val="el-GR"/>
        </w:rPr>
      </w:pPr>
    </w:p>
    <w:p w14:paraId="0FC7BBAD" w14:textId="77777777" w:rsidR="001E47E3" w:rsidRPr="000304EB" w:rsidRDefault="001E47E3" w:rsidP="001E47E3">
      <w:pPr>
        <w:jc w:val="both"/>
        <w:rPr>
          <w:rFonts w:ascii="Verdana" w:eastAsia="Times New Roman" w:hAnsi="Verdana"/>
          <w:b/>
          <w:sz w:val="18"/>
          <w:szCs w:val="18"/>
          <w:u w:val="single"/>
          <w:lang w:val="el-GR"/>
        </w:rPr>
      </w:pPr>
      <w:r w:rsidRPr="000304EB">
        <w:rPr>
          <w:rFonts w:ascii="Verdana" w:eastAsia="Times New Roman" w:hAnsi="Verdana"/>
          <w:b/>
          <w:sz w:val="18"/>
          <w:szCs w:val="18"/>
          <w:u w:val="single"/>
          <w:lang w:val="el-GR"/>
        </w:rPr>
        <w:t xml:space="preserve">Συλλογή δεδομένων </w:t>
      </w:r>
    </w:p>
    <w:p w14:paraId="7C779B15" w14:textId="77777777" w:rsidR="001E47E3" w:rsidRPr="000304EB" w:rsidRDefault="001E47E3" w:rsidP="001E47E3">
      <w:pPr>
        <w:jc w:val="both"/>
        <w:rPr>
          <w:rFonts w:ascii="Verdana" w:eastAsia="Times New Roman" w:hAnsi="Verdana"/>
          <w:sz w:val="18"/>
          <w:szCs w:val="18"/>
          <w:lang w:val="el-GR"/>
        </w:rPr>
      </w:pPr>
      <w:r w:rsidRPr="000304EB">
        <w:rPr>
          <w:rFonts w:ascii="Verdana" w:eastAsia="Times New Roman" w:hAnsi="Verdana"/>
          <w:sz w:val="18"/>
          <w:szCs w:val="18"/>
          <w:lang w:val="el-GR"/>
        </w:rPr>
        <w:t>Η συλλογή των δεδομένων έγινε με τη χρήση ηλεκτρονικού ερωτηματολόγιου μέσω διαδικτύου</w:t>
      </w:r>
      <w:r>
        <w:rPr>
          <w:rFonts w:ascii="Verdana" w:eastAsia="Times New Roman" w:hAnsi="Verdana"/>
          <w:sz w:val="18"/>
          <w:szCs w:val="18"/>
          <w:lang w:val="el-GR"/>
        </w:rPr>
        <w:t>.</w:t>
      </w:r>
      <w:r w:rsidRPr="000304EB">
        <w:rPr>
          <w:rFonts w:ascii="Verdana" w:eastAsia="Times New Roman" w:hAnsi="Verdana"/>
          <w:sz w:val="18"/>
          <w:szCs w:val="18"/>
          <w:lang w:val="el-GR"/>
        </w:rPr>
        <w:t xml:space="preserve"> </w:t>
      </w:r>
    </w:p>
    <w:p w14:paraId="03A04CF4" w14:textId="5D5F5733" w:rsidR="001E47E3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2DA13338" w14:textId="77777777" w:rsidR="00454B95" w:rsidRPr="000304EB" w:rsidRDefault="00454B95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37B4EFED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  <w:r w:rsidRPr="000304EB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 xml:space="preserve">Περίοδος αναφοράς </w:t>
      </w:r>
    </w:p>
    <w:p w14:paraId="33653549" w14:textId="7F15F4AF" w:rsidR="001E47E3" w:rsidRPr="000304EB" w:rsidRDefault="001E47E3" w:rsidP="001E47E3">
      <w:pPr>
        <w:jc w:val="both"/>
        <w:rPr>
          <w:rFonts w:ascii="Verdana" w:eastAsia="SimSun" w:hAnsi="Verdana"/>
          <w:color w:val="000000"/>
          <w:sz w:val="18"/>
          <w:szCs w:val="18"/>
          <w:lang w:val="el-GR" w:eastAsia="zh-CN"/>
        </w:rPr>
      </w:pP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>Τα στοιχεία αφορούν το 202</w:t>
      </w:r>
      <w:r w:rsidR="00E355A5">
        <w:rPr>
          <w:rFonts w:ascii="Verdana" w:eastAsia="SimSun" w:hAnsi="Verdana"/>
          <w:color w:val="000000"/>
          <w:sz w:val="18"/>
          <w:szCs w:val="18"/>
          <w:lang w:val="el-GR" w:eastAsia="zh-CN"/>
        </w:rPr>
        <w:t>2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 xml:space="preserve"> εκτός εάν αναφέρεται διαφορετικά.</w:t>
      </w:r>
    </w:p>
    <w:p w14:paraId="4CB9F15C" w14:textId="1C36B035" w:rsidR="001E47E3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791291F4" w14:textId="77777777" w:rsidR="00454B95" w:rsidRPr="000304EB" w:rsidRDefault="00454B95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</w:p>
    <w:p w14:paraId="3A7CDC0C" w14:textId="0858D29E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</w:pPr>
      <w:r w:rsidRPr="000304EB">
        <w:rPr>
          <w:rFonts w:ascii="Verdana" w:eastAsia="SimSun" w:hAnsi="Verdana"/>
          <w:b/>
          <w:color w:val="000000"/>
          <w:sz w:val="18"/>
          <w:szCs w:val="18"/>
          <w:u w:val="single"/>
          <w:lang w:val="el-GR" w:eastAsia="zh-CN"/>
        </w:rPr>
        <w:t>Ορισμοί</w:t>
      </w:r>
    </w:p>
    <w:p w14:paraId="63129E09" w14:textId="58764064" w:rsidR="001E47E3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</w:pPr>
    </w:p>
    <w:p w14:paraId="5C45ABC4" w14:textId="77777777" w:rsidR="001E47E3" w:rsidRPr="000304EB" w:rsidRDefault="001E47E3" w:rsidP="001E47E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304EB">
        <w:rPr>
          <w:rFonts w:ascii="Verdana" w:eastAsia="Malgun Gothic" w:hAnsi="Verdana" w:cs="Arial"/>
          <w:b/>
          <w:sz w:val="18"/>
          <w:szCs w:val="18"/>
          <w:lang w:val="el-GR"/>
        </w:rPr>
        <w:t xml:space="preserve">Ταχύτητα μεταφοράς δεδομένων: 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>Η</w:t>
      </w:r>
      <w:r w:rsidRPr="000304EB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μέγιστη ταχύτητα μεταφοράς δεδομένων με βάση το συμβόλαιο με τον </w:t>
      </w:r>
      <w:proofErr w:type="spellStart"/>
      <w:r w:rsidRPr="000304EB">
        <w:rPr>
          <w:rFonts w:ascii="Verdana" w:eastAsia="Malgun Gothic" w:hAnsi="Verdana" w:cs="Arial"/>
          <w:sz w:val="18"/>
          <w:szCs w:val="18"/>
          <w:lang w:val="el-GR"/>
        </w:rPr>
        <w:t>παροχέα</w:t>
      </w:r>
      <w:proofErr w:type="spellEnd"/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 Υπηρεσιών Διαδικτύου.</w:t>
      </w:r>
    </w:p>
    <w:p w14:paraId="77DB58A3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</w:pPr>
    </w:p>
    <w:p w14:paraId="34E46EA2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</w:pPr>
    </w:p>
    <w:p w14:paraId="3A751BC9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</w:pPr>
      <w:r w:rsidRPr="000304EB"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  <w:t xml:space="preserve">Ηλεκτρονικό εμπόριο: </w:t>
      </w:r>
      <w:r w:rsidRPr="000304EB">
        <w:rPr>
          <w:rFonts w:ascii="Verdana" w:eastAsia="SimSun" w:hAnsi="Verdana"/>
          <w:color w:val="000000"/>
          <w:sz w:val="18"/>
          <w:szCs w:val="18"/>
          <w:lang w:val="el-GR" w:eastAsia="zh-CN"/>
        </w:rPr>
        <w:t>Μια συναλλαγή ηλεκτρονικού εμπορίου είναι η πώληση ή η αγορά προϊόντων ή υπηρεσιών, που διενεργείται μέσω δικτύων υπολογιστών, με μεθόδους που έχουν σχεδιαστεί ειδικά για το σκοπό της λήψης ή αποδοχής παραγγελιών.</w:t>
      </w:r>
    </w:p>
    <w:p w14:paraId="39B7CD2E" w14:textId="77777777" w:rsidR="001E47E3" w:rsidRPr="000304EB" w:rsidRDefault="001E47E3" w:rsidP="001E47E3">
      <w:pPr>
        <w:jc w:val="both"/>
        <w:rPr>
          <w:rFonts w:ascii="Verdana" w:eastAsia="SimSun" w:hAnsi="Verdana"/>
          <w:b/>
          <w:color w:val="000000"/>
          <w:sz w:val="18"/>
          <w:szCs w:val="18"/>
          <w:lang w:val="el-GR" w:eastAsia="zh-CN"/>
        </w:rPr>
      </w:pPr>
    </w:p>
    <w:p w14:paraId="5B472B69" w14:textId="77777777" w:rsidR="001E47E3" w:rsidRPr="000304EB" w:rsidRDefault="001E47E3" w:rsidP="001E47E3">
      <w:pPr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545942D8" w14:textId="77777777" w:rsidR="001E47E3" w:rsidRPr="000304EB" w:rsidRDefault="001E47E3" w:rsidP="001E47E3">
      <w:pPr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  <w:r w:rsidRPr="000304EB">
        <w:rPr>
          <w:rFonts w:ascii="Verdana" w:eastAsia="Malgun Gothic" w:hAnsi="Verdana" w:cs="Arial"/>
          <w:b/>
          <w:sz w:val="18"/>
          <w:szCs w:val="18"/>
          <w:lang w:val="el-GR"/>
        </w:rPr>
        <w:lastRenderedPageBreak/>
        <w:t>Ηλεκτρονικοί Υπολογιστές:</w:t>
      </w:r>
      <w:r w:rsidRPr="000304EB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>Περιλαμβάνονται</w:t>
      </w:r>
      <w:r w:rsidRPr="000304EB">
        <w:rPr>
          <w:rFonts w:ascii="Verdana" w:eastAsia="Malgun Gothic" w:hAnsi="Verdana" w:cs="Arial"/>
          <w:b/>
          <w:i/>
          <w:sz w:val="18"/>
          <w:szCs w:val="18"/>
          <w:lang w:val="el-GR"/>
        </w:rPr>
        <w:t xml:space="preserve"> 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προσωπικοί υπολογιστές, φορητοί υπολογιστές (π.χ. </w:t>
      </w:r>
      <w:r w:rsidRPr="000304EB">
        <w:rPr>
          <w:rFonts w:ascii="Verdana" w:eastAsia="Malgun Gothic" w:hAnsi="Verdana" w:cs="Arial"/>
          <w:sz w:val="18"/>
          <w:szCs w:val="18"/>
        </w:rPr>
        <w:t>laptops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Pr="000304EB">
        <w:rPr>
          <w:rFonts w:ascii="Verdana" w:eastAsia="Malgun Gothic" w:hAnsi="Verdana" w:cs="Arial"/>
          <w:sz w:val="18"/>
          <w:szCs w:val="18"/>
        </w:rPr>
        <w:t>notebooks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r w:rsidRPr="000304EB">
        <w:rPr>
          <w:rFonts w:ascii="Verdana" w:eastAsia="Malgun Gothic" w:hAnsi="Verdana" w:cs="Arial"/>
          <w:sz w:val="18"/>
          <w:szCs w:val="18"/>
        </w:rPr>
        <w:t>netbooks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>), υπολογιστές με οθόνη αφής (</w:t>
      </w:r>
      <w:r w:rsidRPr="000304EB">
        <w:rPr>
          <w:rFonts w:ascii="Verdana" w:eastAsia="Malgun Gothic" w:hAnsi="Verdana" w:cs="Arial"/>
          <w:sz w:val="18"/>
          <w:szCs w:val="18"/>
        </w:rPr>
        <w:t>tablets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), άλλες φορητές συσκευές όπως </w:t>
      </w:r>
      <w:r w:rsidRPr="000304EB">
        <w:rPr>
          <w:rFonts w:ascii="Verdana" w:eastAsia="Malgun Gothic" w:hAnsi="Verdana" w:cs="Arial"/>
          <w:sz w:val="18"/>
          <w:szCs w:val="18"/>
        </w:rPr>
        <w:t>Smartphones</w:t>
      </w:r>
      <w:r w:rsidRPr="000304EB">
        <w:rPr>
          <w:rFonts w:ascii="Verdana" w:eastAsia="Malgun Gothic" w:hAnsi="Verdana" w:cs="Arial"/>
          <w:sz w:val="18"/>
          <w:szCs w:val="18"/>
          <w:lang w:val="el-GR"/>
        </w:rPr>
        <w:t>.</w:t>
      </w:r>
    </w:p>
    <w:p w14:paraId="7F66414A" w14:textId="17D883A0" w:rsidR="001E47E3" w:rsidRDefault="001E47E3" w:rsidP="001E47E3">
      <w:pPr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683E419A" w14:textId="77777777" w:rsidR="00454B95" w:rsidRPr="000304EB" w:rsidRDefault="00454B95" w:rsidP="001E47E3">
      <w:pPr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0B9A45E5" w14:textId="77777777" w:rsidR="00511FC2" w:rsidRPr="0091330D" w:rsidRDefault="00511FC2" w:rsidP="00511FC2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91330D">
        <w:rPr>
          <w:rFonts w:ascii="Verdana" w:eastAsia="Malgun Gothic" w:hAnsi="Verdana" w:cs="Arial"/>
          <w:b/>
          <w:sz w:val="18"/>
          <w:szCs w:val="18"/>
          <w:lang w:val="el-GR"/>
        </w:rPr>
        <w:t xml:space="preserve">Εξειδικευμένο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>προσωπικό</w:t>
      </w:r>
      <w:r w:rsidRPr="0091330D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ΤΠΕ:</w:t>
      </w:r>
      <w:r w:rsidRPr="0091330D">
        <w:rPr>
          <w:rFonts w:ascii="Verdana" w:eastAsia="Malgun Gothic" w:hAnsi="Verdana" w:cs="Arial"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sz w:val="18"/>
          <w:szCs w:val="18"/>
          <w:lang w:val="el-GR"/>
        </w:rPr>
        <w:t xml:space="preserve">Ορίζεται το προσωπικό που </w:t>
      </w:r>
      <w:r w:rsidRPr="0091330D">
        <w:rPr>
          <w:rFonts w:ascii="Verdana" w:eastAsia="Malgun Gothic" w:hAnsi="Verdana" w:cs="Arial"/>
          <w:sz w:val="18"/>
          <w:szCs w:val="18"/>
          <w:lang w:val="el-GR"/>
        </w:rPr>
        <w:t>έχει ως κύρια ασχολία του τις Τεχνολογίες Πληροφορικής και Επικοινωνιών. Για παράδειγμα, έχει τη δυνατότητα να αναπτύσσει, να λειτουργεί, να υποστηρίζει ή να συντηρεί συστήματα ΤΠΕ.</w:t>
      </w:r>
    </w:p>
    <w:p w14:paraId="0474B040" w14:textId="77777777" w:rsidR="00511FC2" w:rsidRPr="000304EB" w:rsidRDefault="00511FC2" w:rsidP="001E47E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24963FC7" w14:textId="77777777" w:rsidR="001E47E3" w:rsidRPr="000304EB" w:rsidRDefault="001E47E3" w:rsidP="001E47E3">
      <w:pPr>
        <w:ind w:right="-79"/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331971D6" w14:textId="77777777" w:rsidR="001E47E3" w:rsidRDefault="001E47E3" w:rsidP="001E47E3">
      <w:pPr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</w:p>
    <w:p w14:paraId="7230EF96" w14:textId="77777777" w:rsidR="001E47E3" w:rsidRDefault="001E47E3" w:rsidP="001E47E3">
      <w:pPr>
        <w:rPr>
          <w:rFonts w:ascii="Verdana" w:hAnsi="Verdana"/>
          <w:i/>
          <w:sz w:val="18"/>
          <w:szCs w:val="18"/>
          <w:lang w:val="el-GR"/>
        </w:rPr>
      </w:pPr>
      <w:r w:rsidRPr="00890130">
        <w:rPr>
          <w:rFonts w:ascii="Verdana" w:hAnsi="Verdana"/>
          <w:b/>
          <w:i/>
          <w:sz w:val="18"/>
          <w:szCs w:val="18"/>
          <w:lang w:val="el-GR"/>
        </w:rPr>
        <w:t>Για περισσότερες πληροφορίες:</w:t>
      </w:r>
      <w:r w:rsidRPr="00890130">
        <w:rPr>
          <w:rFonts w:ascii="Verdana" w:hAnsi="Verdana"/>
          <w:i/>
          <w:sz w:val="18"/>
          <w:szCs w:val="18"/>
          <w:lang w:val="el-GR"/>
        </w:rPr>
        <w:t xml:space="preserve"> </w:t>
      </w:r>
    </w:p>
    <w:p w14:paraId="5A644D52" w14:textId="77777777" w:rsidR="001E47E3" w:rsidRPr="00890130" w:rsidRDefault="001E47E3" w:rsidP="001E47E3">
      <w:pPr>
        <w:rPr>
          <w:rFonts w:ascii="Verdana" w:hAnsi="Verdana"/>
          <w:sz w:val="18"/>
          <w:szCs w:val="18"/>
          <w:lang w:val="el-GR"/>
        </w:rPr>
      </w:pPr>
      <w:r w:rsidRPr="00890130">
        <w:rPr>
          <w:rFonts w:ascii="Verdana" w:hAnsi="Verdana"/>
          <w:sz w:val="18"/>
          <w:szCs w:val="18"/>
          <w:lang w:val="el-GR"/>
        </w:rPr>
        <w:t xml:space="preserve">Πύλη Στατιστικής Υπηρεσίας, υπόθεμα </w:t>
      </w:r>
      <w:hyperlink r:id="rId11" w:history="1">
        <w:r w:rsidRPr="00890130">
          <w:rPr>
            <w:rStyle w:val="Hyperlink"/>
            <w:rFonts w:ascii="Verdana" w:hAnsi="Verdana"/>
            <w:sz w:val="18"/>
            <w:szCs w:val="18"/>
            <w:lang w:val="el-GR"/>
          </w:rPr>
          <w:t>Κοινωνία της Πληροφορίας</w:t>
        </w:r>
      </w:hyperlink>
    </w:p>
    <w:p w14:paraId="54F71822" w14:textId="77777777" w:rsidR="001E47E3" w:rsidRPr="00890130" w:rsidRDefault="00000000" w:rsidP="001E47E3">
      <w:pPr>
        <w:rPr>
          <w:rFonts w:ascii="Verdana" w:hAnsi="Verdana"/>
          <w:sz w:val="18"/>
          <w:szCs w:val="18"/>
          <w:lang w:val="el-GR"/>
        </w:rPr>
      </w:pPr>
      <w:hyperlink r:id="rId12" w:history="1">
        <w:r w:rsidR="001E47E3">
          <w:rPr>
            <w:rStyle w:val="Hyperlink"/>
            <w:rFonts w:ascii="Verdana" w:hAnsi="Verdana"/>
            <w:sz w:val="18"/>
            <w:szCs w:val="18"/>
          </w:rPr>
          <w:t>CYSTAT</w:t>
        </w:r>
        <w:r w:rsidR="001E47E3" w:rsidRPr="00890130">
          <w:rPr>
            <w:rStyle w:val="Hyperlink"/>
            <w:rFonts w:ascii="Verdana" w:hAnsi="Verdana"/>
            <w:sz w:val="18"/>
            <w:szCs w:val="18"/>
            <w:lang w:val="el-GR"/>
          </w:rPr>
          <w:t>-</w:t>
        </w:r>
        <w:r w:rsidR="001E47E3">
          <w:rPr>
            <w:rStyle w:val="Hyperlink"/>
            <w:rFonts w:ascii="Verdana" w:hAnsi="Verdana"/>
            <w:sz w:val="18"/>
            <w:szCs w:val="18"/>
          </w:rPr>
          <w:t>DB</w:t>
        </w:r>
      </w:hyperlink>
      <w:r w:rsidR="001E47E3" w:rsidRPr="00890130">
        <w:rPr>
          <w:rFonts w:ascii="Verdana" w:hAnsi="Verdana"/>
          <w:sz w:val="18"/>
          <w:szCs w:val="18"/>
          <w:lang w:val="el-GR"/>
        </w:rPr>
        <w:t xml:space="preserve"> (Βάση Δεδομένων)</w:t>
      </w:r>
    </w:p>
    <w:p w14:paraId="2665A5EC" w14:textId="77777777" w:rsidR="001E47E3" w:rsidRPr="00890130" w:rsidRDefault="001E47E3" w:rsidP="001E47E3">
      <w:pPr>
        <w:tabs>
          <w:tab w:val="left" w:pos="1080"/>
          <w:tab w:val="left" w:pos="6840"/>
        </w:tabs>
        <w:jc w:val="both"/>
        <w:rPr>
          <w:rFonts w:ascii="Verdana" w:eastAsia="Malgun Gothic" w:hAnsi="Verdana" w:cs="Arial"/>
          <w:b/>
          <w:sz w:val="18"/>
          <w:szCs w:val="18"/>
          <w:lang w:val="el-GR"/>
        </w:rPr>
      </w:pPr>
    </w:p>
    <w:p w14:paraId="249B12D9" w14:textId="490C0D61" w:rsidR="001E47E3" w:rsidRPr="00890130" w:rsidRDefault="001E47E3" w:rsidP="001E47E3">
      <w:pPr>
        <w:rPr>
          <w:rFonts w:ascii="Verdana" w:hAnsi="Verdana"/>
          <w:sz w:val="18"/>
          <w:szCs w:val="18"/>
          <w:lang w:val="el-GR"/>
        </w:rPr>
      </w:pPr>
      <w:r>
        <w:rPr>
          <w:rFonts w:ascii="Verdana" w:eastAsia="Malgun Gothic" w:hAnsi="Verdana" w:cs="Arial"/>
          <w:b/>
          <w:sz w:val="18"/>
          <w:szCs w:val="18"/>
          <w:lang w:val="el-GR"/>
        </w:rPr>
        <w:t>Τα</w:t>
      </w:r>
      <w:r w:rsidRPr="00890130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στοιχεία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μέχρι το 2020 </w:t>
      </w:r>
      <w:r w:rsidRPr="00890130">
        <w:rPr>
          <w:rFonts w:ascii="Verdana" w:eastAsia="Malgun Gothic" w:hAnsi="Verdana" w:cs="Arial"/>
          <w:b/>
          <w:sz w:val="18"/>
          <w:szCs w:val="18"/>
          <w:lang w:val="el-GR"/>
        </w:rPr>
        <w:t xml:space="preserve">είναι διαθέσιμα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σε μορφή </w:t>
      </w:r>
      <w:r>
        <w:rPr>
          <w:rFonts w:ascii="Verdana" w:eastAsia="Malgun Gothic" w:hAnsi="Verdana" w:cs="Arial"/>
          <w:b/>
          <w:sz w:val="18"/>
          <w:szCs w:val="18"/>
        </w:rPr>
        <w:t>excel</w:t>
      </w:r>
      <w:r w:rsidRPr="00F62AC4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>στο</w:t>
      </w:r>
      <w:r w:rsidR="009158C4" w:rsidRPr="009158C4"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r w:rsidR="009158C4">
        <w:rPr>
          <w:rFonts w:ascii="Verdana" w:eastAsia="Malgun Gothic" w:hAnsi="Verdana" w:cs="Arial"/>
          <w:b/>
          <w:sz w:val="18"/>
          <w:szCs w:val="18"/>
          <w:lang w:val="el-GR"/>
        </w:rPr>
        <w:t>μέρος</w:t>
      </w:r>
      <w:r>
        <w:rPr>
          <w:rFonts w:ascii="Verdana" w:eastAsia="Malgun Gothic" w:hAnsi="Verdana" w:cs="Arial"/>
          <w:b/>
          <w:sz w:val="18"/>
          <w:szCs w:val="18"/>
          <w:lang w:val="el-GR"/>
        </w:rPr>
        <w:t xml:space="preserve"> </w:t>
      </w:r>
      <w:hyperlink r:id="rId13" w:history="1">
        <w:r w:rsidRPr="00890130">
          <w:rPr>
            <w:rStyle w:val="Hyperlink"/>
            <w:rFonts w:ascii="Verdana" w:hAnsi="Verdana"/>
            <w:sz w:val="18"/>
            <w:szCs w:val="18"/>
            <w:lang w:val="el-GR"/>
          </w:rPr>
          <w:t>Προκαθορισμένοι Πίνακες</w:t>
        </w:r>
      </w:hyperlink>
      <w:r w:rsidRPr="00890130">
        <w:rPr>
          <w:rFonts w:ascii="Verdana" w:hAnsi="Verdana"/>
          <w:sz w:val="18"/>
          <w:szCs w:val="18"/>
          <w:lang w:val="el-GR"/>
        </w:rPr>
        <w:t xml:space="preserve"> </w:t>
      </w:r>
    </w:p>
    <w:p w14:paraId="6C2EC694" w14:textId="77777777" w:rsidR="001E47E3" w:rsidRPr="00890130" w:rsidRDefault="001E47E3" w:rsidP="001E47E3">
      <w:pPr>
        <w:ind w:right="-79"/>
        <w:jc w:val="both"/>
        <w:rPr>
          <w:rFonts w:ascii="Verdana" w:hAnsi="Verdana"/>
          <w:i/>
          <w:sz w:val="18"/>
          <w:szCs w:val="18"/>
          <w:u w:val="single"/>
          <w:lang w:val="el-GR"/>
        </w:rPr>
      </w:pPr>
    </w:p>
    <w:p w14:paraId="5984FB00" w14:textId="77777777" w:rsidR="001E47E3" w:rsidRPr="00F62AC4" w:rsidRDefault="001E47E3" w:rsidP="001E47E3">
      <w:pPr>
        <w:ind w:right="-79"/>
        <w:jc w:val="both"/>
        <w:rPr>
          <w:rFonts w:ascii="Verdana" w:hAnsi="Verdana"/>
          <w:iCs/>
          <w:sz w:val="18"/>
          <w:szCs w:val="18"/>
          <w:lang w:val="el-GR"/>
        </w:rPr>
      </w:pPr>
    </w:p>
    <w:p w14:paraId="5D9E03BE" w14:textId="77777777" w:rsidR="001E47E3" w:rsidRPr="00890130" w:rsidRDefault="001E47E3" w:rsidP="001E47E3">
      <w:pPr>
        <w:ind w:right="-79"/>
        <w:jc w:val="both"/>
        <w:rPr>
          <w:rFonts w:ascii="Verdana" w:hAnsi="Verdana"/>
          <w:sz w:val="18"/>
          <w:szCs w:val="18"/>
          <w:lang w:val="el-GR"/>
        </w:rPr>
      </w:pPr>
      <w:r w:rsidRPr="00890130">
        <w:rPr>
          <w:rFonts w:ascii="Verdana" w:hAnsi="Verdana"/>
          <w:i/>
          <w:sz w:val="18"/>
          <w:szCs w:val="18"/>
          <w:u w:val="single"/>
          <w:lang w:val="el-GR"/>
        </w:rPr>
        <w:t>Επικοινωνία</w:t>
      </w:r>
      <w:r w:rsidRPr="00890130">
        <w:rPr>
          <w:rFonts w:ascii="Verdana" w:hAnsi="Verdana"/>
          <w:sz w:val="18"/>
          <w:szCs w:val="18"/>
          <w:lang w:val="el-GR"/>
        </w:rPr>
        <w:t xml:space="preserve"> </w:t>
      </w:r>
    </w:p>
    <w:p w14:paraId="12027A93" w14:textId="77777777" w:rsidR="001E47E3" w:rsidRPr="000304EB" w:rsidRDefault="001E47E3" w:rsidP="001E47E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Κωνσταντίνος Μηνά: </w:t>
      </w:r>
      <w:proofErr w:type="spellStart"/>
      <w:r w:rsidRPr="000304EB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:+35722602112, </w:t>
      </w:r>
      <w:proofErr w:type="spellStart"/>
      <w:r w:rsidRPr="000304EB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Pr="000304EB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4" w:history="1">
        <w:r w:rsidRPr="000304EB">
          <w:rPr>
            <w:rFonts w:ascii="Verdana" w:eastAsia="Malgun Gothic" w:hAnsi="Verdana" w:cs="Arial"/>
            <w:color w:val="0000FF"/>
            <w:sz w:val="18"/>
            <w:szCs w:val="18"/>
            <w:u w:val="single"/>
            <w:lang w:val="el-GR"/>
          </w:rPr>
          <w:t>cmina@cystat.mof.gov.cy</w:t>
        </w:r>
      </w:hyperlink>
    </w:p>
    <w:p w14:paraId="0425181F" w14:textId="5FA64DF7" w:rsidR="001E47E3" w:rsidRPr="00511FC2" w:rsidRDefault="00511FC2" w:rsidP="001E47E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  <w:r>
        <w:rPr>
          <w:rFonts w:ascii="Verdana" w:eastAsia="Malgun Gothic" w:hAnsi="Verdana" w:cs="Arial"/>
          <w:sz w:val="18"/>
          <w:szCs w:val="18"/>
          <w:lang w:val="el-GR"/>
        </w:rPr>
        <w:t>Θωμάς Γρηγορίου</w:t>
      </w:r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: </w:t>
      </w:r>
      <w:proofErr w:type="spellStart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>Τηλ</w:t>
      </w:r>
      <w:proofErr w:type="spellEnd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>.: +35722602</w:t>
      </w:r>
      <w:r>
        <w:rPr>
          <w:rFonts w:ascii="Verdana" w:eastAsia="Malgun Gothic" w:hAnsi="Verdana" w:cs="Arial"/>
          <w:sz w:val="18"/>
          <w:szCs w:val="18"/>
          <w:lang w:val="el-GR"/>
        </w:rPr>
        <w:t>126</w:t>
      </w:r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, </w:t>
      </w:r>
      <w:proofErr w:type="spellStart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>Ηλ</w:t>
      </w:r>
      <w:proofErr w:type="spellEnd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. </w:t>
      </w:r>
      <w:proofErr w:type="spellStart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>Ταχ</w:t>
      </w:r>
      <w:proofErr w:type="spellEnd"/>
      <w:r w:rsidR="001E47E3" w:rsidRPr="000304EB">
        <w:rPr>
          <w:rFonts w:ascii="Verdana" w:eastAsia="Malgun Gothic" w:hAnsi="Verdana" w:cs="Arial"/>
          <w:sz w:val="18"/>
          <w:szCs w:val="18"/>
          <w:lang w:val="el-GR"/>
        </w:rPr>
        <w:t xml:space="preserve">.: </w:t>
      </w:r>
      <w:hyperlink r:id="rId15" w:history="1">
        <w:r w:rsidRPr="0089095F">
          <w:rPr>
            <w:rStyle w:val="Hyperlink"/>
            <w:rFonts w:ascii="Verdana" w:eastAsia="Malgun Gothic" w:hAnsi="Verdana" w:cs="Arial"/>
            <w:sz w:val="18"/>
            <w:szCs w:val="18"/>
          </w:rPr>
          <w:t>tgregorioiu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@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</w:rPr>
          <w:t>cystat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</w:rPr>
          <w:t>mof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</w:rPr>
          <w:t>gov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  <w:lang w:val="el-GR"/>
          </w:rPr>
          <w:t>.</w:t>
        </w:r>
        <w:r w:rsidRPr="0089095F">
          <w:rPr>
            <w:rStyle w:val="Hyperlink"/>
            <w:rFonts w:ascii="Verdana" w:eastAsia="Malgun Gothic" w:hAnsi="Verdana" w:cs="Arial"/>
            <w:sz w:val="18"/>
            <w:szCs w:val="18"/>
          </w:rPr>
          <w:t>cy</w:t>
        </w:r>
      </w:hyperlink>
    </w:p>
    <w:p w14:paraId="38C8A6EB" w14:textId="77777777" w:rsidR="00511FC2" w:rsidRPr="00511FC2" w:rsidRDefault="00511FC2" w:rsidP="001E47E3">
      <w:pPr>
        <w:ind w:right="-79"/>
        <w:jc w:val="both"/>
        <w:rPr>
          <w:rFonts w:ascii="Verdana" w:eastAsia="Malgun Gothic" w:hAnsi="Verdana" w:cs="Arial"/>
          <w:sz w:val="18"/>
          <w:szCs w:val="18"/>
          <w:lang w:val="el-GR"/>
        </w:rPr>
      </w:pPr>
    </w:p>
    <w:p w14:paraId="1E1B1203" w14:textId="77777777" w:rsidR="001E47E3" w:rsidRDefault="001E47E3" w:rsidP="001E47E3">
      <w:pPr>
        <w:ind w:right="-79"/>
        <w:jc w:val="both"/>
        <w:rPr>
          <w:rFonts w:ascii="Verdana" w:eastAsia="Malgun Gothic" w:hAnsi="Verdana" w:cs="Arial"/>
          <w:b/>
          <w:i/>
          <w:sz w:val="18"/>
          <w:szCs w:val="18"/>
          <w:lang w:val="el-GR"/>
        </w:rPr>
      </w:pPr>
    </w:p>
    <w:p w14:paraId="273A81A9" w14:textId="0A8CEFD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BDA9EFD" w14:textId="6D12487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1730765" w14:textId="64EFAB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99E7F8F" w14:textId="3090719C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632D4A" w14:textId="67CD2B8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50BA3FF" w14:textId="6A9F523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D20F27F" w14:textId="7403E40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44FBDFA" w14:textId="12380D2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B5CF872" w14:textId="08B3E324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1D989E" w14:textId="2274DC9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8402635" w14:textId="5006C1C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E44D951" w14:textId="2251D31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81BEAF4" w14:textId="221165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05EE929" w14:textId="2423954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04226DEF" w14:textId="37E01296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35D724" w14:textId="6E8B40F7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6F48291B" w14:textId="3E5DE7DF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95219E" w14:textId="7B37687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7AE79D1" w14:textId="1B83F46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0441D70" w14:textId="402A1B7E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A6D8764" w14:textId="46EFE045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7B7B81D7" w14:textId="4C311FF2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13A37716" w14:textId="011C374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28044D4" w14:textId="7DDD43C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C7EB2BA" w14:textId="139B6210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B0DC725" w14:textId="6A9DAD4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E0D9100" w14:textId="298091C8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446564E5" w14:textId="00DC8AB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27C29368" w14:textId="6E9DB919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D2E1E4" w14:textId="3C30B5FB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3C222F8" w14:textId="39C4543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3BDEBC4F" w14:textId="6AEAFABD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p w14:paraId="53A20EE8" w14:textId="0B22CA01" w:rsidR="001712CF" w:rsidRDefault="001712CF" w:rsidP="000E4CB0">
      <w:pPr>
        <w:jc w:val="both"/>
        <w:rPr>
          <w:rFonts w:ascii="Verdana" w:hAnsi="Verdana" w:cs="Arial"/>
          <w:sz w:val="18"/>
          <w:szCs w:val="18"/>
          <w:lang w:val="el-GR"/>
        </w:rPr>
      </w:pPr>
    </w:p>
    <w:sectPr w:rsidR="001712CF" w:rsidSect="007E1AED">
      <w:headerReference w:type="default" r:id="rId16"/>
      <w:footerReference w:type="default" r:id="rId17"/>
      <w:headerReference w:type="first" r:id="rId18"/>
      <w:footerReference w:type="first" r:id="rId19"/>
      <w:pgSz w:w="11907" w:h="16840" w:code="9"/>
      <w:pgMar w:top="567" w:right="1185" w:bottom="102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EFC0A" w14:textId="77777777" w:rsidR="006C040A" w:rsidRDefault="006C040A" w:rsidP="00FB398F">
      <w:r>
        <w:separator/>
      </w:r>
    </w:p>
  </w:endnote>
  <w:endnote w:type="continuationSeparator" w:id="0">
    <w:p w14:paraId="4401B7C5" w14:textId="77777777" w:rsidR="006C040A" w:rsidRDefault="006C040A" w:rsidP="00FB3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4DEB" w14:textId="77777777" w:rsidR="004E4F42" w:rsidRPr="000A1A88" w:rsidRDefault="004E4F42" w:rsidP="00763722">
    <w:pPr>
      <w:pStyle w:val="Footer"/>
      <w:tabs>
        <w:tab w:val="left" w:pos="3375"/>
        <w:tab w:val="left" w:pos="4500"/>
        <w:tab w:val="center" w:pos="4723"/>
      </w:tabs>
    </w:pPr>
    <w:r>
      <w:tab/>
    </w:r>
    <w:r>
      <w:tab/>
    </w:r>
    <w:r>
      <w:tab/>
    </w:r>
    <w:r>
      <w:tab/>
      <w:t>-</w:t>
    </w:r>
    <w:r w:rsidR="00D14CDF">
      <w:fldChar w:fldCharType="begin"/>
    </w:r>
    <w:r w:rsidR="004D4950">
      <w:instrText xml:space="preserve"> PAGE   \* MERGEFORMAT </w:instrText>
    </w:r>
    <w:r w:rsidR="00D14CDF">
      <w:fldChar w:fldCharType="separate"/>
    </w:r>
    <w:r w:rsidR="00FD5B5F">
      <w:rPr>
        <w:noProof/>
      </w:rPr>
      <w:t>2</w:t>
    </w:r>
    <w:r w:rsidR="00D14CDF">
      <w:rPr>
        <w:noProof/>
      </w:rPr>
      <w:fldChar w:fldCharType="end"/>
    </w:r>
    <w:r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4CD8F" w14:textId="77777777" w:rsidR="004E4F42" w:rsidRPr="00233FBF" w:rsidRDefault="004E4F42" w:rsidP="000932CF">
    <w:pPr>
      <w:pStyle w:val="Footer"/>
      <w:pBdr>
        <w:top w:val="single" w:sz="4" w:space="0" w:color="auto"/>
      </w:pBdr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el-GR"/>
      </w:rPr>
    </w:pPr>
    <w:r w:rsidRPr="00233FBF">
      <w:rPr>
        <w:rFonts w:ascii="Arial" w:hAnsi="Arial" w:cs="Arial"/>
        <w:i/>
        <w:iCs/>
        <w:sz w:val="16"/>
        <w:szCs w:val="16"/>
        <w:lang w:val="el-GR"/>
      </w:rPr>
      <w:t>Διεύθυνση: Μιχα</w:t>
    </w:r>
    <w:r w:rsidR="00FD5B5F">
      <w:rPr>
        <w:rFonts w:ascii="Arial" w:hAnsi="Arial" w:cs="Arial"/>
        <w:i/>
        <w:iCs/>
        <w:sz w:val="16"/>
        <w:szCs w:val="16"/>
        <w:lang w:val="el-GR"/>
      </w:rPr>
      <w:t>ήλ</w:t>
    </w:r>
    <w:r w:rsidRPr="00233FBF">
      <w:rPr>
        <w:rFonts w:ascii="Arial" w:hAnsi="Arial" w:cs="Arial"/>
        <w:i/>
        <w:iCs/>
        <w:sz w:val="16"/>
        <w:szCs w:val="16"/>
        <w:lang w:val="el-GR"/>
      </w:rPr>
      <w:t xml:space="preserve"> </w:t>
    </w: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Καραολή</w:t>
    </w:r>
    <w:proofErr w:type="spellEnd"/>
    <w:r w:rsidRPr="00233FBF">
      <w:rPr>
        <w:rFonts w:ascii="Arial" w:hAnsi="Arial" w:cs="Arial"/>
        <w:i/>
        <w:iCs/>
        <w:sz w:val="16"/>
        <w:szCs w:val="16"/>
        <w:lang w:val="el-GR"/>
      </w:rPr>
      <w:t>, 1444 Λευκωσία, Κύπρος</w:t>
    </w:r>
  </w:p>
  <w:p w14:paraId="701EBEC3" w14:textId="7390D2C8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  <w:i/>
        <w:iCs/>
        <w:sz w:val="16"/>
        <w:szCs w:val="16"/>
        <w:lang w:val="de-DE"/>
      </w:rPr>
    </w:pPr>
    <w:proofErr w:type="spellStart"/>
    <w:r w:rsidRPr="00233FBF">
      <w:rPr>
        <w:rFonts w:ascii="Arial" w:hAnsi="Arial" w:cs="Arial"/>
        <w:i/>
        <w:iCs/>
        <w:sz w:val="16"/>
        <w:szCs w:val="16"/>
        <w:lang w:val="el-GR"/>
      </w:rPr>
      <w:t>Τηλ</w:t>
    </w:r>
    <w:proofErr w:type="spellEnd"/>
    <w:r w:rsidRPr="00D53540">
      <w:rPr>
        <w:rFonts w:ascii="Arial" w:hAnsi="Arial" w:cs="Arial"/>
        <w:i/>
        <w:iCs/>
        <w:sz w:val="16"/>
        <w:szCs w:val="16"/>
        <w:lang w:val="el-GR"/>
      </w:rPr>
      <w:t xml:space="preserve">.:  22 602129, </w:t>
    </w:r>
    <w:r w:rsidRPr="00233FBF">
      <w:rPr>
        <w:rFonts w:ascii="Arial" w:hAnsi="Arial" w:cs="Arial"/>
        <w:i/>
        <w:iCs/>
        <w:sz w:val="16"/>
        <w:szCs w:val="16"/>
        <w:lang w:val="el-GR"/>
      </w:rPr>
      <w:t>Φαξ</w:t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:  22 661313, E-mail: </w:t>
    </w:r>
    <w:r w:rsidR="00000000">
      <w:fldChar w:fldCharType="begin"/>
    </w:r>
    <w:r w:rsidR="00000000">
      <w:instrText>HYPERLINK</w:instrText>
    </w:r>
    <w:r w:rsidR="00000000" w:rsidRPr="009158C4">
      <w:rPr>
        <w:lang w:val="el-GR"/>
      </w:rPr>
      <w:instrText xml:space="preserve"> "</w:instrText>
    </w:r>
    <w:r w:rsidR="00000000">
      <w:instrText>mailto</w:instrText>
    </w:r>
    <w:r w:rsidR="00000000" w:rsidRPr="009158C4">
      <w:rPr>
        <w:lang w:val="el-GR"/>
      </w:rPr>
      <w:instrText>:</w:instrText>
    </w:r>
    <w:r w:rsidR="00000000">
      <w:instrText>enquiries</w:instrText>
    </w:r>
    <w:r w:rsidR="00000000" w:rsidRPr="009158C4">
      <w:rPr>
        <w:lang w:val="el-GR"/>
      </w:rPr>
      <w:instrText>@</w:instrText>
    </w:r>
    <w:r w:rsidR="00000000">
      <w:instrText>cystat</w:instrText>
    </w:r>
    <w:r w:rsidR="00000000" w:rsidRPr="009158C4">
      <w:rPr>
        <w:lang w:val="el-GR"/>
      </w:rPr>
      <w:instrText>.</w:instrText>
    </w:r>
    <w:r w:rsidR="00000000">
      <w:instrText>mof</w:instrText>
    </w:r>
    <w:r w:rsidR="00000000" w:rsidRPr="009158C4">
      <w:rPr>
        <w:lang w:val="el-GR"/>
      </w:rPr>
      <w:instrText>.</w:instrText>
    </w:r>
    <w:r w:rsidR="00000000">
      <w:instrText>gov</w:instrText>
    </w:r>
    <w:r w:rsidR="00000000" w:rsidRPr="009158C4">
      <w:rPr>
        <w:lang w:val="el-GR"/>
      </w:rPr>
      <w:instrText>.</w:instrText>
    </w:r>
    <w:r w:rsidR="00000000">
      <w:instrText>cy</w:instrText>
    </w:r>
    <w:r w:rsidR="00000000" w:rsidRPr="009158C4">
      <w:rPr>
        <w:lang w:val="el-GR"/>
      </w:rPr>
      <w:instrText>"</w:instrText>
    </w:r>
    <w:r w:rsidR="00000000">
      <w:fldChar w:fldCharType="separate"/>
    </w:r>
    <w:r w:rsidRPr="00233FBF">
      <w:rPr>
        <w:rStyle w:val="Hyperlink"/>
        <w:rFonts w:ascii="Arial" w:hAnsi="Arial" w:cs="Arial"/>
        <w:i/>
        <w:iCs/>
        <w:sz w:val="16"/>
        <w:szCs w:val="16"/>
        <w:lang w:val="de-DE"/>
      </w:rPr>
      <w:t>enquiries@cystat.mof.gov.cy</w:t>
    </w:r>
    <w:r w:rsidR="00000000">
      <w:rPr>
        <w:rStyle w:val="Hyperlink"/>
        <w:rFonts w:ascii="Arial" w:hAnsi="Arial" w:cs="Arial"/>
        <w:i/>
        <w:iCs/>
        <w:sz w:val="16"/>
        <w:szCs w:val="16"/>
        <w:lang w:val="de-DE"/>
      </w:rPr>
      <w:fldChar w:fldCharType="end"/>
    </w:r>
    <w:r w:rsidRPr="00233FBF">
      <w:rPr>
        <w:rFonts w:ascii="Arial" w:hAnsi="Arial" w:cs="Arial"/>
        <w:i/>
        <w:iCs/>
        <w:sz w:val="16"/>
        <w:szCs w:val="16"/>
        <w:lang w:val="de-DE"/>
      </w:rPr>
      <w:t xml:space="preserve">  </w:t>
    </w:r>
  </w:p>
  <w:p w14:paraId="66893A8B" w14:textId="77777777" w:rsidR="004E4F42" w:rsidRPr="00233FBF" w:rsidRDefault="004E4F42" w:rsidP="000932CF">
    <w:pPr>
      <w:pStyle w:val="Footer"/>
      <w:tabs>
        <w:tab w:val="left" w:pos="4500"/>
      </w:tabs>
      <w:jc w:val="center"/>
      <w:rPr>
        <w:rFonts w:ascii="Arial" w:hAnsi="Arial" w:cs="Arial"/>
      </w:rPr>
    </w:pPr>
    <w:r w:rsidRPr="00233FBF">
      <w:rPr>
        <w:rFonts w:ascii="Arial" w:hAnsi="Arial" w:cs="Arial"/>
        <w:i/>
        <w:iCs/>
        <w:sz w:val="16"/>
        <w:szCs w:val="16"/>
      </w:rPr>
      <w:t xml:space="preserve">Web site: </w:t>
    </w:r>
    <w:hyperlink r:id="rId1" w:history="1"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http://www.cystat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  <w:lang w:val="en-GB"/>
        </w:rPr>
        <w:t>.</w:t>
      </w:r>
      <w:r w:rsidRPr="00233FBF">
        <w:rPr>
          <w:rStyle w:val="Hyperlink"/>
          <w:rFonts w:ascii="Arial" w:hAnsi="Arial" w:cs="Arial"/>
          <w:i/>
          <w:iCs/>
          <w:sz w:val="16"/>
          <w:szCs w:val="16"/>
        </w:rPr>
        <w:t>gov.cy</w:t>
      </w:r>
    </w:hyperlink>
    <w:r w:rsidRPr="00233FBF">
      <w:rPr>
        <w:rFonts w:ascii="Arial" w:hAnsi="Arial" w:cs="Arial"/>
        <w:i/>
        <w:iCs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EAE98" w14:textId="77777777" w:rsidR="006C040A" w:rsidRDefault="006C040A" w:rsidP="00FB398F">
      <w:r>
        <w:separator/>
      </w:r>
    </w:p>
  </w:footnote>
  <w:footnote w:type="continuationSeparator" w:id="0">
    <w:p w14:paraId="74AEB1C1" w14:textId="77777777" w:rsidR="006C040A" w:rsidRDefault="006C040A" w:rsidP="00FB3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2C9C0" w14:textId="77777777" w:rsidR="004E4F42" w:rsidRPr="00AC704B" w:rsidRDefault="004E4F42" w:rsidP="001C0681">
    <w:pPr>
      <w:pStyle w:val="Header"/>
      <w:tabs>
        <w:tab w:val="clear" w:pos="4153"/>
        <w:tab w:val="clear" w:pos="8306"/>
        <w:tab w:val="left" w:pos="274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Cs/>
        <w:sz w:val="20"/>
        <w:szCs w:val="20"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AF2EC" w14:textId="13591C2C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left="-284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noProof/>
        <w:sz w:val="18"/>
        <w:szCs w:val="18"/>
      </w:rPr>
      <w:drawing>
        <wp:anchor distT="0" distB="0" distL="114300" distR="114300" simplePos="0" relativeHeight="251656192" behindDoc="0" locked="0" layoutInCell="1" allowOverlap="1" wp14:anchorId="3290AC8A" wp14:editId="7DB4922F">
          <wp:simplePos x="0" y="0"/>
          <wp:positionH relativeFrom="column">
            <wp:posOffset>523875</wp:posOffset>
          </wp:positionH>
          <wp:positionV relativeFrom="paragraph">
            <wp:posOffset>168910</wp:posOffset>
          </wp:positionV>
          <wp:extent cx="676275" cy="676275"/>
          <wp:effectExtent l="0" t="0" r="0" b="0"/>
          <wp:wrapNone/>
          <wp:docPr id="5" name="Picture 4" descr="£Àƒ∂√™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£Àƒ∂√™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3809BD" wp14:editId="5EF28F37">
              <wp:simplePos x="0" y="0"/>
              <wp:positionH relativeFrom="column">
                <wp:posOffset>4772660</wp:posOffset>
              </wp:positionH>
              <wp:positionV relativeFrom="paragraph">
                <wp:posOffset>-69215</wp:posOffset>
              </wp:positionV>
              <wp:extent cx="1287780" cy="1047750"/>
              <wp:effectExtent l="0" t="0" r="8255" b="0"/>
              <wp:wrapNone/>
              <wp:docPr id="3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1047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91D6F2" w14:textId="78D732F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39104761" wp14:editId="2EE741E1">
                                <wp:extent cx="1095375" cy="790575"/>
                                <wp:effectExtent l="0" t="0" r="0" b="0"/>
                                <wp:docPr id="6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5375" cy="790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3809B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left:0;text-align:left;margin-left:375.8pt;margin-top:-5.45pt;width:101.4pt;height:82.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" strokecolor="white">
              <v:textbox>
                <w:txbxContent>
                  <w:p w14:paraId="4991D6F2" w14:textId="78D732F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39104761" wp14:editId="2EE741E1">
                          <wp:extent cx="1095375" cy="790575"/>
                          <wp:effectExtent l="0" t="0" r="0" b="0"/>
                          <wp:docPr id="6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5375" cy="790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Cs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DA8F2C" wp14:editId="2000D464">
              <wp:simplePos x="0" y="0"/>
              <wp:positionH relativeFrom="column">
                <wp:posOffset>3439160</wp:posOffset>
              </wp:positionH>
              <wp:positionV relativeFrom="paragraph">
                <wp:posOffset>-221615</wp:posOffset>
              </wp:positionV>
              <wp:extent cx="1468755" cy="1200150"/>
              <wp:effectExtent l="0" t="0" r="0" b="0"/>
              <wp:wrapNone/>
              <wp:docPr id="2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8755" cy="1200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6EEE85" w14:textId="3B17AE7F" w:rsidR="004E4F42" w:rsidRDefault="001712CF" w:rsidP="000932CF">
                          <w:r w:rsidRPr="00B96284">
                            <w:rPr>
                              <w:noProof/>
                            </w:rPr>
                            <w:drawing>
                              <wp:inline distT="0" distB="0" distL="0" distR="0" wp14:anchorId="408F2A7B" wp14:editId="1D17F4D1">
                                <wp:extent cx="1276350" cy="1009650"/>
                                <wp:effectExtent l="0" t="0" r="0" b="0"/>
                                <wp:docPr id="4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6350" cy="10096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DA8F2C" id="Text Box 15" o:spid="_x0000_s1027" type="#_x0000_t202" style="position:absolute;left:0;text-align:left;margin-left:270.8pt;margin-top:-17.45pt;width:115.65pt;height:94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" strokecolor="white">
              <v:textbox>
                <w:txbxContent>
                  <w:p w14:paraId="616EEE85" w14:textId="3B17AE7F" w:rsidR="004E4F42" w:rsidRDefault="001712CF" w:rsidP="000932CF">
                    <w:r w:rsidRPr="00B96284">
                      <w:rPr>
                        <w:noProof/>
                      </w:rPr>
                      <w:drawing>
                        <wp:inline distT="0" distB="0" distL="0" distR="0" wp14:anchorId="408F2A7B" wp14:editId="1D17F4D1">
                          <wp:extent cx="1276350" cy="1009650"/>
                          <wp:effectExtent l="0" t="0" r="0" b="0"/>
                          <wp:docPr id="4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6350" cy="10096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607B8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left" w:pos="6315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</w:p>
  <w:p w14:paraId="3A7322B1" w14:textId="77777777" w:rsidR="004E4F42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ind w:right="-716"/>
      <w:rPr>
        <w:rFonts w:ascii="Arial" w:hAnsi="Arial" w:cs="Arial"/>
        <w:bCs/>
        <w:sz w:val="18"/>
        <w:szCs w:val="18"/>
      </w:rPr>
    </w:pPr>
  </w:p>
  <w:p w14:paraId="6E06BC16" w14:textId="77777777" w:rsidR="004E4F42" w:rsidRDefault="004E4F42" w:rsidP="000932CF">
    <w:pPr>
      <w:pStyle w:val="Header"/>
      <w:tabs>
        <w:tab w:val="clear" w:pos="4153"/>
        <w:tab w:val="clear" w:pos="8306"/>
        <w:tab w:val="center" w:pos="1620"/>
        <w:tab w:val="center" w:pos="4581"/>
      </w:tabs>
      <w:spacing w:line="360" w:lineRule="auto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ab/>
    </w:r>
    <w:r>
      <w:rPr>
        <w:rFonts w:ascii="Arial" w:hAnsi="Arial" w:cs="Arial"/>
        <w:bCs/>
        <w:sz w:val="18"/>
        <w:szCs w:val="18"/>
      </w:rPr>
      <w:tab/>
    </w:r>
  </w:p>
  <w:p w14:paraId="136A8564" w14:textId="2A169524" w:rsidR="004E4F42" w:rsidRDefault="001712CF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18"/>
        <w:szCs w:val="18"/>
      </w:rPr>
    </w:pPr>
    <w:r w:rsidRPr="00D14CDF">
      <w:rPr>
        <w:rFonts w:ascii="Arial" w:hAnsi="Arial" w:cs="Arial"/>
        <w:b/>
        <w:bCs/>
        <w:noProof/>
        <w:sz w:val="20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B35A09" wp14:editId="52949B4C">
              <wp:simplePos x="0" y="0"/>
              <wp:positionH relativeFrom="column">
                <wp:posOffset>4159250</wp:posOffset>
              </wp:positionH>
              <wp:positionV relativeFrom="paragraph">
                <wp:posOffset>104140</wp:posOffset>
              </wp:positionV>
              <wp:extent cx="1828800" cy="438150"/>
              <wp:effectExtent l="0" t="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438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5F9DD1" w14:textId="77777777" w:rsidR="004E4F42" w:rsidRDefault="004E4F42" w:rsidP="000932CF">
                          <w:pPr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ΣΤΑΤΙΣΤΙΚΗ</w:t>
                          </w:r>
                          <w:r w:rsidRPr="00AC704B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F0360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ΥΠΗΡΕΣΙΑ</w:t>
                          </w:r>
                          <w:r w:rsidRPr="00BA5A5E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7F363AC1" w14:textId="77777777" w:rsidR="004E4F42" w:rsidRPr="00BA5A5E" w:rsidRDefault="004E4F42" w:rsidP="000932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AC704B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 xml:space="preserve">1444 </w:t>
                          </w:r>
                          <w:r w:rsidRPr="00EF0360"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  <w:t>ΛΕΥΚΩΣΙΑ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B35A09" id="Text Box 16" o:spid="_x0000_s1028" type="#_x0000_t202" style="position:absolute;margin-left:327.5pt;margin-top:8.2pt;width:2in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" stroked="f">
              <v:textbox>
                <w:txbxContent>
                  <w:p w14:paraId="505F9DD1" w14:textId="77777777" w:rsidR="004E4F42" w:rsidRDefault="004E4F42" w:rsidP="000932CF">
                    <w:pPr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ΣΤΑΤΙΣΤΙΚΗ</w:t>
                    </w:r>
                    <w:r w:rsidRPr="00AC704B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F0360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ΥΠΗΡΕΣΙΑ</w:t>
                    </w:r>
                    <w:r w:rsidRPr="00BA5A5E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 </w:t>
                    </w:r>
                  </w:p>
                  <w:p w14:paraId="7F363AC1" w14:textId="77777777" w:rsidR="004E4F42" w:rsidRPr="00BA5A5E" w:rsidRDefault="004E4F42" w:rsidP="000932CF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AC704B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 xml:space="preserve">1444 </w:t>
                    </w:r>
                    <w:r w:rsidRPr="00EF0360">
                      <w:rPr>
                        <w:rFonts w:ascii="Arial" w:hAnsi="Arial" w:cs="Arial"/>
                        <w:bCs/>
                        <w:sz w:val="20"/>
                        <w:szCs w:val="20"/>
                      </w:rPr>
                      <w:t>ΛΕΥΚΩΣΙΑ</w:t>
                    </w:r>
                  </w:p>
                </w:txbxContent>
              </v:textbox>
            </v:shape>
          </w:pict>
        </mc:Fallback>
      </mc:AlternateContent>
    </w:r>
  </w:p>
  <w:p w14:paraId="788C084B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 w:rsidRPr="00AC704B">
      <w:rPr>
        <w:rFonts w:ascii="Arial" w:hAnsi="Arial" w:cs="Arial"/>
        <w:bCs/>
        <w:sz w:val="18"/>
        <w:szCs w:val="18"/>
        <w:lang w:val="en-US"/>
      </w:rPr>
      <w:t xml:space="preserve">     </w:t>
    </w:r>
    <w:r>
      <w:rPr>
        <w:rFonts w:ascii="Arial" w:hAnsi="Arial" w:cs="Arial"/>
        <w:bCs/>
        <w:sz w:val="18"/>
        <w:szCs w:val="18"/>
        <w:lang w:val="en-US"/>
      </w:rPr>
      <w:t xml:space="preserve">   </w:t>
    </w:r>
    <w:r w:rsidRPr="00EF0360">
      <w:rPr>
        <w:rFonts w:ascii="Arial" w:hAnsi="Arial" w:cs="Arial"/>
        <w:bCs/>
        <w:sz w:val="18"/>
        <w:szCs w:val="18"/>
      </w:rPr>
      <w:t>ΚΥΠΡΙΑΚΗ ΔΗΜΟΚΡΑΤΙΑ</w:t>
    </w:r>
    <w:r w:rsidRPr="00AC704B">
      <w:rPr>
        <w:b/>
        <w:bCs/>
        <w:sz w:val="20"/>
        <w:szCs w:val="20"/>
        <w:lang w:val="en-US"/>
      </w:rPr>
      <w:t xml:space="preserve"> </w:t>
    </w:r>
    <w:r w:rsidRPr="00AC704B">
      <w:rPr>
        <w:b/>
        <w:bCs/>
        <w:sz w:val="20"/>
        <w:szCs w:val="20"/>
        <w:lang w:val="en-US"/>
      </w:rPr>
      <w:tab/>
    </w:r>
  </w:p>
  <w:p w14:paraId="2F272394" w14:textId="77777777" w:rsidR="004E4F42" w:rsidRPr="00AC704B" w:rsidRDefault="004E4F42" w:rsidP="000932CF">
    <w:pPr>
      <w:pStyle w:val="Header"/>
      <w:tabs>
        <w:tab w:val="clear" w:pos="4153"/>
        <w:tab w:val="center" w:pos="1620"/>
        <w:tab w:val="left" w:pos="2160"/>
        <w:tab w:val="center" w:pos="7655"/>
      </w:tabs>
      <w:spacing w:line="360" w:lineRule="auto"/>
      <w:rPr>
        <w:rFonts w:ascii="Arial" w:hAnsi="Arial" w:cs="Arial"/>
        <w:bCs/>
        <w:sz w:val="20"/>
        <w:szCs w:val="20"/>
        <w:lang w:val="en-US"/>
      </w:rPr>
    </w:pPr>
    <w:r>
      <w:rPr>
        <w:rFonts w:ascii="Arial" w:hAnsi="Arial" w:cs="Arial"/>
        <w:b/>
        <w:bCs/>
        <w:sz w:val="20"/>
        <w:szCs w:val="20"/>
        <w:lang w:val="en-US"/>
      </w:rPr>
      <w:t xml:space="preserve">  </w:t>
    </w:r>
    <w:r w:rsidRPr="00164B2B">
      <w:rPr>
        <w:rFonts w:ascii="Arial" w:hAnsi="Arial" w:cs="Arial"/>
        <w:b/>
        <w:bCs/>
        <w:sz w:val="20"/>
        <w:szCs w:val="20"/>
      </w:rPr>
      <w:t>ΥΠΟΥΡΓΕΙΟ ΟΙΚΟΝΟΜΙΚΩΝ</w:t>
    </w:r>
    <w:r w:rsidRPr="00AC704B">
      <w:rPr>
        <w:rFonts w:ascii="Arial" w:hAnsi="Arial" w:cs="Arial"/>
        <w:b/>
        <w:bCs/>
        <w:sz w:val="22"/>
        <w:szCs w:val="22"/>
        <w:lang w:val="en-US"/>
      </w:rPr>
      <w:tab/>
    </w:r>
    <w:r w:rsidRPr="00AC704B">
      <w:rPr>
        <w:b/>
        <w:bCs/>
        <w:sz w:val="22"/>
        <w:szCs w:val="22"/>
        <w:lang w:val="en-US"/>
      </w:rPr>
      <w:tab/>
    </w:r>
  </w:p>
  <w:p w14:paraId="0B8CA1D6" w14:textId="77777777" w:rsidR="004E4F42" w:rsidRDefault="004E4F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06B1A"/>
    <w:multiLevelType w:val="hybridMultilevel"/>
    <w:tmpl w:val="2478907C"/>
    <w:lvl w:ilvl="0" w:tplc="FFFFFFFF">
      <w:start w:val="1"/>
      <w:numFmt w:val="bullet"/>
      <w:lvlText w:val=""/>
      <w:lvlJc w:val="left"/>
      <w:pPr>
        <w:tabs>
          <w:tab w:val="num" w:pos="1154"/>
        </w:tabs>
        <w:ind w:left="1134" w:hanging="34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C00"/>
    <w:multiLevelType w:val="hybridMultilevel"/>
    <w:tmpl w:val="88B86D20"/>
    <w:lvl w:ilvl="0" w:tplc="73D0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446E9"/>
    <w:multiLevelType w:val="hybridMultilevel"/>
    <w:tmpl w:val="5C92E50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5D84204"/>
    <w:multiLevelType w:val="hybridMultilevel"/>
    <w:tmpl w:val="E98ACF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A0ACC"/>
    <w:multiLevelType w:val="hybridMultilevel"/>
    <w:tmpl w:val="CC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93858"/>
    <w:multiLevelType w:val="hybridMultilevel"/>
    <w:tmpl w:val="5FE65C88"/>
    <w:lvl w:ilvl="0" w:tplc="D786DB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4D102E"/>
    <w:multiLevelType w:val="hybridMultilevel"/>
    <w:tmpl w:val="9C747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19554438">
    <w:abstractNumId w:val="5"/>
  </w:num>
  <w:num w:numId="2" w16cid:durableId="894270092">
    <w:abstractNumId w:val="1"/>
  </w:num>
  <w:num w:numId="3" w16cid:durableId="593363562">
    <w:abstractNumId w:val="2"/>
  </w:num>
  <w:num w:numId="4" w16cid:durableId="1130973206">
    <w:abstractNumId w:val="4"/>
  </w:num>
  <w:num w:numId="5" w16cid:durableId="994458099">
    <w:abstractNumId w:val="0"/>
  </w:num>
  <w:num w:numId="6" w16cid:durableId="1395081476">
    <w:abstractNumId w:val="6"/>
  </w:num>
  <w:num w:numId="7" w16cid:durableId="2403394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98F"/>
    <w:rsid w:val="00002458"/>
    <w:rsid w:val="0000542E"/>
    <w:rsid w:val="00013E40"/>
    <w:rsid w:val="000161B1"/>
    <w:rsid w:val="00025A39"/>
    <w:rsid w:val="00027853"/>
    <w:rsid w:val="00030E18"/>
    <w:rsid w:val="00031D32"/>
    <w:rsid w:val="0003603D"/>
    <w:rsid w:val="00045088"/>
    <w:rsid w:val="00045A06"/>
    <w:rsid w:val="00050391"/>
    <w:rsid w:val="00055291"/>
    <w:rsid w:val="000563D3"/>
    <w:rsid w:val="00057E44"/>
    <w:rsid w:val="00061299"/>
    <w:rsid w:val="00070576"/>
    <w:rsid w:val="000752BB"/>
    <w:rsid w:val="00081ADF"/>
    <w:rsid w:val="00084A02"/>
    <w:rsid w:val="00084BF7"/>
    <w:rsid w:val="000870E9"/>
    <w:rsid w:val="000932CF"/>
    <w:rsid w:val="00096ED8"/>
    <w:rsid w:val="000A1A88"/>
    <w:rsid w:val="000A2B5C"/>
    <w:rsid w:val="000A3601"/>
    <w:rsid w:val="000A6FA8"/>
    <w:rsid w:val="000C1070"/>
    <w:rsid w:val="000C4E72"/>
    <w:rsid w:val="000D1E7A"/>
    <w:rsid w:val="000E24B1"/>
    <w:rsid w:val="000E2735"/>
    <w:rsid w:val="000E2A1D"/>
    <w:rsid w:val="000E32D6"/>
    <w:rsid w:val="000E4CB0"/>
    <w:rsid w:val="000E57F2"/>
    <w:rsid w:val="000E72A7"/>
    <w:rsid w:val="000F1162"/>
    <w:rsid w:val="000F3467"/>
    <w:rsid w:val="000F38DE"/>
    <w:rsid w:val="000F532A"/>
    <w:rsid w:val="000F5D6C"/>
    <w:rsid w:val="00106852"/>
    <w:rsid w:val="00110F9D"/>
    <w:rsid w:val="00114A67"/>
    <w:rsid w:val="001253B6"/>
    <w:rsid w:val="001262C3"/>
    <w:rsid w:val="00127320"/>
    <w:rsid w:val="00127456"/>
    <w:rsid w:val="001312D8"/>
    <w:rsid w:val="0013137B"/>
    <w:rsid w:val="0015118B"/>
    <w:rsid w:val="001519CE"/>
    <w:rsid w:val="00157D16"/>
    <w:rsid w:val="00161CF3"/>
    <w:rsid w:val="00162C00"/>
    <w:rsid w:val="001639EF"/>
    <w:rsid w:val="0016589F"/>
    <w:rsid w:val="001712CF"/>
    <w:rsid w:val="0017769A"/>
    <w:rsid w:val="00183DFC"/>
    <w:rsid w:val="00184384"/>
    <w:rsid w:val="00186717"/>
    <w:rsid w:val="00187784"/>
    <w:rsid w:val="00187FFC"/>
    <w:rsid w:val="0019391C"/>
    <w:rsid w:val="001A2018"/>
    <w:rsid w:val="001B2C39"/>
    <w:rsid w:val="001B3675"/>
    <w:rsid w:val="001B5E10"/>
    <w:rsid w:val="001B6AB3"/>
    <w:rsid w:val="001B73D5"/>
    <w:rsid w:val="001C0681"/>
    <w:rsid w:val="001C62B3"/>
    <w:rsid w:val="001C7C8C"/>
    <w:rsid w:val="001D0D6A"/>
    <w:rsid w:val="001D20A4"/>
    <w:rsid w:val="001E00D1"/>
    <w:rsid w:val="001E0E58"/>
    <w:rsid w:val="001E14F3"/>
    <w:rsid w:val="001E15ED"/>
    <w:rsid w:val="001E47E3"/>
    <w:rsid w:val="001E61AA"/>
    <w:rsid w:val="0020309E"/>
    <w:rsid w:val="00210B58"/>
    <w:rsid w:val="00222423"/>
    <w:rsid w:val="00225B28"/>
    <w:rsid w:val="00225F10"/>
    <w:rsid w:val="00226891"/>
    <w:rsid w:val="00230D9B"/>
    <w:rsid w:val="002313AC"/>
    <w:rsid w:val="00235FB2"/>
    <w:rsid w:val="00237BC1"/>
    <w:rsid w:val="002430B4"/>
    <w:rsid w:val="002447D0"/>
    <w:rsid w:val="002454C5"/>
    <w:rsid w:val="00245E19"/>
    <w:rsid w:val="00246AEB"/>
    <w:rsid w:val="00250005"/>
    <w:rsid w:val="0025254F"/>
    <w:rsid w:val="0025566D"/>
    <w:rsid w:val="0025595C"/>
    <w:rsid w:val="00257149"/>
    <w:rsid w:val="002576E7"/>
    <w:rsid w:val="00260357"/>
    <w:rsid w:val="00264F04"/>
    <w:rsid w:val="00267554"/>
    <w:rsid w:val="0028338F"/>
    <w:rsid w:val="002915C4"/>
    <w:rsid w:val="00297E6B"/>
    <w:rsid w:val="002A15E3"/>
    <w:rsid w:val="002A1D1C"/>
    <w:rsid w:val="002A4D64"/>
    <w:rsid w:val="002B4969"/>
    <w:rsid w:val="002B6554"/>
    <w:rsid w:val="002D05F0"/>
    <w:rsid w:val="002D2829"/>
    <w:rsid w:val="002D7D4A"/>
    <w:rsid w:val="002E3846"/>
    <w:rsid w:val="002E3F78"/>
    <w:rsid w:val="002F19A8"/>
    <w:rsid w:val="002F400C"/>
    <w:rsid w:val="002F4D76"/>
    <w:rsid w:val="002F6D26"/>
    <w:rsid w:val="0030231E"/>
    <w:rsid w:val="003042C4"/>
    <w:rsid w:val="00304CB4"/>
    <w:rsid w:val="00313F37"/>
    <w:rsid w:val="003141D0"/>
    <w:rsid w:val="003168C1"/>
    <w:rsid w:val="00322FBE"/>
    <w:rsid w:val="00325632"/>
    <w:rsid w:val="00327549"/>
    <w:rsid w:val="003313A9"/>
    <w:rsid w:val="003342A5"/>
    <w:rsid w:val="00334616"/>
    <w:rsid w:val="00336C36"/>
    <w:rsid w:val="00343815"/>
    <w:rsid w:val="003522BB"/>
    <w:rsid w:val="00352F6C"/>
    <w:rsid w:val="003556EA"/>
    <w:rsid w:val="00386FC7"/>
    <w:rsid w:val="00390A32"/>
    <w:rsid w:val="003A1E91"/>
    <w:rsid w:val="003A40F2"/>
    <w:rsid w:val="003A50D1"/>
    <w:rsid w:val="003B196D"/>
    <w:rsid w:val="003B2710"/>
    <w:rsid w:val="003B4608"/>
    <w:rsid w:val="003C2392"/>
    <w:rsid w:val="003C5174"/>
    <w:rsid w:val="003C5240"/>
    <w:rsid w:val="003C76E6"/>
    <w:rsid w:val="003D14E0"/>
    <w:rsid w:val="003D1EA5"/>
    <w:rsid w:val="003D3348"/>
    <w:rsid w:val="003D4E63"/>
    <w:rsid w:val="003D6822"/>
    <w:rsid w:val="003D724C"/>
    <w:rsid w:val="003E0CE2"/>
    <w:rsid w:val="003F49E4"/>
    <w:rsid w:val="003F4D2F"/>
    <w:rsid w:val="003F5E32"/>
    <w:rsid w:val="003F75F6"/>
    <w:rsid w:val="00404670"/>
    <w:rsid w:val="00414CA0"/>
    <w:rsid w:val="00422F54"/>
    <w:rsid w:val="00431516"/>
    <w:rsid w:val="004361B3"/>
    <w:rsid w:val="0044249D"/>
    <w:rsid w:val="0044379F"/>
    <w:rsid w:val="00443F6D"/>
    <w:rsid w:val="00444FCC"/>
    <w:rsid w:val="00446FB1"/>
    <w:rsid w:val="0044744D"/>
    <w:rsid w:val="00452753"/>
    <w:rsid w:val="00454B95"/>
    <w:rsid w:val="0046078F"/>
    <w:rsid w:val="00463214"/>
    <w:rsid w:val="0046434D"/>
    <w:rsid w:val="004656FA"/>
    <w:rsid w:val="00471D77"/>
    <w:rsid w:val="00475587"/>
    <w:rsid w:val="00480BC2"/>
    <w:rsid w:val="004845C3"/>
    <w:rsid w:val="004929C2"/>
    <w:rsid w:val="00493FDD"/>
    <w:rsid w:val="0049586B"/>
    <w:rsid w:val="004A3E44"/>
    <w:rsid w:val="004B2018"/>
    <w:rsid w:val="004B2896"/>
    <w:rsid w:val="004B38E9"/>
    <w:rsid w:val="004B3FBA"/>
    <w:rsid w:val="004B6599"/>
    <w:rsid w:val="004C6CA7"/>
    <w:rsid w:val="004D4357"/>
    <w:rsid w:val="004D4950"/>
    <w:rsid w:val="004E2393"/>
    <w:rsid w:val="004E3745"/>
    <w:rsid w:val="004E42BE"/>
    <w:rsid w:val="004E4F42"/>
    <w:rsid w:val="004E63D5"/>
    <w:rsid w:val="004F03FD"/>
    <w:rsid w:val="004F52F0"/>
    <w:rsid w:val="004F6250"/>
    <w:rsid w:val="004F677C"/>
    <w:rsid w:val="004F6D8F"/>
    <w:rsid w:val="00505503"/>
    <w:rsid w:val="0051107B"/>
    <w:rsid w:val="00511FC2"/>
    <w:rsid w:val="00512F9C"/>
    <w:rsid w:val="00527CDB"/>
    <w:rsid w:val="005341C9"/>
    <w:rsid w:val="005369CA"/>
    <w:rsid w:val="00536DE9"/>
    <w:rsid w:val="00541E08"/>
    <w:rsid w:val="00554FE0"/>
    <w:rsid w:val="0055789A"/>
    <w:rsid w:val="00560952"/>
    <w:rsid w:val="005652D1"/>
    <w:rsid w:val="005660A0"/>
    <w:rsid w:val="00566A4F"/>
    <w:rsid w:val="00567D64"/>
    <w:rsid w:val="005978D4"/>
    <w:rsid w:val="005A23FA"/>
    <w:rsid w:val="005B2A67"/>
    <w:rsid w:val="005B3DCD"/>
    <w:rsid w:val="005B4AD4"/>
    <w:rsid w:val="005C2798"/>
    <w:rsid w:val="005C36C3"/>
    <w:rsid w:val="005C56EE"/>
    <w:rsid w:val="005C59FD"/>
    <w:rsid w:val="005D1714"/>
    <w:rsid w:val="005D656F"/>
    <w:rsid w:val="005D7638"/>
    <w:rsid w:val="005F12F5"/>
    <w:rsid w:val="005F7C7D"/>
    <w:rsid w:val="006044B7"/>
    <w:rsid w:val="006049BE"/>
    <w:rsid w:val="006071CE"/>
    <w:rsid w:val="006075B5"/>
    <w:rsid w:val="0061018C"/>
    <w:rsid w:val="0061094E"/>
    <w:rsid w:val="00613440"/>
    <w:rsid w:val="00613BE3"/>
    <w:rsid w:val="0062327B"/>
    <w:rsid w:val="00632777"/>
    <w:rsid w:val="00633750"/>
    <w:rsid w:val="00634491"/>
    <w:rsid w:val="0063679C"/>
    <w:rsid w:val="00637055"/>
    <w:rsid w:val="00641D59"/>
    <w:rsid w:val="00644507"/>
    <w:rsid w:val="0064531A"/>
    <w:rsid w:val="00646880"/>
    <w:rsid w:val="00647D2A"/>
    <w:rsid w:val="006537BB"/>
    <w:rsid w:val="0065643E"/>
    <w:rsid w:val="00666DA4"/>
    <w:rsid w:val="00667E07"/>
    <w:rsid w:val="00671785"/>
    <w:rsid w:val="00672BA9"/>
    <w:rsid w:val="00673005"/>
    <w:rsid w:val="006804BE"/>
    <w:rsid w:val="0068434A"/>
    <w:rsid w:val="0069008E"/>
    <w:rsid w:val="0069087E"/>
    <w:rsid w:val="006920FB"/>
    <w:rsid w:val="006925C4"/>
    <w:rsid w:val="006A02B7"/>
    <w:rsid w:val="006A7019"/>
    <w:rsid w:val="006B46D5"/>
    <w:rsid w:val="006B46F4"/>
    <w:rsid w:val="006C040A"/>
    <w:rsid w:val="006C48D3"/>
    <w:rsid w:val="006C7AF3"/>
    <w:rsid w:val="006D0B9D"/>
    <w:rsid w:val="006D6548"/>
    <w:rsid w:val="006E0E20"/>
    <w:rsid w:val="006E4256"/>
    <w:rsid w:val="006E4BBA"/>
    <w:rsid w:val="006E5F43"/>
    <w:rsid w:val="006E60A6"/>
    <w:rsid w:val="006F0F69"/>
    <w:rsid w:val="006F116B"/>
    <w:rsid w:val="006F117F"/>
    <w:rsid w:val="006F13DF"/>
    <w:rsid w:val="006F2780"/>
    <w:rsid w:val="00702F26"/>
    <w:rsid w:val="0070313E"/>
    <w:rsid w:val="00703799"/>
    <w:rsid w:val="00705C5C"/>
    <w:rsid w:val="00711475"/>
    <w:rsid w:val="0072548A"/>
    <w:rsid w:val="007277A6"/>
    <w:rsid w:val="007437AB"/>
    <w:rsid w:val="00745425"/>
    <w:rsid w:val="007534F8"/>
    <w:rsid w:val="007545AD"/>
    <w:rsid w:val="00763722"/>
    <w:rsid w:val="00764BC1"/>
    <w:rsid w:val="00770869"/>
    <w:rsid w:val="007738AA"/>
    <w:rsid w:val="00780A62"/>
    <w:rsid w:val="00783241"/>
    <w:rsid w:val="00784BDC"/>
    <w:rsid w:val="00792F28"/>
    <w:rsid w:val="007935CA"/>
    <w:rsid w:val="0079543F"/>
    <w:rsid w:val="00795880"/>
    <w:rsid w:val="007A4367"/>
    <w:rsid w:val="007B0867"/>
    <w:rsid w:val="007B1AC1"/>
    <w:rsid w:val="007B5A08"/>
    <w:rsid w:val="007B693D"/>
    <w:rsid w:val="007C4CDC"/>
    <w:rsid w:val="007D6CB6"/>
    <w:rsid w:val="007E041B"/>
    <w:rsid w:val="007E199A"/>
    <w:rsid w:val="007E1AED"/>
    <w:rsid w:val="007E2415"/>
    <w:rsid w:val="007E39F3"/>
    <w:rsid w:val="007E405E"/>
    <w:rsid w:val="007E68F4"/>
    <w:rsid w:val="007E6DE2"/>
    <w:rsid w:val="007F31BA"/>
    <w:rsid w:val="007F4078"/>
    <w:rsid w:val="0080014B"/>
    <w:rsid w:val="00801793"/>
    <w:rsid w:val="00803642"/>
    <w:rsid w:val="00806EA2"/>
    <w:rsid w:val="00812A2B"/>
    <w:rsid w:val="00814A4C"/>
    <w:rsid w:val="00831AAB"/>
    <w:rsid w:val="00833BCD"/>
    <w:rsid w:val="00834B82"/>
    <w:rsid w:val="0083574E"/>
    <w:rsid w:val="0083640C"/>
    <w:rsid w:val="008374E3"/>
    <w:rsid w:val="0084157B"/>
    <w:rsid w:val="00842BFB"/>
    <w:rsid w:val="00846B85"/>
    <w:rsid w:val="00847DC3"/>
    <w:rsid w:val="00847F49"/>
    <w:rsid w:val="008535C5"/>
    <w:rsid w:val="00853765"/>
    <w:rsid w:val="0085516F"/>
    <w:rsid w:val="00867186"/>
    <w:rsid w:val="00870AF6"/>
    <w:rsid w:val="00877452"/>
    <w:rsid w:val="00881268"/>
    <w:rsid w:val="0088394A"/>
    <w:rsid w:val="008860BD"/>
    <w:rsid w:val="00887399"/>
    <w:rsid w:val="0088779E"/>
    <w:rsid w:val="008909ED"/>
    <w:rsid w:val="008912AF"/>
    <w:rsid w:val="00892114"/>
    <w:rsid w:val="00892CB9"/>
    <w:rsid w:val="008935CB"/>
    <w:rsid w:val="008B0E7E"/>
    <w:rsid w:val="008B65BD"/>
    <w:rsid w:val="008B7900"/>
    <w:rsid w:val="008C71BF"/>
    <w:rsid w:val="008C7FE0"/>
    <w:rsid w:val="008D5717"/>
    <w:rsid w:val="008E44A9"/>
    <w:rsid w:val="008E6B4D"/>
    <w:rsid w:val="008E6BFF"/>
    <w:rsid w:val="008F21AF"/>
    <w:rsid w:val="008F2400"/>
    <w:rsid w:val="008F61BA"/>
    <w:rsid w:val="008F6E3C"/>
    <w:rsid w:val="008F7C55"/>
    <w:rsid w:val="00910F25"/>
    <w:rsid w:val="00914A23"/>
    <w:rsid w:val="009158C4"/>
    <w:rsid w:val="00930754"/>
    <w:rsid w:val="00934F68"/>
    <w:rsid w:val="009355AC"/>
    <w:rsid w:val="00935F38"/>
    <w:rsid w:val="00937586"/>
    <w:rsid w:val="00947889"/>
    <w:rsid w:val="009478BD"/>
    <w:rsid w:val="00960E98"/>
    <w:rsid w:val="00963A82"/>
    <w:rsid w:val="00972912"/>
    <w:rsid w:val="00976D1F"/>
    <w:rsid w:val="00981C81"/>
    <w:rsid w:val="009A2D24"/>
    <w:rsid w:val="009A456C"/>
    <w:rsid w:val="009B00E0"/>
    <w:rsid w:val="009B292A"/>
    <w:rsid w:val="009B76D5"/>
    <w:rsid w:val="009C165D"/>
    <w:rsid w:val="009C3CEA"/>
    <w:rsid w:val="009C583D"/>
    <w:rsid w:val="009D2611"/>
    <w:rsid w:val="009D79D2"/>
    <w:rsid w:val="009E247C"/>
    <w:rsid w:val="009E31BA"/>
    <w:rsid w:val="009F0528"/>
    <w:rsid w:val="009F0806"/>
    <w:rsid w:val="009F233B"/>
    <w:rsid w:val="00A05D16"/>
    <w:rsid w:val="00A0659F"/>
    <w:rsid w:val="00A079BA"/>
    <w:rsid w:val="00A14E8C"/>
    <w:rsid w:val="00A20C70"/>
    <w:rsid w:val="00A33875"/>
    <w:rsid w:val="00A360A1"/>
    <w:rsid w:val="00A402B3"/>
    <w:rsid w:val="00A544B7"/>
    <w:rsid w:val="00A618CF"/>
    <w:rsid w:val="00A62770"/>
    <w:rsid w:val="00A62EEB"/>
    <w:rsid w:val="00A63B75"/>
    <w:rsid w:val="00A660FF"/>
    <w:rsid w:val="00A73395"/>
    <w:rsid w:val="00A771E3"/>
    <w:rsid w:val="00A82B4C"/>
    <w:rsid w:val="00A93A4C"/>
    <w:rsid w:val="00A94D5D"/>
    <w:rsid w:val="00AA1D9B"/>
    <w:rsid w:val="00AA2543"/>
    <w:rsid w:val="00AA3804"/>
    <w:rsid w:val="00AA55C2"/>
    <w:rsid w:val="00AB0ACA"/>
    <w:rsid w:val="00AB1878"/>
    <w:rsid w:val="00AB1D41"/>
    <w:rsid w:val="00AC5E9A"/>
    <w:rsid w:val="00AC704B"/>
    <w:rsid w:val="00AD553E"/>
    <w:rsid w:val="00AD5848"/>
    <w:rsid w:val="00AE5ADA"/>
    <w:rsid w:val="00AF6145"/>
    <w:rsid w:val="00B01386"/>
    <w:rsid w:val="00B01915"/>
    <w:rsid w:val="00B01BB5"/>
    <w:rsid w:val="00B026CC"/>
    <w:rsid w:val="00B04AF4"/>
    <w:rsid w:val="00B05214"/>
    <w:rsid w:val="00B30D97"/>
    <w:rsid w:val="00B31074"/>
    <w:rsid w:val="00B3181A"/>
    <w:rsid w:val="00B35A7C"/>
    <w:rsid w:val="00B44ECD"/>
    <w:rsid w:val="00B450D1"/>
    <w:rsid w:val="00B53D47"/>
    <w:rsid w:val="00B54A25"/>
    <w:rsid w:val="00B618C3"/>
    <w:rsid w:val="00B63652"/>
    <w:rsid w:val="00B668B0"/>
    <w:rsid w:val="00B70F5C"/>
    <w:rsid w:val="00B71873"/>
    <w:rsid w:val="00B75AE5"/>
    <w:rsid w:val="00B800C0"/>
    <w:rsid w:val="00B8132B"/>
    <w:rsid w:val="00B84C5A"/>
    <w:rsid w:val="00B858F5"/>
    <w:rsid w:val="00B93668"/>
    <w:rsid w:val="00BA68C6"/>
    <w:rsid w:val="00BB12F1"/>
    <w:rsid w:val="00BB276E"/>
    <w:rsid w:val="00BB3FEE"/>
    <w:rsid w:val="00BB5EB0"/>
    <w:rsid w:val="00BC245A"/>
    <w:rsid w:val="00BD16FA"/>
    <w:rsid w:val="00BD41C3"/>
    <w:rsid w:val="00BD488B"/>
    <w:rsid w:val="00BD7CCC"/>
    <w:rsid w:val="00BE002A"/>
    <w:rsid w:val="00BE0283"/>
    <w:rsid w:val="00BE1BC9"/>
    <w:rsid w:val="00BE2EB6"/>
    <w:rsid w:val="00BE5CDA"/>
    <w:rsid w:val="00BE608F"/>
    <w:rsid w:val="00BF23BB"/>
    <w:rsid w:val="00BF33DD"/>
    <w:rsid w:val="00BF5755"/>
    <w:rsid w:val="00BF684B"/>
    <w:rsid w:val="00C016F3"/>
    <w:rsid w:val="00C15193"/>
    <w:rsid w:val="00C15609"/>
    <w:rsid w:val="00C15F6A"/>
    <w:rsid w:val="00C23EA7"/>
    <w:rsid w:val="00C256F3"/>
    <w:rsid w:val="00C270A2"/>
    <w:rsid w:val="00C315B5"/>
    <w:rsid w:val="00C35E28"/>
    <w:rsid w:val="00C426AF"/>
    <w:rsid w:val="00C469C1"/>
    <w:rsid w:val="00C50659"/>
    <w:rsid w:val="00C51B39"/>
    <w:rsid w:val="00C5338A"/>
    <w:rsid w:val="00C54EF9"/>
    <w:rsid w:val="00C56BBF"/>
    <w:rsid w:val="00C572AA"/>
    <w:rsid w:val="00C57A9A"/>
    <w:rsid w:val="00C6016A"/>
    <w:rsid w:val="00C60B3F"/>
    <w:rsid w:val="00C623EB"/>
    <w:rsid w:val="00C64C6B"/>
    <w:rsid w:val="00C66F2E"/>
    <w:rsid w:val="00C6785C"/>
    <w:rsid w:val="00C70FD1"/>
    <w:rsid w:val="00C72B76"/>
    <w:rsid w:val="00C733AA"/>
    <w:rsid w:val="00C83027"/>
    <w:rsid w:val="00C84B8A"/>
    <w:rsid w:val="00C85E65"/>
    <w:rsid w:val="00C87CA1"/>
    <w:rsid w:val="00C911B4"/>
    <w:rsid w:val="00C91B3B"/>
    <w:rsid w:val="00C94262"/>
    <w:rsid w:val="00C976E1"/>
    <w:rsid w:val="00CA148E"/>
    <w:rsid w:val="00CA3A9A"/>
    <w:rsid w:val="00CA7F2E"/>
    <w:rsid w:val="00CB6BC1"/>
    <w:rsid w:val="00CB7021"/>
    <w:rsid w:val="00CD3294"/>
    <w:rsid w:val="00CD4524"/>
    <w:rsid w:val="00CD784D"/>
    <w:rsid w:val="00CF3A1C"/>
    <w:rsid w:val="00CF40F8"/>
    <w:rsid w:val="00D008DA"/>
    <w:rsid w:val="00D01570"/>
    <w:rsid w:val="00D0416F"/>
    <w:rsid w:val="00D05851"/>
    <w:rsid w:val="00D10FED"/>
    <w:rsid w:val="00D11736"/>
    <w:rsid w:val="00D12EE8"/>
    <w:rsid w:val="00D14CDF"/>
    <w:rsid w:val="00D15FF1"/>
    <w:rsid w:val="00D167F4"/>
    <w:rsid w:val="00D2092A"/>
    <w:rsid w:val="00D2216D"/>
    <w:rsid w:val="00D31A6F"/>
    <w:rsid w:val="00D353D1"/>
    <w:rsid w:val="00D367DB"/>
    <w:rsid w:val="00D36E05"/>
    <w:rsid w:val="00D44F27"/>
    <w:rsid w:val="00D45304"/>
    <w:rsid w:val="00D46165"/>
    <w:rsid w:val="00D461C7"/>
    <w:rsid w:val="00D50424"/>
    <w:rsid w:val="00D525C9"/>
    <w:rsid w:val="00D53540"/>
    <w:rsid w:val="00D57D3E"/>
    <w:rsid w:val="00D61574"/>
    <w:rsid w:val="00D76249"/>
    <w:rsid w:val="00DA7D12"/>
    <w:rsid w:val="00DB0EE3"/>
    <w:rsid w:val="00DB60DC"/>
    <w:rsid w:val="00DC23CF"/>
    <w:rsid w:val="00DC6562"/>
    <w:rsid w:val="00DE130D"/>
    <w:rsid w:val="00DE24CF"/>
    <w:rsid w:val="00DE407C"/>
    <w:rsid w:val="00DE4DBF"/>
    <w:rsid w:val="00DE7C7D"/>
    <w:rsid w:val="00DF2992"/>
    <w:rsid w:val="00DF2D0C"/>
    <w:rsid w:val="00E00058"/>
    <w:rsid w:val="00E0120C"/>
    <w:rsid w:val="00E01B9D"/>
    <w:rsid w:val="00E0468F"/>
    <w:rsid w:val="00E04F5E"/>
    <w:rsid w:val="00E0522E"/>
    <w:rsid w:val="00E068C8"/>
    <w:rsid w:val="00E120F4"/>
    <w:rsid w:val="00E17172"/>
    <w:rsid w:val="00E178A7"/>
    <w:rsid w:val="00E3181C"/>
    <w:rsid w:val="00E3280A"/>
    <w:rsid w:val="00E355A5"/>
    <w:rsid w:val="00E372AF"/>
    <w:rsid w:val="00E37D68"/>
    <w:rsid w:val="00E40EAE"/>
    <w:rsid w:val="00E436AC"/>
    <w:rsid w:val="00E44F7A"/>
    <w:rsid w:val="00E44FF8"/>
    <w:rsid w:val="00E5066A"/>
    <w:rsid w:val="00E50F76"/>
    <w:rsid w:val="00E52CF9"/>
    <w:rsid w:val="00E63F34"/>
    <w:rsid w:val="00E63FEA"/>
    <w:rsid w:val="00E6715A"/>
    <w:rsid w:val="00E75DC9"/>
    <w:rsid w:val="00E81610"/>
    <w:rsid w:val="00E84910"/>
    <w:rsid w:val="00E85B28"/>
    <w:rsid w:val="00E91976"/>
    <w:rsid w:val="00E947A6"/>
    <w:rsid w:val="00E97FC7"/>
    <w:rsid w:val="00EA0690"/>
    <w:rsid w:val="00EA3956"/>
    <w:rsid w:val="00EA7136"/>
    <w:rsid w:val="00EB325A"/>
    <w:rsid w:val="00EB6B48"/>
    <w:rsid w:val="00EC02A5"/>
    <w:rsid w:val="00EC176B"/>
    <w:rsid w:val="00EC33CD"/>
    <w:rsid w:val="00EC5BE5"/>
    <w:rsid w:val="00ED2650"/>
    <w:rsid w:val="00ED721A"/>
    <w:rsid w:val="00EE393D"/>
    <w:rsid w:val="00EF01CF"/>
    <w:rsid w:val="00EF6A47"/>
    <w:rsid w:val="00EF7AF9"/>
    <w:rsid w:val="00F00952"/>
    <w:rsid w:val="00F01495"/>
    <w:rsid w:val="00F01730"/>
    <w:rsid w:val="00F10138"/>
    <w:rsid w:val="00F13F92"/>
    <w:rsid w:val="00F22ECA"/>
    <w:rsid w:val="00F240E8"/>
    <w:rsid w:val="00F244FA"/>
    <w:rsid w:val="00F366A2"/>
    <w:rsid w:val="00F44F43"/>
    <w:rsid w:val="00F450E1"/>
    <w:rsid w:val="00F50DF4"/>
    <w:rsid w:val="00F57AFE"/>
    <w:rsid w:val="00F6278E"/>
    <w:rsid w:val="00F63C41"/>
    <w:rsid w:val="00F63E96"/>
    <w:rsid w:val="00F701E3"/>
    <w:rsid w:val="00F71008"/>
    <w:rsid w:val="00F71F8C"/>
    <w:rsid w:val="00F86AD4"/>
    <w:rsid w:val="00FA0113"/>
    <w:rsid w:val="00FA12B2"/>
    <w:rsid w:val="00FA7610"/>
    <w:rsid w:val="00FB02BD"/>
    <w:rsid w:val="00FB398F"/>
    <w:rsid w:val="00FB4EF8"/>
    <w:rsid w:val="00FB54AE"/>
    <w:rsid w:val="00FB709A"/>
    <w:rsid w:val="00FB78DD"/>
    <w:rsid w:val="00FC3EF3"/>
    <w:rsid w:val="00FC5D35"/>
    <w:rsid w:val="00FD2049"/>
    <w:rsid w:val="00FD2140"/>
    <w:rsid w:val="00FD5B5F"/>
    <w:rsid w:val="00FD5BDE"/>
    <w:rsid w:val="00FD68EC"/>
    <w:rsid w:val="00FE24A5"/>
    <w:rsid w:val="00FE31E5"/>
    <w:rsid w:val="00FF19AD"/>
    <w:rsid w:val="00FF1EB5"/>
    <w:rsid w:val="00FF292D"/>
    <w:rsid w:val="00FF298D"/>
    <w:rsid w:val="00FF4B55"/>
    <w:rsid w:val="00FF6287"/>
    <w:rsid w:val="00FF6A74"/>
    <w:rsid w:val="00FF73FB"/>
    <w:rsid w:val="00FF7578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06004"/>
  <w15:chartTrackingRefBased/>
  <w15:docId w15:val="{3C92A706-7834-4F8D-9E56-CCFBA4D1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Y" w:eastAsia="en-C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85C"/>
    <w:rPr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463214"/>
    <w:pPr>
      <w:keepNext/>
      <w:tabs>
        <w:tab w:val="left" w:pos="6840"/>
      </w:tabs>
      <w:jc w:val="center"/>
      <w:outlineLvl w:val="5"/>
    </w:pPr>
    <w:rPr>
      <w:rFonts w:ascii="Times New Roman" w:eastAsia="Times New Roman" w:hAnsi="Times New Roman"/>
      <w:b/>
      <w:bCs/>
      <w:szCs w:val="24"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39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B398F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l-GR" w:eastAsia="el-GR"/>
    </w:rPr>
  </w:style>
  <w:style w:type="character" w:customStyle="1" w:styleId="HeaderChar">
    <w:name w:val="Header Char"/>
    <w:link w:val="Header"/>
    <w:rsid w:val="00FB398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FB39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B398F"/>
  </w:style>
  <w:style w:type="character" w:styleId="Hyperlink">
    <w:name w:val="Hyperlink"/>
    <w:rsid w:val="00B53D47"/>
    <w:rPr>
      <w:color w:val="0000FF"/>
      <w:u w:val="single"/>
    </w:rPr>
  </w:style>
  <w:style w:type="character" w:customStyle="1" w:styleId="Heading6Char">
    <w:name w:val="Heading 6 Char"/>
    <w:link w:val="Heading6"/>
    <w:rsid w:val="00463214"/>
    <w:rPr>
      <w:rFonts w:ascii="Times New Roman" w:eastAsia="Times New Roman" w:hAnsi="Times New Roman"/>
      <w:b/>
      <w:bCs/>
      <w:sz w:val="22"/>
      <w:szCs w:val="24"/>
      <w:u w:val="single"/>
      <w:lang w:eastAsia="en-US"/>
    </w:rPr>
  </w:style>
  <w:style w:type="paragraph" w:customStyle="1" w:styleId="xl35">
    <w:name w:val="xl35"/>
    <w:basedOn w:val="Normal"/>
    <w:rsid w:val="00463214"/>
    <w:pPr>
      <w:pBdr>
        <w:lef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8"/>
      <w:szCs w:val="18"/>
      <w:lang w:val="en-GB"/>
    </w:rPr>
  </w:style>
  <w:style w:type="paragraph" w:customStyle="1" w:styleId="Default">
    <w:name w:val="Default"/>
    <w:rsid w:val="005341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l-GR" w:eastAsia="el-GR"/>
    </w:rPr>
  </w:style>
  <w:style w:type="paragraph" w:customStyle="1" w:styleId="Normal13pt">
    <w:name w:val="Normal + 13 pt"/>
    <w:aliases w:val="Justified,Left:  0,95 cm"/>
    <w:basedOn w:val="Normal"/>
    <w:rsid w:val="00B30D97"/>
    <w:pPr>
      <w:spacing w:line="264" w:lineRule="auto"/>
      <w:ind w:left="540"/>
      <w:jc w:val="both"/>
    </w:pPr>
    <w:rPr>
      <w:rFonts w:ascii="Times New Roman" w:eastAsia="Times New Roman" w:hAnsi="Times New Roman"/>
      <w:b/>
      <w:sz w:val="26"/>
      <w:szCs w:val="26"/>
      <w:u w:val="single"/>
      <w:lang w:val="el-GR"/>
    </w:rPr>
  </w:style>
  <w:style w:type="character" w:styleId="CommentReference">
    <w:name w:val="annotation reference"/>
    <w:uiPriority w:val="99"/>
    <w:semiHidden/>
    <w:unhideWhenUsed/>
    <w:rsid w:val="008921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1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1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11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92114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8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8A"/>
  </w:style>
  <w:style w:type="character" w:styleId="EndnoteReference">
    <w:name w:val="endnote reference"/>
    <w:uiPriority w:val="99"/>
    <w:semiHidden/>
    <w:unhideWhenUsed/>
    <w:rsid w:val="00C84B8A"/>
    <w:rPr>
      <w:vertAlign w:val="superscript"/>
    </w:rPr>
  </w:style>
  <w:style w:type="table" w:styleId="TableGrid">
    <w:name w:val="Table Grid"/>
    <w:basedOn w:val="TableNormal"/>
    <w:uiPriority w:val="59"/>
    <w:rsid w:val="00E01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18C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76249"/>
  </w:style>
  <w:style w:type="character" w:styleId="UnresolvedMention">
    <w:name w:val="Unresolved Mention"/>
    <w:basedOn w:val="DefaultParagraphFont"/>
    <w:uiPriority w:val="99"/>
    <w:semiHidden/>
    <w:unhideWhenUsed/>
    <w:rsid w:val="00511F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D656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ystat.gov.cy/el/KeyFiguresList?s=4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cystatdb.cystat.gov.cy/pxweb/el/8.CYSTAT-DB/8.CYSTAT-DB__Information%20Society__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ystat.gov.cy/el/SubthemeStatistics?s=4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gregorioiu@cystat.mof.gov.cy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mina@cystat.mof.gov.cy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ystat.gov.cy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FECDD-D329-4CE8-8FD4-82080B2E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1572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10512</CharactersWithSpaces>
  <SharedDoc>false</SharedDoc>
  <HLinks>
    <vt:vector size="12" baseType="variant"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http://www.cystat.gov.cy/</vt:lpwstr>
      </vt:variant>
      <vt:variant>
        <vt:lpwstr/>
      </vt:variant>
      <vt:variant>
        <vt:i4>2293766</vt:i4>
      </vt:variant>
      <vt:variant>
        <vt:i4>3</vt:i4>
      </vt:variant>
      <vt:variant>
        <vt:i4>0</vt:i4>
      </vt:variant>
      <vt:variant>
        <vt:i4>5</vt:i4>
      </vt:variant>
      <vt:variant>
        <vt:lpwstr>mailto:enquiries@cystat.mof.gov.cy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Theodoulou  George</cp:lastModifiedBy>
  <cp:revision>14</cp:revision>
  <cp:lastPrinted>2016-09-28T08:22:00Z</cp:lastPrinted>
  <dcterms:created xsi:type="dcterms:W3CDTF">2022-11-23T07:55:00Z</dcterms:created>
  <dcterms:modified xsi:type="dcterms:W3CDTF">2022-12-01T09:13:00Z</dcterms:modified>
</cp:coreProperties>
</file>