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E4D2" w14:textId="77777777" w:rsidR="00936E21" w:rsidRPr="008E6362" w:rsidRDefault="00936E21" w:rsidP="00A12E81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2652F846" w14:textId="77777777" w:rsidR="00936E21" w:rsidRPr="00FB55A5" w:rsidRDefault="00936E21" w:rsidP="00A12E81">
      <w:pPr>
        <w:jc w:val="center"/>
        <w:rPr>
          <w:rFonts w:ascii="Verdana" w:eastAsia="Malgun Gothic" w:hAnsi="Verdana" w:cs="Arial"/>
          <w:sz w:val="6"/>
          <w:szCs w:val="6"/>
          <w:lang w:val="el-GR"/>
        </w:rPr>
      </w:pPr>
    </w:p>
    <w:p w14:paraId="580B60CE" w14:textId="0FDB4072" w:rsidR="00FB55A5" w:rsidRPr="008A2744" w:rsidRDefault="00EE3110" w:rsidP="009F6337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EE3C03">
        <w:rPr>
          <w:rFonts w:ascii="Verdana" w:hAnsi="Verdana" w:cs="Arial"/>
          <w:sz w:val="18"/>
          <w:szCs w:val="18"/>
          <w:lang w:val="el-GR"/>
        </w:rPr>
        <w:t>2</w:t>
      </w:r>
      <w:r w:rsidR="00B760F0" w:rsidRPr="00785684">
        <w:rPr>
          <w:rFonts w:ascii="Verdana" w:hAnsi="Verdana" w:cs="Arial"/>
          <w:sz w:val="18"/>
          <w:szCs w:val="18"/>
          <w:lang w:val="el-GR"/>
        </w:rPr>
        <w:t>9</w:t>
      </w:r>
      <w:r w:rsidR="00FB55A5">
        <w:rPr>
          <w:rFonts w:ascii="Verdana" w:hAnsi="Verdana" w:cs="Arial"/>
          <w:sz w:val="18"/>
          <w:szCs w:val="18"/>
          <w:lang w:val="el-GR"/>
        </w:rPr>
        <w:t xml:space="preserve"> </w:t>
      </w:r>
      <w:r w:rsidR="00B760F0">
        <w:rPr>
          <w:rFonts w:ascii="Verdana" w:hAnsi="Verdana" w:cs="Arial"/>
          <w:sz w:val="18"/>
          <w:szCs w:val="18"/>
          <w:lang w:val="el-GR"/>
        </w:rPr>
        <w:t>Μαΐου</w:t>
      </w:r>
      <w:r w:rsidR="00AB4C5E">
        <w:rPr>
          <w:rFonts w:ascii="Verdana" w:hAnsi="Verdana" w:cs="Arial"/>
          <w:sz w:val="18"/>
          <w:szCs w:val="18"/>
          <w:lang w:val="el-GR"/>
        </w:rPr>
        <w:t>, 202</w:t>
      </w:r>
      <w:r w:rsidR="007C1738">
        <w:rPr>
          <w:rFonts w:ascii="Verdana" w:hAnsi="Verdana" w:cs="Arial"/>
          <w:sz w:val="18"/>
          <w:szCs w:val="18"/>
          <w:lang w:val="el-GR"/>
        </w:rPr>
        <w:t>3</w:t>
      </w:r>
    </w:p>
    <w:p w14:paraId="478DB4B3" w14:textId="77777777" w:rsidR="00FB55A5" w:rsidRPr="00982D65" w:rsidRDefault="00FB55A5" w:rsidP="00FB55A5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225A0627" w14:textId="77777777" w:rsidR="00D95CBE" w:rsidRPr="00982D65" w:rsidRDefault="00D95CBE" w:rsidP="00982D65">
      <w:pPr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72AAD8D0" w14:textId="77777777" w:rsidR="00FB55A5" w:rsidRPr="00CF40F8" w:rsidRDefault="00FB55A5" w:rsidP="00FB55A5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1F4C8AD1" w14:textId="77777777" w:rsidR="00FB55A5" w:rsidRPr="00930ECB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56763317" w14:textId="4D4BDAB5" w:rsidR="00EE3110" w:rsidRPr="00EE3110" w:rsidRDefault="00FB55A5" w:rsidP="00EE3110">
      <w:pPr>
        <w:pStyle w:val="Heading6"/>
        <w:tabs>
          <w:tab w:val="clear" w:pos="6840"/>
        </w:tabs>
        <w:jc w:val="left"/>
        <w:rPr>
          <w:rFonts w:ascii="Verdana" w:hAnsi="Verdana"/>
          <w:szCs w:val="22"/>
          <w:shd w:val="clear" w:color="auto" w:fill="FFFFFF"/>
        </w:rPr>
      </w:pPr>
      <w:r w:rsidRPr="009F6337">
        <w:rPr>
          <w:rFonts w:ascii="Verdana" w:hAnsi="Verdana"/>
          <w:b w:val="0"/>
          <w:szCs w:val="22"/>
          <w:shd w:val="clear" w:color="auto" w:fill="FFFFFF"/>
        </w:rPr>
        <w:t>ΕΙΣΑΓΩΓΕΣ, ΠΩΛΗΣΕΙΣ ΚΑΙ ΑΠΟΘΕΜΑΤΑ ΠΕΤΡΕΛΑΙΟΕΙΔΩΝ:</w:t>
      </w:r>
      <w:r w:rsidRPr="009F6337">
        <w:rPr>
          <w:rFonts w:ascii="Verdana" w:hAnsi="Verdana"/>
          <w:szCs w:val="22"/>
          <w:shd w:val="clear" w:color="auto" w:fill="FFFFFF"/>
        </w:rPr>
        <w:t xml:space="preserve"> </w:t>
      </w:r>
      <w:r w:rsidR="00B760F0">
        <w:rPr>
          <w:rFonts w:ascii="Verdana" w:hAnsi="Verdana"/>
          <w:szCs w:val="22"/>
          <w:shd w:val="clear" w:color="auto" w:fill="FFFFFF"/>
        </w:rPr>
        <w:t>ΑΠΡΙΛ</w:t>
      </w:r>
      <w:r w:rsidR="007C64E6">
        <w:rPr>
          <w:rFonts w:ascii="Verdana" w:hAnsi="Verdana"/>
          <w:szCs w:val="22"/>
          <w:shd w:val="clear" w:color="auto" w:fill="FFFFFF"/>
        </w:rPr>
        <w:t>ΙΟΣ</w:t>
      </w:r>
      <w:r w:rsidRPr="009F6337">
        <w:rPr>
          <w:rFonts w:ascii="Verdana" w:hAnsi="Verdana"/>
          <w:szCs w:val="22"/>
          <w:shd w:val="clear" w:color="auto" w:fill="FFFFFF"/>
        </w:rPr>
        <w:t xml:space="preserve"> 202</w:t>
      </w:r>
      <w:r w:rsidR="00EE3110">
        <w:rPr>
          <w:rFonts w:ascii="Verdana" w:hAnsi="Verdana"/>
          <w:szCs w:val="22"/>
          <w:shd w:val="clear" w:color="auto" w:fill="FFFFFF"/>
        </w:rPr>
        <w:t>3</w:t>
      </w:r>
    </w:p>
    <w:p w14:paraId="0F92D7EB" w14:textId="77777777" w:rsidR="00FB55A5" w:rsidRPr="009F6337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0F720EB1" w14:textId="3A6E9BCD" w:rsidR="009F6337" w:rsidRPr="009F6337" w:rsidRDefault="009F6337" w:rsidP="009F6337">
      <w:pPr>
        <w:jc w:val="center"/>
        <w:rPr>
          <w:rFonts w:ascii="Verdana" w:eastAsia="Malgun Gothic" w:hAnsi="Verdana" w:cs="Arial"/>
          <w:b/>
          <w:bCs/>
          <w:lang w:val="el-GR"/>
        </w:rPr>
      </w:pPr>
      <w:r w:rsidRPr="009F6337">
        <w:rPr>
          <w:rFonts w:ascii="Verdana" w:eastAsia="Malgun Gothic" w:hAnsi="Verdana" w:cs="Arial"/>
          <w:b/>
          <w:bCs/>
          <w:lang w:val="el-GR"/>
        </w:rPr>
        <w:t>Ετήσια Μεταβολή στις Πωλήσεις -</w:t>
      </w:r>
      <w:r w:rsidR="00B760F0">
        <w:rPr>
          <w:rFonts w:ascii="Verdana" w:eastAsia="Malgun Gothic" w:hAnsi="Verdana" w:cs="Arial"/>
          <w:b/>
          <w:bCs/>
          <w:lang w:val="el-GR"/>
        </w:rPr>
        <w:t>5</w:t>
      </w:r>
      <w:r w:rsidRPr="009F6337">
        <w:rPr>
          <w:rFonts w:ascii="Verdana" w:eastAsia="Malgun Gothic" w:hAnsi="Verdana" w:cs="Arial"/>
          <w:b/>
          <w:bCs/>
          <w:lang w:val="el-GR"/>
        </w:rPr>
        <w:t>,</w:t>
      </w:r>
      <w:r w:rsidR="00B760F0">
        <w:rPr>
          <w:rFonts w:ascii="Verdana" w:eastAsia="Malgun Gothic" w:hAnsi="Verdana" w:cs="Arial"/>
          <w:b/>
          <w:bCs/>
          <w:lang w:val="el-GR"/>
        </w:rPr>
        <w:t>2</w:t>
      </w:r>
      <w:r w:rsidRPr="009F6337">
        <w:rPr>
          <w:rFonts w:ascii="Verdana" w:eastAsia="Malgun Gothic" w:hAnsi="Verdana" w:cs="Arial"/>
          <w:b/>
          <w:bCs/>
          <w:lang w:val="el-GR"/>
        </w:rPr>
        <w:t>%</w:t>
      </w:r>
    </w:p>
    <w:p w14:paraId="25AA583F" w14:textId="77777777" w:rsidR="004423CD" w:rsidRPr="009F6337" w:rsidRDefault="004423CD" w:rsidP="004423CD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1308285B" w14:textId="742C06CF" w:rsidR="001530A1" w:rsidRPr="009F6337" w:rsidRDefault="00FB55A5" w:rsidP="002620B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Κατά τον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760F0">
        <w:rPr>
          <w:rFonts w:ascii="Verdana" w:hAnsi="Verdana"/>
          <w:sz w:val="18"/>
          <w:szCs w:val="18"/>
          <w:shd w:val="clear" w:color="auto" w:fill="FFFFFF"/>
          <w:lang w:val="el-GR"/>
        </w:rPr>
        <w:t>Απρίλιο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EE3110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πωλήσεις πετρελαιοειδών έφτασαν τους </w:t>
      </w:r>
      <w:bookmarkStart w:id="0" w:name="_Hlk107213034"/>
      <w:r w:rsidR="007C64E6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B760F0">
        <w:rPr>
          <w:rFonts w:ascii="Verdana" w:hAnsi="Verdana"/>
          <w:sz w:val="18"/>
          <w:szCs w:val="18"/>
          <w:shd w:val="clear" w:color="auto" w:fill="FFFFFF"/>
          <w:lang w:val="el-GR"/>
        </w:rPr>
        <w:t>05</w:t>
      </w:r>
      <w:r w:rsidR="0003371B" w:rsidRPr="009F6337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.</w:t>
      </w:r>
      <w:r w:rsidR="00B760F0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527</w:t>
      </w:r>
      <w:r w:rsidRPr="009F6337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 </w:t>
      </w:r>
      <w:bookmarkEnd w:id="0"/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τόνους, 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σημειώνοντας μείωση </w:t>
      </w:r>
      <w:bookmarkStart w:id="1" w:name="_Hlk107213045"/>
      <w:r w:rsidR="00B760F0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B760F0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bookmarkEnd w:id="1"/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σχέση με τον </w:t>
      </w:r>
      <w:r w:rsidR="00B760F0">
        <w:rPr>
          <w:rFonts w:ascii="Verdana" w:hAnsi="Verdana"/>
          <w:sz w:val="18"/>
          <w:szCs w:val="18"/>
          <w:shd w:val="clear" w:color="auto" w:fill="FFFFFF"/>
          <w:lang w:val="el-GR"/>
        </w:rPr>
        <w:t>Απρίλιο</w:t>
      </w:r>
      <w:r w:rsidR="00B760F0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8A2744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EE3110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98789B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2620B5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Μείωση σημειώθηκε στις προμήθειες πετρελαίου σε πλοία </w:t>
      </w:r>
      <w:r w:rsidR="002620B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         </w:t>
      </w:r>
      <w:r w:rsidR="002620B5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>(-46,7%), καθώς και στις πωλήσεις ελαφρού μαζούτ</w:t>
      </w:r>
      <w:r w:rsidR="002620B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2620B5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>(-46,9%).</w:t>
      </w:r>
      <w:r w:rsidR="002620B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Αντίθετα, αύξηση </w:t>
      </w:r>
      <w:r w:rsidR="00B67200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καταγράφηκε στις προμήθειες πετρελαίο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υ σε αεροπλάνα (10,4%), καθώς και στις πωλήσεις</w:t>
      </w:r>
      <w:r w:rsidR="00B67200" w:rsidRPr="00B672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67200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κηροζίνης (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154</w:t>
      </w:r>
      <w:r w:rsidR="00B67200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="00B67200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B67200" w:rsidRPr="007C64E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πετρελαίου θέρμανσης </w:t>
      </w:r>
      <w:r w:rsidR="00B67200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39</w:t>
      </w:r>
      <w:r w:rsidR="00B67200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="00B67200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βαρέος</w:t>
      </w:r>
      <w:proofErr w:type="spellEnd"/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μαζούτ (25,0%),</w:t>
      </w:r>
      <w:r w:rsidR="00B67200" w:rsidRPr="00B672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υγραερίου </w:t>
      </w:r>
      <w:r w:rsidR="00B67200" w:rsidRPr="007C1738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20</w:t>
      </w:r>
      <w:r w:rsidR="00B67200" w:rsidRPr="007C1738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B67200" w:rsidRPr="007C1738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, πετρελαίου κίνησης (4,5%)</w:t>
      </w:r>
      <w:r w:rsidR="00B67200" w:rsidRPr="007C64E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και</w:t>
      </w:r>
      <w:r w:rsidR="00B67200" w:rsidRP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67200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βενζίνης (</w:t>
      </w:r>
      <w:r w:rsidR="00785684" w:rsidRPr="0078568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B67200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B67200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>Όσ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ον αφορά ειδικότερα στις πωλήσεις από πρατήρια πετρελαιοειδών, αυτές παρουσίασαν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τάξης του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1530A1"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,</w:t>
      </w:r>
      <w:r w:rsidR="00B67200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0</w:t>
      </w:r>
      <w:r w:rsidR="001530A1"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% 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στους 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724</w:t>
      </w:r>
      <w:r w:rsidR="001530A1"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 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τόνους.</w:t>
      </w:r>
    </w:p>
    <w:p w14:paraId="3B00D8C4" w14:textId="77777777" w:rsidR="00FB55A5" w:rsidRPr="009F6337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A88A967" w14:textId="50625B3A" w:rsidR="00FB55A5" w:rsidRPr="000E45D3" w:rsidRDefault="00FB55A5" w:rsidP="000E45D3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ολικές πωλήσεις πετρελαιοειδών κατά τον μήνα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Απρίλιο</w:t>
      </w:r>
      <w:r w:rsidR="00B67200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22CF2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3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τον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Μάρτιο</w:t>
      </w:r>
      <w:r w:rsidR="00B67200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613F84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3 σημείωσαν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πτώση</w:t>
      </w:r>
      <w:r w:rsidR="00440B9F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440B9F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Pr="008A126B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%.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Ενδεικτικά,</w:t>
      </w:r>
      <w:r w:rsidR="00264637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C64E6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</w:t>
      </w:r>
      <w:r w:rsidR="00660C23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προμήθειες πετρελαίου σε αεροπλάνα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(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52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="007C64E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),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ενώ αντίθετα μειώθηκαν 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πωλήσεις </w:t>
      </w:r>
      <w:r w:rsidR="007C64E6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πετρελ</w:t>
      </w:r>
      <w:r w:rsidR="007C64E6">
        <w:rPr>
          <w:rFonts w:ascii="Verdana" w:hAnsi="Verdana"/>
          <w:sz w:val="18"/>
          <w:szCs w:val="18"/>
          <w:shd w:val="clear" w:color="auto" w:fill="FFFFFF"/>
          <w:lang w:val="el-GR"/>
        </w:rPr>
        <w:t>αίου</w:t>
      </w:r>
      <w:r w:rsidR="007C64E6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κίνησης (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-10</w:t>
      </w:r>
      <w:r w:rsidR="007C64E6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7C64E6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7C64E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</w:t>
      </w:r>
      <w:r w:rsidR="00660C23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βενζίνης (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-7</w:t>
      </w:r>
      <w:r w:rsidR="00660C23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="00660C23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ολικά αποθέματα πετρελαιοειδών στο τέλος </w:t>
      </w:r>
      <w:bookmarkStart w:id="2" w:name="_Hlk106979418"/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Απριλίου</w:t>
      </w:r>
      <w:r w:rsidR="00440B9F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2"/>
      <w:r w:rsidR="00856783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DD7F9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="001F5381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26,3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 σε σχέση με το τέλος του προηγούμενου μήνα.</w:t>
      </w:r>
    </w:p>
    <w:p w14:paraId="57D791DC" w14:textId="77777777" w:rsidR="007B4BFD" w:rsidRDefault="007B4BFD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4037CAB" w14:textId="45C0932D" w:rsidR="007B4BFD" w:rsidRPr="00982D65" w:rsidRDefault="007B4BFD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περίοδο Ιανουαρίου – 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Απριλίου</w:t>
      </w:r>
      <w:r w:rsidR="00B67200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4A2A58" w:rsidRPr="004A2A58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ολικές πωλήσεις πετρελαιοειδών σημείωσαν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πτώση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C64E6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την αντίστοιχη περίοδο του προηγούμενου έτους</w:t>
      </w:r>
      <w:r w:rsidR="00982D65" w:rsidRPr="00982D65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14D25423" w14:textId="77777777" w:rsidR="00DD7F94" w:rsidRDefault="00DD7F94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FDBFC1F" w14:textId="106D720A" w:rsidR="00A94488" w:rsidRDefault="00A94488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noProof/>
        </w:rPr>
        <w:drawing>
          <wp:inline distT="0" distB="0" distL="0" distR="0" wp14:anchorId="51BCB2FD" wp14:editId="3AA2824A">
            <wp:extent cx="6120765" cy="3815715"/>
            <wp:effectExtent l="0" t="0" r="13335" b="13335"/>
            <wp:docPr id="174926572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5BC1B0F-18C4-44D5-9893-B1B00549F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72E197" w14:textId="12C2F70B" w:rsidR="00405879" w:rsidRPr="00F93135" w:rsidRDefault="00405879" w:rsidP="00F9313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lang w:val="el-GR"/>
        </w:rPr>
        <w:fldChar w:fldCharType="begin"/>
      </w:r>
      <w:r>
        <w:rPr>
          <w:lang w:val="el-GR"/>
        </w:rPr>
        <w:instrText xml:space="preserve"> LINK Excel.Sheet.8 "C:\\Users\\User\\Desktop\\work files\\ENERGY\\ΙΣΤΟΣΕΛΙΔΑ - ΔΗΜΟΣΙΕΥΣΕΙΣ\\ΜΗΝΙΑΙΕΣ\\2023\\03 Mar\\GRAPHS &amp; calculations.xls" "tables for word file!R1C1:R17C7" \a \f 4 \h  \* MERGEFORMAT </w:instrText>
      </w:r>
      <w:r>
        <w:rPr>
          <w:lang w:val="el-GR"/>
        </w:rPr>
        <w:fldChar w:fldCharType="separate"/>
      </w:r>
    </w:p>
    <w:tbl>
      <w:tblPr>
        <w:tblW w:w="10025" w:type="dxa"/>
        <w:tblInd w:w="-142" w:type="dxa"/>
        <w:tblLook w:val="04A0" w:firstRow="1" w:lastRow="0" w:firstColumn="1" w:lastColumn="0" w:noHBand="0" w:noVBand="1"/>
      </w:tblPr>
      <w:tblGrid>
        <w:gridCol w:w="2325"/>
        <w:gridCol w:w="1264"/>
        <w:gridCol w:w="1265"/>
        <w:gridCol w:w="1264"/>
        <w:gridCol w:w="1266"/>
        <w:gridCol w:w="1320"/>
        <w:gridCol w:w="1321"/>
      </w:tblGrid>
      <w:tr w:rsidR="00405879" w:rsidRPr="00405879" w14:paraId="05678AE5" w14:textId="77777777" w:rsidTr="00F93135">
        <w:trPr>
          <w:trHeight w:val="47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BD75" w14:textId="601D88F3" w:rsidR="00405879" w:rsidRPr="00405879" w:rsidRDefault="00405879" w:rsidP="0040587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CY" w:eastAsia="en-CY" w:bidi="he-IL"/>
              </w:rPr>
              <w:lastRenderedPageBreak/>
              <w:t xml:space="preserve">  </w:t>
            </w: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333399"/>
                <w:sz w:val="18"/>
                <w:szCs w:val="18"/>
                <w:lang w:val="en-CY" w:eastAsia="en-CY" w:bidi="he-IL"/>
              </w:rPr>
              <w:t>Πίν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333399"/>
                <w:sz w:val="18"/>
                <w:szCs w:val="18"/>
                <w:lang w:val="en-CY" w:eastAsia="en-CY" w:bidi="he-IL"/>
              </w:rPr>
              <w:t xml:space="preserve">ακας 1 </w:t>
            </w:r>
            <w:r>
              <w:rPr>
                <w:rFonts w:ascii="Verdana" w:eastAsia="Times New Roman" w:hAnsi="Verdana" w:cs="Arial"/>
                <w:b/>
                <w:bCs/>
                <w:color w:val="333399"/>
                <w:sz w:val="18"/>
                <w:szCs w:val="18"/>
                <w:lang w:eastAsia="en-CY" w:bidi="he-IL"/>
              </w:rPr>
              <w:t xml:space="preserve"> </w:t>
            </w:r>
            <w:r w:rsidRPr="00405879">
              <w:rPr>
                <w:rFonts w:ascii="Verdana" w:eastAsia="Times New Roman" w:hAnsi="Verdana" w:cs="Arial"/>
                <w:b/>
                <w:bCs/>
                <w:color w:val="333399"/>
                <w:sz w:val="18"/>
                <w:szCs w:val="18"/>
                <w:lang w:val="en-CY" w:eastAsia="en-CY" w:bidi="he-IL"/>
              </w:rPr>
              <w:t xml:space="preserve">             </w:t>
            </w:r>
            <w:r>
              <w:rPr>
                <w:rFonts w:ascii="Verdana" w:eastAsia="Times New Roman" w:hAnsi="Verdana" w:cs="Arial"/>
                <w:b/>
                <w:bCs/>
                <w:color w:val="333399"/>
                <w:sz w:val="18"/>
                <w:szCs w:val="18"/>
                <w:lang w:eastAsia="en-CY" w:bidi="he-IL"/>
              </w:rPr>
              <w:t xml:space="preserve"> </w:t>
            </w:r>
            <w:r w:rsidRPr="00405879">
              <w:rPr>
                <w:rFonts w:ascii="Verdana" w:eastAsia="Times New Roman" w:hAnsi="Verdana" w:cs="Arial"/>
                <w:b/>
                <w:bCs/>
                <w:color w:val="333399"/>
                <w:sz w:val="18"/>
                <w:szCs w:val="18"/>
                <w:lang w:val="en-CY" w:eastAsia="en-CY" w:bidi="he-IL"/>
              </w:rPr>
              <w:t xml:space="preserve">      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595B3381" w14:textId="2FB1DCA4" w:rsidR="00405879" w:rsidRPr="00F93135" w:rsidRDefault="00405879" w:rsidP="00405879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1AD3BB66" w14:textId="77777777" w:rsidR="00405879" w:rsidRPr="00405879" w:rsidRDefault="00405879" w:rsidP="00405879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47C9023C" w14:textId="77777777" w:rsidR="00405879" w:rsidRPr="00405879" w:rsidRDefault="00405879" w:rsidP="00405879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</w:p>
        </w:tc>
      </w:tr>
      <w:tr w:rsidR="00405879" w:rsidRPr="00405879" w14:paraId="2ED1F26F" w14:textId="77777777" w:rsidTr="00405879">
        <w:trPr>
          <w:trHeight w:val="613"/>
        </w:trPr>
        <w:tc>
          <w:tcPr>
            <w:tcW w:w="2325" w:type="dxa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70483786" w14:textId="77777777" w:rsidR="00405879" w:rsidRPr="00405879" w:rsidRDefault="00405879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Προϊόντ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5059" w:type="dxa"/>
            <w:gridSpan w:val="4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1D8702B2" w14:textId="258DD229" w:rsidR="00405879" w:rsidRPr="00F93135" w:rsidRDefault="00405879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Ολικές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Πωλήσεις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(</w:t>
            </w: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τόνοι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)</w:t>
            </w:r>
          </w:p>
        </w:tc>
        <w:tc>
          <w:tcPr>
            <w:tcW w:w="2641" w:type="dxa"/>
            <w:gridSpan w:val="2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5F7F399C" w14:textId="77777777" w:rsidR="00405879" w:rsidRPr="00405879" w:rsidRDefault="00405879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αβολή (%)</w:t>
            </w:r>
          </w:p>
        </w:tc>
      </w:tr>
      <w:tr w:rsidR="00405879" w:rsidRPr="00405879" w14:paraId="59DAEFED" w14:textId="77777777" w:rsidTr="00F93135">
        <w:trPr>
          <w:trHeight w:val="1085"/>
        </w:trPr>
        <w:tc>
          <w:tcPr>
            <w:tcW w:w="2325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14:paraId="474E6138" w14:textId="77777777" w:rsidR="00405879" w:rsidRPr="00405879" w:rsidRDefault="00405879" w:rsidP="00405879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24F47378" w14:textId="49F6EEA6" w:rsidR="00405879" w:rsidRPr="00405879" w:rsidRDefault="00F93135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  <w:t>2023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50FE7911" w14:textId="021CA296" w:rsidR="00405879" w:rsidRPr="00405879" w:rsidRDefault="00F93135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  <w:t>2022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4D775D0A" w14:textId="0FB7FBC1" w:rsidR="00405879" w:rsidRPr="00405879" w:rsidRDefault="00405879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Ιαν - </w:t>
            </w:r>
            <w:r w:rsidR="00F93135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773916A1" w14:textId="1793C90C" w:rsidR="00405879" w:rsidRPr="00405879" w:rsidRDefault="00405879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Ιαν - </w:t>
            </w:r>
            <w:r w:rsidR="00F93135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6426220F" w14:textId="2E080F2C" w:rsidR="00405879" w:rsidRPr="00405879" w:rsidRDefault="00F93135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2023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  <w:t xml:space="preserve"> / 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</w: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25F59828" w14:textId="6237AA81" w:rsidR="00405879" w:rsidRPr="00405879" w:rsidRDefault="00405879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Ιαν - </w:t>
            </w:r>
            <w:r w:rsidR="00F93135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2023 / </w:t>
            </w: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eastAsia="en-CY" w:bidi="he-IL"/>
              </w:rPr>
              <w:t xml:space="preserve"> </w:t>
            </w: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Ιαν - </w:t>
            </w:r>
            <w:r w:rsidR="00F93135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2022</w:t>
            </w:r>
          </w:p>
        </w:tc>
      </w:tr>
      <w:tr w:rsidR="00F93135" w:rsidRPr="00405879" w14:paraId="438689C9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362F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Βενζίνη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Αμόλυ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βδη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2AB26FCF" w14:textId="5918D17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24.927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A781DA9" w14:textId="20F0C4F8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24.077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D169E7C" w14:textId="41CDE608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98.764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7CAB677" w14:textId="4CF65DE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92.712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76C6CEA4" w14:textId="21650172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3,5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3F25A7F" w14:textId="6981F016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6,5</w:t>
            </w:r>
          </w:p>
        </w:tc>
      </w:tr>
      <w:tr w:rsidR="00F93135" w:rsidRPr="00405879" w14:paraId="3918B026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C115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Βενζίνη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Αερο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πλάνων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69DC0D08" w14:textId="2B86D500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9ECD3E8" w14:textId="771E3EF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D8A499E" w14:textId="6F89E276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D37002C" w14:textId="7DD045F0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20E86A7" w14:textId="478DD012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2509960" w14:textId="512F12D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33,3</w:t>
            </w:r>
          </w:p>
        </w:tc>
      </w:tr>
      <w:tr w:rsidR="00F93135" w:rsidRPr="00405879" w14:paraId="5E1018DA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6518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Πετρέλ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αιο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Αερο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πλάνων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0C75018B" w14:textId="3BC520E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23.856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7FC8F155" w14:textId="7C89F94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21.609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ADF57C8" w14:textId="0236237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65.476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53785C6" w14:textId="35A995BB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52.266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7E13C8E7" w14:textId="09A384D9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10,4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80F4D2A" w14:textId="76B2641C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25,3</w:t>
            </w:r>
          </w:p>
        </w:tc>
      </w:tr>
      <w:tr w:rsidR="00F93135" w:rsidRPr="00405879" w14:paraId="03DCF44E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3FCF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Κηροζίνη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611AAF28" w14:textId="7E5D719F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349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7BE6BE5" w14:textId="6F8FEDFE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137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F3E0C47" w14:textId="3C093609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6.100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A69E2B3" w14:textId="41419ABF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9.333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B2ABDE0" w14:textId="311FAF74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154,7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1C313D8" w14:textId="756B6E3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-34,6</w:t>
            </w:r>
          </w:p>
        </w:tc>
      </w:tr>
      <w:tr w:rsidR="00F93135" w:rsidRPr="00405879" w14:paraId="41B1DD4E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F59B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Πετρέλ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αιο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Κίνησης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439F07A9" w14:textId="4B641DB1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26.493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6F5BBC1" w14:textId="0FBAAF35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25.350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C30C164" w14:textId="430B4CF9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105.448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577F0D8" w14:textId="1BF8954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100.757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755F6E4D" w14:textId="7934EEE6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4,5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9176606" w14:textId="53D9055E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4,7</w:t>
            </w:r>
          </w:p>
        </w:tc>
      </w:tr>
      <w:tr w:rsidR="00F93135" w:rsidRPr="00405879" w14:paraId="6975AC53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CD1B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Γεωργικό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Πετρέλ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αιο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5E60617E" w14:textId="3ED5E13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1.835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2891310" w14:textId="18B891E9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2.092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FAD230E" w14:textId="673EBC24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5.981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026AC8C" w14:textId="4BECA137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8.229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26B6563F" w14:textId="00EA1959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-12,3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C176B21" w14:textId="0103A1D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-27,3</w:t>
            </w:r>
          </w:p>
        </w:tc>
      </w:tr>
      <w:tr w:rsidR="00F93135" w:rsidRPr="00405879" w14:paraId="0024132D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D619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Πετρέλ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αιο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Θέρμ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ανσης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38027724" w14:textId="609B2FC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5.842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1A175CC" w14:textId="6F45E4AA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4.182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A30E528" w14:textId="3F19A1C6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37.800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0D40567" w14:textId="6170990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46.760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0DFFA09" w14:textId="7054C75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39,7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B881F43" w14:textId="32E0110A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-19,2</w:t>
            </w:r>
          </w:p>
        </w:tc>
      </w:tr>
      <w:tr w:rsidR="00F93135" w:rsidRPr="00405879" w14:paraId="5C3A3AE8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063EB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Πετρέλ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αιο Να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υτιλί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4105D530" w14:textId="1C2E36D7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5.562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7D057BD" w14:textId="30F802B6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10.436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2EC2A1E3" w14:textId="75C6725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25.499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7BC94C17" w14:textId="7D71C504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49.509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74790B42" w14:textId="68B441AE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-46,7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2B1DB62" w14:textId="0A156D2E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-48,5</w:t>
            </w:r>
          </w:p>
        </w:tc>
      </w:tr>
      <w:tr w:rsidR="00F93135" w:rsidRPr="00405879" w14:paraId="6869667D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BD3C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Ελ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αφρύ Μα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ζούτ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3B52704D" w14:textId="694A2D64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9.091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4AB1B14" w14:textId="1BA325AB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17.109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33AB7B1" w14:textId="6C3A8BAE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52.798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EA5CA95" w14:textId="27A378B6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60.177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9598255" w14:textId="42BAB5E9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-46,9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9E9C64E" w14:textId="5A910ECB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-12,3</w:t>
            </w:r>
          </w:p>
        </w:tc>
      </w:tr>
      <w:tr w:rsidR="00F93135" w:rsidRPr="00405879" w14:paraId="5AC67870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C68B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Βα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ρύ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 Μα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ζούτ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10068303" w14:textId="0EA35504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985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4DCCCA0" w14:textId="6903A158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788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5A2FB5B" w14:textId="14DB0046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4.154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89194BE" w14:textId="76103F06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4.275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4043030" w14:textId="2F93BD51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25,0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FB98240" w14:textId="159B1A69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-2,8</w:t>
            </w:r>
          </w:p>
        </w:tc>
      </w:tr>
      <w:tr w:rsidR="00F93135" w:rsidRPr="00405879" w14:paraId="1407F68F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73A75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Λι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παντικά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Λάδι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2F5A3ED8" w14:textId="0B59C908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429C1FB" w14:textId="2BE1C13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223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1038809" w14:textId="4FEC952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873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F86908B" w14:textId="72F99046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811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28640515" w14:textId="63EDD810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-3,1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2023AF47" w14:textId="6C5F6F6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7,6</w:t>
            </w:r>
          </w:p>
        </w:tc>
      </w:tr>
      <w:tr w:rsidR="00F93135" w:rsidRPr="00405879" w14:paraId="1D2F88AA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9588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Άσφ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αλτος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2F97441F" w14:textId="6DCD624E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2.212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91D1833" w14:textId="0EC7B0A5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1.875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C364C8B" w14:textId="5E601ABF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9.984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A235F8A" w14:textId="17B0F47B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7.455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A151251" w14:textId="60C0CAB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56C7775" w14:textId="618B8AB2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33,9</w:t>
            </w:r>
          </w:p>
        </w:tc>
      </w:tr>
      <w:tr w:rsidR="00F93135" w:rsidRPr="00405879" w14:paraId="0D2F3892" w14:textId="77777777" w:rsidTr="00AD04A1">
        <w:trPr>
          <w:trHeight w:val="421"/>
        </w:trPr>
        <w:tc>
          <w:tcPr>
            <w:tcW w:w="2325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439AAE56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Υγρ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αέριο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84" w:type="dxa"/>
            </w:tcMar>
            <w:vAlign w:val="center"/>
            <w:hideMark/>
          </w:tcPr>
          <w:p w14:paraId="201EE526" w14:textId="68276AA7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4.157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C49965B" w14:textId="11BDB435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3.446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E19F9B4" w14:textId="492487A0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22.994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58D1D4C" w14:textId="0B3812AF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27.280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1A9BB35" w14:textId="638E29E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20,6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77FCED9" w14:textId="6059C3FA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F93135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-15,7</w:t>
            </w:r>
          </w:p>
        </w:tc>
      </w:tr>
      <w:tr w:rsidR="00F93135" w:rsidRPr="00405879" w14:paraId="23D6B216" w14:textId="77777777" w:rsidTr="00AD04A1">
        <w:trPr>
          <w:trHeight w:val="628"/>
        </w:trPr>
        <w:tc>
          <w:tcPr>
            <w:tcW w:w="2325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6799F56E" w14:textId="77777777" w:rsidR="00F93135" w:rsidRPr="00405879" w:rsidRDefault="00F93135" w:rsidP="00F93135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Σύνολο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   </w:t>
            </w:r>
          </w:p>
        </w:tc>
        <w:tc>
          <w:tcPr>
            <w:tcW w:w="1264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869663D" w14:textId="33586607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105.527</w:t>
            </w:r>
          </w:p>
        </w:tc>
        <w:tc>
          <w:tcPr>
            <w:tcW w:w="1265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E83ED81" w14:textId="2ADFFDD9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111.325</w:t>
            </w:r>
          </w:p>
        </w:tc>
        <w:tc>
          <w:tcPr>
            <w:tcW w:w="1264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63B424F" w14:textId="7DC70AFC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435.879</w:t>
            </w:r>
          </w:p>
        </w:tc>
        <w:tc>
          <w:tcPr>
            <w:tcW w:w="1266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A6B9F5F" w14:textId="2FA8435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459.570</w:t>
            </w:r>
          </w:p>
        </w:tc>
        <w:tc>
          <w:tcPr>
            <w:tcW w:w="132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DCDF513" w14:textId="55112A5A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-5,2</w:t>
            </w:r>
          </w:p>
        </w:tc>
        <w:tc>
          <w:tcPr>
            <w:tcW w:w="1321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213FB385" w14:textId="28C77362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-5,2</w:t>
            </w:r>
          </w:p>
        </w:tc>
      </w:tr>
    </w:tbl>
    <w:p w14:paraId="25D3FF5A" w14:textId="7E7AB561" w:rsidR="00A12E81" w:rsidRPr="00A12E81" w:rsidRDefault="00405879" w:rsidP="00A12E81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fldChar w:fldCharType="end"/>
      </w:r>
    </w:p>
    <w:p w14:paraId="50F7E12F" w14:textId="77777777" w:rsidR="00CA1D93" w:rsidRPr="00A12E81" w:rsidRDefault="00CA1D93" w:rsidP="00D54047">
      <w:pPr>
        <w:tabs>
          <w:tab w:val="left" w:pos="1080"/>
          <w:tab w:val="left" w:pos="5670"/>
          <w:tab w:val="left" w:pos="5812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32FCE7C" w14:textId="0ACEFDC2" w:rsidR="00405879" w:rsidRDefault="00405879" w:rsidP="00FB55A5">
      <w:pPr>
        <w:tabs>
          <w:tab w:val="left" w:pos="1080"/>
          <w:tab w:val="left" w:pos="6840"/>
        </w:tabs>
        <w:rPr>
          <w:sz w:val="20"/>
          <w:szCs w:val="20"/>
          <w:lang w:val="en-CY" w:eastAsia="en-CY"/>
        </w:rPr>
      </w:pPr>
      <w:r>
        <w:fldChar w:fldCharType="begin"/>
      </w:r>
      <w:r>
        <w:instrText xml:space="preserve"> LINK Excel.Sheet.8 "C:\\Users\\User\\Desktop\\work files\\ENERGY\\ΙΣΤΟΣΕΛΙΔΑ - ΔΗΜΟΣΙΕΥΣΕΙΣ\\ΜΗΝΙΑΙΕΣ\\2023\\03 Mar\\GRAPHS &amp; calculations.xls" "tables for word file!R20C1:R30C7" \a \f 4 \h  \* MERGEFORMAT </w:instrText>
      </w:r>
      <w:r>
        <w:fldChar w:fldCharType="separate"/>
      </w:r>
    </w:p>
    <w:tbl>
      <w:tblPr>
        <w:tblW w:w="10105" w:type="dxa"/>
        <w:tblInd w:w="-142" w:type="dxa"/>
        <w:tblLook w:val="04A0" w:firstRow="1" w:lastRow="0" w:firstColumn="1" w:lastColumn="0" w:noHBand="0" w:noVBand="1"/>
      </w:tblPr>
      <w:tblGrid>
        <w:gridCol w:w="2370"/>
        <w:gridCol w:w="1174"/>
        <w:gridCol w:w="1289"/>
        <w:gridCol w:w="1289"/>
        <w:gridCol w:w="1291"/>
        <w:gridCol w:w="1346"/>
        <w:gridCol w:w="1346"/>
      </w:tblGrid>
      <w:tr w:rsidR="00405879" w:rsidRPr="00405879" w14:paraId="10B91D77" w14:textId="77777777" w:rsidTr="002620B5">
        <w:trPr>
          <w:trHeight w:val="45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9925" w14:textId="6B1F19DB" w:rsidR="00405879" w:rsidRPr="00405879" w:rsidRDefault="00405879" w:rsidP="0040587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CY" w:eastAsia="en-CY" w:bidi="he-IL"/>
              </w:rPr>
              <w:t xml:space="preserve">  </w:t>
            </w: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333399"/>
                <w:sz w:val="18"/>
                <w:szCs w:val="18"/>
                <w:lang w:val="en-CY" w:eastAsia="en-CY" w:bidi="he-IL"/>
              </w:rPr>
              <w:t>Πίν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333399"/>
                <w:sz w:val="18"/>
                <w:szCs w:val="18"/>
                <w:lang w:val="en-CY" w:eastAsia="en-CY" w:bidi="he-IL"/>
              </w:rPr>
              <w:t xml:space="preserve">ακας 2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492A19C0" w14:textId="77777777" w:rsidR="00405879" w:rsidRPr="00405879" w:rsidRDefault="00405879" w:rsidP="00405879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6F2AB795" w14:textId="77777777" w:rsidR="00405879" w:rsidRPr="00405879" w:rsidRDefault="00405879" w:rsidP="00405879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54D1D15A" w14:textId="77777777" w:rsidR="00405879" w:rsidRPr="00405879" w:rsidRDefault="00405879" w:rsidP="00405879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10595E36" w14:textId="77777777" w:rsidR="00405879" w:rsidRPr="00405879" w:rsidRDefault="00405879" w:rsidP="00405879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4F800267" w14:textId="77777777" w:rsidR="00405879" w:rsidRPr="00405879" w:rsidRDefault="00405879" w:rsidP="00405879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7CE8F983" w14:textId="77777777" w:rsidR="00405879" w:rsidRPr="00405879" w:rsidRDefault="00405879" w:rsidP="00405879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</w:p>
        </w:tc>
      </w:tr>
      <w:tr w:rsidR="00405879" w:rsidRPr="00405879" w14:paraId="54667758" w14:textId="77777777" w:rsidTr="002620B5">
        <w:trPr>
          <w:trHeight w:val="585"/>
        </w:trPr>
        <w:tc>
          <w:tcPr>
            <w:tcW w:w="2370" w:type="dxa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28AC0FE9" w14:textId="77777777" w:rsidR="00405879" w:rsidRPr="00405879" w:rsidRDefault="00405879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Προϊόντ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5041" w:type="dxa"/>
            <w:gridSpan w:val="4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6BEB2187" w14:textId="77777777" w:rsidR="00405879" w:rsidRPr="00405879" w:rsidRDefault="00405879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Πωλήσεις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από </w:t>
            </w: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Πρ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ατήρια </w:t>
            </w: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Πετρελ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αιοειδών (</w:t>
            </w: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τόνοι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)</w:t>
            </w:r>
          </w:p>
        </w:tc>
        <w:tc>
          <w:tcPr>
            <w:tcW w:w="2692" w:type="dxa"/>
            <w:gridSpan w:val="2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3672279D" w14:textId="77777777" w:rsidR="00405879" w:rsidRPr="00405879" w:rsidRDefault="00405879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αβολή (%)</w:t>
            </w:r>
          </w:p>
        </w:tc>
      </w:tr>
      <w:tr w:rsidR="00405879" w:rsidRPr="00405879" w14:paraId="7E660A99" w14:textId="77777777" w:rsidTr="002620B5">
        <w:trPr>
          <w:trHeight w:val="1035"/>
        </w:trPr>
        <w:tc>
          <w:tcPr>
            <w:tcW w:w="2370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14:paraId="79FD457B" w14:textId="77777777" w:rsidR="00405879" w:rsidRPr="00405879" w:rsidRDefault="00405879" w:rsidP="00405879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045F69B6" w14:textId="58B412AA" w:rsidR="00405879" w:rsidRPr="00405879" w:rsidRDefault="00F93135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5B671F7E" w14:textId="2FC2C916" w:rsidR="00405879" w:rsidRPr="00405879" w:rsidRDefault="00F93135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  <w:t>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1E2FFD57" w14:textId="1B6F9875" w:rsidR="00405879" w:rsidRPr="00405879" w:rsidRDefault="00405879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Ιαν - </w:t>
            </w:r>
            <w:r w:rsidR="00F93135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3216C0E8" w14:textId="4AB4741A" w:rsidR="00405879" w:rsidRPr="00405879" w:rsidRDefault="00405879" w:rsidP="00405879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Ιαν - </w:t>
            </w:r>
            <w:r w:rsidR="00F93135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2DF35701" w14:textId="4DA7DEF5" w:rsidR="00405879" w:rsidRPr="00405879" w:rsidRDefault="00F93135" w:rsidP="002620B5">
            <w:pPr>
              <w:ind w:right="123"/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2023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  <w:t xml:space="preserve"> / 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br/>
            </w: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="00405879"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14:paraId="6B5D8938" w14:textId="0AFF720F" w:rsidR="00405879" w:rsidRPr="00405879" w:rsidRDefault="00405879" w:rsidP="00D04CE0">
            <w:pPr>
              <w:tabs>
                <w:tab w:val="left" w:pos="1050"/>
                <w:tab w:val="left" w:pos="1215"/>
              </w:tabs>
              <w:ind w:left="59" w:right="73"/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Ιαν -</w:t>
            </w:r>
            <w:r w:rsidR="002620B5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 </w:t>
            </w:r>
            <w:r w:rsidR="00F93135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Απρ</w:t>
            </w: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2023 /</w:t>
            </w: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eastAsia="en-CY" w:bidi="he-IL"/>
              </w:rPr>
              <w:t xml:space="preserve"> </w:t>
            </w: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Ιαν - </w:t>
            </w:r>
            <w:r w:rsidR="002620B5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Απρ</w:t>
            </w:r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2022</w:t>
            </w:r>
          </w:p>
        </w:tc>
      </w:tr>
      <w:tr w:rsidR="00F93135" w:rsidRPr="00405879" w14:paraId="4BA6B52C" w14:textId="77777777" w:rsidTr="00AD04A1">
        <w:trPr>
          <w:trHeight w:val="40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8718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Βενζίνη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Αμόλυ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βδη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27" w:type="dxa"/>
            </w:tcMar>
            <w:vAlign w:val="center"/>
            <w:hideMark/>
          </w:tcPr>
          <w:p w14:paraId="549872C4" w14:textId="5288E9E1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24.677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7777BB3E" w14:textId="1D87B865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23.753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475724E5" w14:textId="44F32466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97.769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752F4A44" w14:textId="223F3D3F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91.540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3241142E" w14:textId="5210FBC0" w:rsidR="00F93135" w:rsidRPr="00405879" w:rsidRDefault="00F93135" w:rsidP="002620B5">
            <w:pPr>
              <w:ind w:right="123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3,9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05AFFDC2" w14:textId="64DC4463" w:rsidR="00F93135" w:rsidRPr="00405879" w:rsidRDefault="00F93135" w:rsidP="002620B5">
            <w:pPr>
              <w:ind w:right="186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6,8</w:t>
            </w:r>
          </w:p>
        </w:tc>
      </w:tr>
      <w:tr w:rsidR="00F93135" w:rsidRPr="00405879" w14:paraId="6A6F2D18" w14:textId="77777777" w:rsidTr="00AD04A1">
        <w:trPr>
          <w:trHeight w:val="40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12D94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Κηροζίνη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27" w:type="dxa"/>
            </w:tcMar>
            <w:vAlign w:val="center"/>
            <w:hideMark/>
          </w:tcPr>
          <w:p w14:paraId="57BE6360" w14:textId="1E8A02C8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3DF74732" w14:textId="2DB8D7F4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52732387" w14:textId="13EA7C8E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4.652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2626CE22" w14:textId="458D4B47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7.333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39BEAAE5" w14:textId="52399120" w:rsidR="00F93135" w:rsidRPr="00405879" w:rsidRDefault="00F93135" w:rsidP="002620B5">
            <w:pPr>
              <w:ind w:right="123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135,5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62AEE40A" w14:textId="4C8D792E" w:rsidR="00F93135" w:rsidRPr="00405879" w:rsidRDefault="00F93135" w:rsidP="002620B5">
            <w:pPr>
              <w:ind w:right="186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-36,6</w:t>
            </w:r>
          </w:p>
        </w:tc>
      </w:tr>
      <w:tr w:rsidR="00F93135" w:rsidRPr="00405879" w14:paraId="2894F889" w14:textId="77777777" w:rsidTr="00AD04A1">
        <w:trPr>
          <w:trHeight w:val="40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ED47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Πετρέλ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αιο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Κίνησης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27" w:type="dxa"/>
            </w:tcMar>
            <w:vAlign w:val="center"/>
            <w:hideMark/>
          </w:tcPr>
          <w:p w14:paraId="1E98846D" w14:textId="3321C2F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20.927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5C1D15F3" w14:textId="18F5F72A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20.297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62DFE8A3" w14:textId="3C936F17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83.056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42EC9B7E" w14:textId="13A4225C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80.644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0A16084B" w14:textId="58828EFC" w:rsidR="00F93135" w:rsidRPr="00405879" w:rsidRDefault="00F93135" w:rsidP="002620B5">
            <w:pPr>
              <w:ind w:right="123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3,1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0A48DEB8" w14:textId="55A251ED" w:rsidR="00F93135" w:rsidRPr="00405879" w:rsidRDefault="00F93135" w:rsidP="002620B5">
            <w:pPr>
              <w:ind w:right="186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3,0</w:t>
            </w:r>
          </w:p>
        </w:tc>
      </w:tr>
      <w:tr w:rsidR="00F93135" w:rsidRPr="00405879" w14:paraId="34C0E50B" w14:textId="77777777" w:rsidTr="00AD04A1">
        <w:trPr>
          <w:trHeight w:val="40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6261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Γεωργικό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Πετρέλ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αιο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27" w:type="dxa"/>
            </w:tcMar>
            <w:vAlign w:val="center"/>
            <w:hideMark/>
          </w:tcPr>
          <w:p w14:paraId="473E0F6F" w14:textId="2B9E218D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1.319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32E2FA41" w14:textId="19E440E4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1.401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48A75CCA" w14:textId="07ABE676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4.074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579F8EAB" w14:textId="7EBA858E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5.636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1F31156F" w14:textId="7A1A6E2A" w:rsidR="00F93135" w:rsidRPr="00405879" w:rsidRDefault="00F93135" w:rsidP="002620B5">
            <w:pPr>
              <w:ind w:right="123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-5,9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390FF899" w14:textId="41F140EC" w:rsidR="00F93135" w:rsidRPr="00405879" w:rsidRDefault="00F93135" w:rsidP="002620B5">
            <w:pPr>
              <w:ind w:right="186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-27,7</w:t>
            </w:r>
          </w:p>
        </w:tc>
      </w:tr>
      <w:tr w:rsidR="00F93135" w:rsidRPr="00405879" w14:paraId="3DC5A15A" w14:textId="77777777" w:rsidTr="00AD04A1">
        <w:trPr>
          <w:trHeight w:val="40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9A34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Πετρέλ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αιο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Θέρμ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ανσης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27" w:type="dxa"/>
            </w:tcMar>
            <w:vAlign w:val="center"/>
            <w:hideMark/>
          </w:tcPr>
          <w:p w14:paraId="426BBA78" w14:textId="46B2B19E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3.403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39DD77EB" w14:textId="61115D52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2.182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004E428C" w14:textId="1EDF9352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23.355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555BB5F9" w14:textId="23710EE0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30.283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3A60E561" w14:textId="1A8993B2" w:rsidR="00F93135" w:rsidRPr="00405879" w:rsidRDefault="00F93135" w:rsidP="002620B5">
            <w:pPr>
              <w:ind w:right="123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56,0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324C8CE3" w14:textId="6595DCF7" w:rsidR="00F93135" w:rsidRPr="00405879" w:rsidRDefault="00F93135" w:rsidP="002620B5">
            <w:pPr>
              <w:ind w:right="186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-22,9</w:t>
            </w:r>
          </w:p>
        </w:tc>
      </w:tr>
      <w:tr w:rsidR="00F93135" w:rsidRPr="00405879" w14:paraId="29767536" w14:textId="77777777" w:rsidTr="00AD04A1">
        <w:trPr>
          <w:trHeight w:val="40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BDF12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Ελ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αφρύ Μα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ζούτ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27" w:type="dxa"/>
            </w:tcMar>
            <w:vAlign w:val="center"/>
            <w:hideMark/>
          </w:tcPr>
          <w:p w14:paraId="6539AC86" w14:textId="6D37D6CE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709C7B9A" w14:textId="1C896CE0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3E3EA481" w14:textId="49A79D8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0439AF86" w14:textId="01B47ED9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340F662C" w14:textId="4B1A084B" w:rsidR="00F93135" w:rsidRPr="00405879" w:rsidRDefault="00F93135" w:rsidP="002620B5">
            <w:pPr>
              <w:ind w:right="123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48,6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4DCF6C31" w14:textId="30ABC0F6" w:rsidR="00F93135" w:rsidRPr="00405879" w:rsidRDefault="00F93135" w:rsidP="002620B5">
            <w:pPr>
              <w:ind w:right="186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1,9</w:t>
            </w:r>
          </w:p>
        </w:tc>
      </w:tr>
      <w:tr w:rsidR="00F93135" w:rsidRPr="00405879" w14:paraId="04B881E4" w14:textId="77777777" w:rsidTr="00AD04A1">
        <w:trPr>
          <w:trHeight w:val="40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B5130" w14:textId="77777777" w:rsidR="00F93135" w:rsidRPr="00405879" w:rsidRDefault="00F93135" w:rsidP="00F9313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Λι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 xml:space="preserve">παντικά </w:t>
            </w:r>
            <w:proofErr w:type="spellStart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Λάδι</w:t>
            </w:r>
            <w:proofErr w:type="spellEnd"/>
            <w:r w:rsidRPr="00405879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227" w:type="dxa"/>
            </w:tcMar>
            <w:vAlign w:val="center"/>
            <w:hideMark/>
          </w:tcPr>
          <w:p w14:paraId="55E67D98" w14:textId="1CCBED43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066D2449" w14:textId="51534D6C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2415C5DC" w14:textId="12859551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355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72544B61" w14:textId="79A815E5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26DCCCDD" w14:textId="47A6ABA1" w:rsidR="00F93135" w:rsidRPr="00405879" w:rsidRDefault="00F93135" w:rsidP="002620B5">
            <w:pPr>
              <w:ind w:right="123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16,0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7FAC013D" w14:textId="587A54C8" w:rsidR="00F93135" w:rsidRPr="00405879" w:rsidRDefault="00F93135" w:rsidP="002620B5">
            <w:pPr>
              <w:ind w:right="186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10,6</w:t>
            </w:r>
          </w:p>
        </w:tc>
      </w:tr>
      <w:tr w:rsidR="00F93135" w:rsidRPr="00405879" w14:paraId="4EAA36C7" w14:textId="77777777" w:rsidTr="00AD04A1">
        <w:trPr>
          <w:trHeight w:val="600"/>
        </w:trPr>
        <w:tc>
          <w:tcPr>
            <w:tcW w:w="237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355BBDB4" w14:textId="77777777" w:rsidR="00F93135" w:rsidRPr="00405879" w:rsidRDefault="00F93135" w:rsidP="00F93135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Σύνολο</w:t>
            </w:r>
            <w:proofErr w:type="spellEnd"/>
            <w:r w:rsidRPr="00405879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   </w:t>
            </w:r>
          </w:p>
        </w:tc>
        <w:tc>
          <w:tcPr>
            <w:tcW w:w="1174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1B896CDF" w14:textId="6800EB78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50.724</w:t>
            </w:r>
          </w:p>
        </w:tc>
        <w:tc>
          <w:tcPr>
            <w:tcW w:w="1289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02226F9F" w14:textId="36F4F7AA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47.856</w:t>
            </w:r>
          </w:p>
        </w:tc>
        <w:tc>
          <w:tcPr>
            <w:tcW w:w="1289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7E20DA9C" w14:textId="72D64C75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213.426</w:t>
            </w:r>
          </w:p>
        </w:tc>
        <w:tc>
          <w:tcPr>
            <w:tcW w:w="1291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4D6F8730" w14:textId="10011A32" w:rsidR="00F93135" w:rsidRPr="00405879" w:rsidRDefault="00F93135" w:rsidP="00F93135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215.919</w:t>
            </w:r>
          </w:p>
        </w:tc>
        <w:tc>
          <w:tcPr>
            <w:tcW w:w="1346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4AA21839" w14:textId="39DEA496" w:rsidR="00F93135" w:rsidRPr="00405879" w:rsidRDefault="00F93135" w:rsidP="002620B5">
            <w:pPr>
              <w:ind w:right="123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6,0</w:t>
            </w:r>
          </w:p>
        </w:tc>
        <w:tc>
          <w:tcPr>
            <w:tcW w:w="1346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227" w:type="dxa"/>
            </w:tcMar>
            <w:vAlign w:val="center"/>
            <w:hideMark/>
          </w:tcPr>
          <w:p w14:paraId="4788301A" w14:textId="5C6FE2E8" w:rsidR="00F93135" w:rsidRPr="00405879" w:rsidRDefault="00F93135" w:rsidP="002620B5">
            <w:pPr>
              <w:ind w:right="186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-1,2</w:t>
            </w:r>
          </w:p>
        </w:tc>
      </w:tr>
    </w:tbl>
    <w:p w14:paraId="76A02A1F" w14:textId="73044842" w:rsidR="00AC68E0" w:rsidRDefault="00405879" w:rsidP="00FB55A5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  <w:r>
        <w:rPr>
          <w:rFonts w:ascii="Verdana" w:eastAsia="Malgun Gothic" w:hAnsi="Verdana" w:cs="Arial"/>
          <w:b/>
          <w:u w:val="single"/>
        </w:rPr>
        <w:lastRenderedPageBreak/>
        <w:fldChar w:fldCharType="end"/>
      </w:r>
    </w:p>
    <w:p w14:paraId="797CE836" w14:textId="77777777" w:rsidR="00FB55A5" w:rsidRPr="00780A62" w:rsidRDefault="00FB55A5" w:rsidP="009A09E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t>ΜΕΘΟΔΟΛΟΓΙΚΕΣ ΠΛΗΡΟΦΟΡΙΕΣ</w:t>
      </w:r>
    </w:p>
    <w:p w14:paraId="47E550AF" w14:textId="77777777" w:rsidR="00FB55A5" w:rsidRPr="001937BC" w:rsidRDefault="00FB55A5" w:rsidP="00FB55A5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3552729" w14:textId="4595B53A" w:rsidR="00FB55A5" w:rsidRPr="00405879" w:rsidRDefault="00FB55A5" w:rsidP="00FB55A5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34CC24B7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16A94BA3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H συλλογή στοιχείων για τις Εισαγωγές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Πωλήσεις και Αποθέματα Πετρελαιοειδών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1937BC">
        <w:rPr>
          <w:rFonts w:ascii="Verdana" w:hAnsi="Verdana"/>
          <w:sz w:val="18"/>
          <w:szCs w:val="18"/>
          <w:lang w:val="el-GR"/>
        </w:rPr>
        <w:t>διεξάγεται σε μηνιαία βάση.</w:t>
      </w:r>
    </w:p>
    <w:p w14:paraId="77C766CE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37BFEEB0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Αφορά τις πωλήσεις πετρελαιοει</w:t>
      </w:r>
      <w:r>
        <w:rPr>
          <w:rFonts w:ascii="Verdana" w:hAnsi="Verdana"/>
          <w:sz w:val="18"/>
          <w:szCs w:val="18"/>
          <w:lang w:val="el-GR"/>
        </w:rPr>
        <w:t>δών από πρατήρια πετρελαιοειδών και τις πωλήσεις</w:t>
      </w:r>
      <w:r w:rsidRPr="001937BC">
        <w:rPr>
          <w:rFonts w:ascii="Verdana" w:hAnsi="Verdana"/>
          <w:sz w:val="18"/>
          <w:szCs w:val="18"/>
          <w:lang w:val="el-GR"/>
        </w:rPr>
        <w:t xml:space="preserve"> σε κυβερνητικά τμήματα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στις Βρετανικές Βάσεις και</w:t>
      </w:r>
      <w:r>
        <w:rPr>
          <w:rFonts w:ascii="Verdana" w:hAnsi="Verdana"/>
          <w:sz w:val="18"/>
          <w:szCs w:val="18"/>
          <w:lang w:val="el-GR"/>
        </w:rPr>
        <w:t xml:space="preserve"> στα</w:t>
      </w:r>
      <w:r w:rsidRPr="001937BC">
        <w:rPr>
          <w:rFonts w:ascii="Verdana" w:hAnsi="Verdana"/>
          <w:sz w:val="18"/>
          <w:szCs w:val="18"/>
          <w:lang w:val="el-GR"/>
        </w:rPr>
        <w:t xml:space="preserve"> Ηνωμένα Έθνη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σε πλοία και σε άλλους πελάτες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καθώς και τα αποθέματα στο τέλος κάθε μήνα. </w:t>
      </w:r>
      <w:r>
        <w:rPr>
          <w:rFonts w:ascii="Verdana" w:hAnsi="Verdana"/>
          <w:sz w:val="18"/>
          <w:szCs w:val="18"/>
          <w:lang w:val="el-GR"/>
        </w:rPr>
        <w:t xml:space="preserve">Καλύπτονται μόνο οι εταιρείες πετρελαιοειδών. </w:t>
      </w:r>
      <w:r w:rsidRPr="001937BC">
        <w:rPr>
          <w:rFonts w:ascii="Verdana" w:hAnsi="Verdana"/>
          <w:sz w:val="18"/>
          <w:szCs w:val="18"/>
          <w:lang w:val="el-GR"/>
        </w:rPr>
        <w:t>Επιπρόσθετα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περιλαμβάνει και τις εισαγωγές πετρελαιοειδών απευθείας από την Αρχή Ηλεκτρισμού Κύπρου (ΑΗΚ) και τη μεταποιητική βιομηχανία.</w:t>
      </w:r>
    </w:p>
    <w:p w14:paraId="5934A788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540C0531" w14:textId="77777777" w:rsidR="00FB55A5" w:rsidRPr="00FB55A5" w:rsidRDefault="00FB55A5" w:rsidP="00FB55A5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6C2FFB25" w14:textId="77777777" w:rsidR="00FB55A5" w:rsidRPr="001937BC" w:rsidRDefault="00FB55A5" w:rsidP="00FB55A5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07C2AC30" w14:textId="77777777" w:rsidR="00FB55A5" w:rsidRPr="004F7605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25456B9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Η συλλογή των δεδομένων γίνεται σε μηνιαία βάση από τη Στατιστική Υπηρεσία, η οποία λαμβάνει ηλεκτρονικά το ειδικά διαμορφωμένο ερωτηματολόγιο από</w:t>
      </w:r>
      <w:r w:rsidRPr="00F859E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κάθε μία από τις εν λόγω εταιρείες.</w:t>
      </w:r>
    </w:p>
    <w:p w14:paraId="088FD446" w14:textId="77777777" w:rsidR="00E42235" w:rsidRPr="00E42235" w:rsidRDefault="00E42235" w:rsidP="00E42235">
      <w:pPr>
        <w:rPr>
          <w:rFonts w:ascii="Verdana" w:hAnsi="Verdana"/>
          <w:b/>
          <w:bCs/>
          <w:color w:val="0000CC"/>
          <w:sz w:val="18"/>
          <w:szCs w:val="18"/>
          <w:lang w:val="el-GR" w:bidi="he-IL"/>
        </w:rPr>
      </w:pPr>
    </w:p>
    <w:p w14:paraId="10CF2579" w14:textId="77777777" w:rsidR="00FB55A5" w:rsidRPr="00FB55A5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5DD5497" w14:textId="4B60D81D" w:rsidR="00FB55A5" w:rsidRPr="001937BC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1937B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  <w:r w:rsidR="00F93135">
        <w:rPr>
          <w:rFonts w:ascii="Verdana" w:eastAsia="Malgun Gothic" w:hAnsi="Verdana" w:cs="Arial"/>
          <w:b/>
          <w:i/>
          <w:sz w:val="18"/>
          <w:szCs w:val="18"/>
          <w:lang w:val="el-GR"/>
        </w:rPr>
        <w:t xml:space="preserve"> </w:t>
      </w:r>
    </w:p>
    <w:p w14:paraId="4703298E" w14:textId="77777777" w:rsidR="00C91550" w:rsidRPr="00C91550" w:rsidRDefault="00C91550" w:rsidP="00C91550">
      <w:pPr>
        <w:tabs>
          <w:tab w:val="left" w:pos="5400"/>
        </w:tabs>
        <w:rPr>
          <w:rFonts w:ascii="Verdana" w:hAnsi="Verdana"/>
          <w:sz w:val="18"/>
          <w:szCs w:val="18"/>
          <w:lang w:val="el-GR"/>
        </w:rPr>
      </w:pPr>
      <w:r w:rsidRPr="00C9155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Ενέργεια</w:t>
        </w:r>
      </w:hyperlink>
    </w:p>
    <w:p w14:paraId="5F5DFA6F" w14:textId="77777777" w:rsidR="00C91550" w:rsidRPr="00C91550" w:rsidRDefault="00000000" w:rsidP="00C91550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</w:rPr>
          <w:t>CYSTAT</w:t>
        </w:r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-</w:t>
        </w:r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</w:rPr>
          <w:t>DB</w:t>
        </w:r>
      </w:hyperlink>
      <w:r w:rsidR="00C91550" w:rsidRPr="00C9155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35D69F6" w14:textId="77777777" w:rsidR="00C91550" w:rsidRPr="00E42235" w:rsidRDefault="00000000" w:rsidP="00C91550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Προκαθορισμένοι Πίνακες</w:t>
        </w:r>
      </w:hyperlink>
      <w:r w:rsidR="00C91550" w:rsidRPr="00C91550">
        <w:rPr>
          <w:rFonts w:ascii="Verdana" w:hAnsi="Verdana"/>
          <w:sz w:val="18"/>
          <w:szCs w:val="18"/>
          <w:lang w:val="el-GR"/>
        </w:rPr>
        <w:t xml:space="preserve"> (</w:t>
      </w:r>
      <w:r w:rsidR="00C91550" w:rsidRPr="00C91550">
        <w:rPr>
          <w:rFonts w:ascii="Verdana" w:hAnsi="Verdana"/>
          <w:sz w:val="18"/>
          <w:szCs w:val="18"/>
        </w:rPr>
        <w:t>Excel</w:t>
      </w:r>
      <w:r w:rsidR="00C91550" w:rsidRPr="00C91550">
        <w:rPr>
          <w:rFonts w:ascii="Verdana" w:hAnsi="Verdana"/>
          <w:sz w:val="18"/>
          <w:szCs w:val="18"/>
          <w:lang w:val="el-GR"/>
        </w:rPr>
        <w:t>)</w:t>
      </w:r>
    </w:p>
    <w:p w14:paraId="21B6E2F4" w14:textId="77777777" w:rsidR="003D646B" w:rsidRDefault="00000000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hyperlink r:id="rId12" w:tooltip="Μεθοδολογικές Πληροφορίες" w:history="1">
        <w:r w:rsidR="003D646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Μεθοδολογικές Πληροφορίες</w:t>
        </w:r>
      </w:hyperlink>
    </w:p>
    <w:p w14:paraId="002D634A" w14:textId="77777777" w:rsidR="00B04256" w:rsidRDefault="00B04256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46CDA5" w14:textId="77777777" w:rsidR="00FB55A5" w:rsidRPr="003F118C" w:rsidRDefault="00B04256" w:rsidP="00FB55A5">
      <w:pPr>
        <w:ind w:right="-79"/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3F118C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3F118C">
        <w:rPr>
          <w:rFonts w:ascii="Verdana" w:hAnsi="Verdana"/>
          <w:b/>
          <w:bCs/>
          <w:sz w:val="18"/>
          <w:szCs w:val="18"/>
        </w:rPr>
        <w:t>Excel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 Για τον Ιανουάριο 2023 και μετέπειτα, η ενημέρωση γίνεται μόνο στη Βάση Δεδομένων </w:t>
      </w:r>
      <w:r w:rsidRPr="003F118C">
        <w:rPr>
          <w:rFonts w:ascii="Verdana" w:hAnsi="Verdana"/>
          <w:b/>
          <w:bCs/>
          <w:sz w:val="18"/>
          <w:szCs w:val="18"/>
        </w:rPr>
        <w:t>CYSTAT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3F118C">
        <w:rPr>
          <w:rFonts w:ascii="Verdana" w:hAnsi="Verdana"/>
          <w:b/>
          <w:bCs/>
          <w:sz w:val="18"/>
          <w:szCs w:val="18"/>
        </w:rPr>
        <w:t>DB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7F4C22E2" w14:textId="77777777" w:rsidR="00B04256" w:rsidRPr="00B04256" w:rsidRDefault="00B04256" w:rsidP="00FB55A5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14:paraId="26E32E91" w14:textId="77777777" w:rsidR="00FB55A5" w:rsidRDefault="00FB55A5" w:rsidP="00FB55A5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1937BC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47E2AE4" w14:textId="77777777" w:rsidR="00DE5D35" w:rsidRDefault="00FB55A5" w:rsidP="00FB55A5">
      <w:pPr>
        <w:rPr>
          <w:rStyle w:val="Hyperlink"/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Ναυσικά Αποστόλου: </w:t>
      </w:r>
      <w:proofErr w:type="spellStart"/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.: 22602199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proofErr w:type="spellStart"/>
      <w:r w:rsidRPr="001937BC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1937BC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1937BC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1937BC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1937BC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13" w:history="1">
        <w:r w:rsidR="00F46406" w:rsidRPr="005D0E81">
          <w:rPr>
            <w:rStyle w:val="Hyperlink"/>
            <w:rFonts w:ascii="Verdana" w:hAnsi="Verdana"/>
            <w:sz w:val="18"/>
            <w:szCs w:val="18"/>
            <w:lang w:val="el-GR"/>
          </w:rPr>
          <w:t>napostolou@cystat.mof.gov.cy</w:t>
        </w:r>
      </w:hyperlink>
    </w:p>
    <w:p w14:paraId="3C03475F" w14:textId="5BAAAF8C" w:rsidR="00405879" w:rsidRPr="00B760F0" w:rsidRDefault="00405879" w:rsidP="00E25966">
      <w:pPr>
        <w:rPr>
          <w:sz w:val="20"/>
          <w:szCs w:val="20"/>
          <w:lang w:val="el-GR" w:eastAsia="en-CY"/>
        </w:rPr>
      </w:pPr>
    </w:p>
    <w:sectPr w:rsidR="00405879" w:rsidRPr="00B760F0" w:rsidSect="00D95CB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11" w:right="1134" w:bottom="102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F6E2" w14:textId="77777777" w:rsidR="008A5528" w:rsidRDefault="008A5528" w:rsidP="00FB398F">
      <w:r>
        <w:separator/>
      </w:r>
    </w:p>
  </w:endnote>
  <w:endnote w:type="continuationSeparator" w:id="0">
    <w:p w14:paraId="5FC54698" w14:textId="77777777" w:rsidR="008A5528" w:rsidRDefault="008A5528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A8D1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4E7EC8">
      <w:rPr>
        <w:noProof/>
      </w:rPr>
      <w:t>3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BE11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A12E81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422C6C2A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A9448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="004E4F42" w:rsidRPr="00A12E81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</w:t>
    </w:r>
    <w:hyperlink r:id="rId1" w:history="1">
      <w:r w:rsidR="004E4F42" w:rsidRPr="00A12E81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3D3E66DE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23E6" w14:textId="77777777" w:rsidR="008A5528" w:rsidRDefault="008A5528" w:rsidP="00FB398F">
      <w:r>
        <w:separator/>
      </w:r>
    </w:p>
  </w:footnote>
  <w:footnote w:type="continuationSeparator" w:id="0">
    <w:p w14:paraId="47B000A1" w14:textId="77777777" w:rsidR="008A5528" w:rsidRDefault="008A5528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05B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A437" w14:textId="77777777" w:rsidR="004E4F42" w:rsidRDefault="003F118C" w:rsidP="00D95CBE">
    <w:pPr>
      <w:pStyle w:val="Header"/>
      <w:tabs>
        <w:tab w:val="clear" w:pos="4153"/>
        <w:tab w:val="clear" w:pos="8306"/>
        <w:tab w:val="left" w:pos="4080"/>
      </w:tabs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CFC8B3" wp14:editId="3F536A85">
              <wp:simplePos x="0" y="0"/>
              <wp:positionH relativeFrom="column">
                <wp:posOffset>4454525</wp:posOffset>
              </wp:positionH>
              <wp:positionV relativeFrom="paragraph">
                <wp:posOffset>936625</wp:posOffset>
              </wp:positionV>
              <wp:extent cx="1828800" cy="43815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A8B23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5E8656E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C8B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0.75pt;margin-top:73.75pt;width:2in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RN8gEAAMo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" stroked="f">
              <v:textbox>
                <w:txbxContent>
                  <w:p w14:paraId="09EA8B23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5E8656E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A54F1" wp14:editId="39099F95">
              <wp:simplePos x="0" y="0"/>
              <wp:positionH relativeFrom="column">
                <wp:posOffset>4716780</wp:posOffset>
              </wp:positionH>
              <wp:positionV relativeFrom="paragraph">
                <wp:posOffset>26035</wp:posOffset>
              </wp:positionV>
              <wp:extent cx="1669415" cy="910590"/>
              <wp:effectExtent l="11430" t="6985" r="1270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6A883" w14:textId="77777777" w:rsidR="004E4F42" w:rsidRDefault="003F118C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243B310" wp14:editId="7A390DC7">
                                <wp:extent cx="1476375" cy="8096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A54F1" id="Text Box 14" o:spid="_x0000_s1027" type="#_x0000_t202" style="position:absolute;margin-left:371.4pt;margin-top:2.05pt;width:131.45pt;height:7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" strokecolor="white">
              <v:textbox style="mso-fit-shape-to-text:t">
                <w:txbxContent>
                  <w:p w14:paraId="5C46A883" w14:textId="77777777" w:rsidR="004E4F42" w:rsidRDefault="003F118C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243B310" wp14:editId="7A390DC7">
                          <wp:extent cx="1476375" cy="8096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413BDEB0" wp14:editId="30DACB53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                                                                                 </w:t>
    </w:r>
    <w:r w:rsidR="00C93716">
      <w:rPr>
        <w:rFonts w:ascii="Arial" w:hAnsi="Arial" w:cs="Arial"/>
        <w:bCs/>
        <w:sz w:val="18"/>
        <w:szCs w:val="18"/>
      </w:rPr>
      <w:t xml:space="preserve">     </w:t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</w:t>
    </w:r>
    <w:r w:rsidRPr="00815F28">
      <w:rPr>
        <w:noProof/>
      </w:rPr>
      <w:drawing>
        <wp:inline distT="0" distB="0" distL="0" distR="0" wp14:anchorId="54B6EA45" wp14:editId="08463EF9">
          <wp:extent cx="154305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0F5">
      <w:rPr>
        <w:rFonts w:ascii="Arial" w:hAnsi="Arial" w:cs="Arial"/>
        <w:bCs/>
        <w:sz w:val="18"/>
        <w:szCs w:val="18"/>
      </w:rPr>
      <w:tab/>
    </w:r>
  </w:p>
  <w:p w14:paraId="51EAC525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</w:p>
  <w:p w14:paraId="3699FD53" w14:textId="5ED333ED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4C982DAC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5886887">
    <w:abstractNumId w:val="5"/>
  </w:num>
  <w:num w:numId="2" w16cid:durableId="11346982">
    <w:abstractNumId w:val="2"/>
  </w:num>
  <w:num w:numId="3" w16cid:durableId="289941188">
    <w:abstractNumId w:val="3"/>
  </w:num>
  <w:num w:numId="4" w16cid:durableId="1658725001">
    <w:abstractNumId w:val="4"/>
  </w:num>
  <w:num w:numId="5" w16cid:durableId="272908784">
    <w:abstractNumId w:val="1"/>
  </w:num>
  <w:num w:numId="6" w16cid:durableId="1767575292">
    <w:abstractNumId w:val="6"/>
  </w:num>
  <w:num w:numId="7" w16cid:durableId="2305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2D1E"/>
    <w:rsid w:val="00004E08"/>
    <w:rsid w:val="0000542E"/>
    <w:rsid w:val="000059B2"/>
    <w:rsid w:val="00007B44"/>
    <w:rsid w:val="00012EC9"/>
    <w:rsid w:val="00013E40"/>
    <w:rsid w:val="000148F1"/>
    <w:rsid w:val="000161B1"/>
    <w:rsid w:val="00017E99"/>
    <w:rsid w:val="00022E82"/>
    <w:rsid w:val="00025A39"/>
    <w:rsid w:val="00027853"/>
    <w:rsid w:val="00030E18"/>
    <w:rsid w:val="00031D32"/>
    <w:rsid w:val="0003371B"/>
    <w:rsid w:val="00034A14"/>
    <w:rsid w:val="0003603D"/>
    <w:rsid w:val="000365A4"/>
    <w:rsid w:val="00045088"/>
    <w:rsid w:val="00045390"/>
    <w:rsid w:val="00045A06"/>
    <w:rsid w:val="0004770A"/>
    <w:rsid w:val="00050391"/>
    <w:rsid w:val="00055291"/>
    <w:rsid w:val="00055BB9"/>
    <w:rsid w:val="000563D3"/>
    <w:rsid w:val="00057162"/>
    <w:rsid w:val="00057E44"/>
    <w:rsid w:val="00061299"/>
    <w:rsid w:val="00066FA8"/>
    <w:rsid w:val="000671E6"/>
    <w:rsid w:val="00070576"/>
    <w:rsid w:val="00072074"/>
    <w:rsid w:val="000752BB"/>
    <w:rsid w:val="00076C03"/>
    <w:rsid w:val="00081ADF"/>
    <w:rsid w:val="000839A4"/>
    <w:rsid w:val="00084A02"/>
    <w:rsid w:val="00084BF7"/>
    <w:rsid w:val="000869DB"/>
    <w:rsid w:val="000870E9"/>
    <w:rsid w:val="00092DD6"/>
    <w:rsid w:val="000932CF"/>
    <w:rsid w:val="000942E5"/>
    <w:rsid w:val="00096ED8"/>
    <w:rsid w:val="000A0203"/>
    <w:rsid w:val="000A1A88"/>
    <w:rsid w:val="000A2B5C"/>
    <w:rsid w:val="000A32B3"/>
    <w:rsid w:val="000A3601"/>
    <w:rsid w:val="000A6FA8"/>
    <w:rsid w:val="000B0A64"/>
    <w:rsid w:val="000B3367"/>
    <w:rsid w:val="000B40DB"/>
    <w:rsid w:val="000B4267"/>
    <w:rsid w:val="000B5492"/>
    <w:rsid w:val="000B579E"/>
    <w:rsid w:val="000C0A04"/>
    <w:rsid w:val="000C1070"/>
    <w:rsid w:val="000C122B"/>
    <w:rsid w:val="000C1B8D"/>
    <w:rsid w:val="000C2BF6"/>
    <w:rsid w:val="000C3B16"/>
    <w:rsid w:val="000C4E72"/>
    <w:rsid w:val="000D1E7A"/>
    <w:rsid w:val="000D3C4D"/>
    <w:rsid w:val="000E24B1"/>
    <w:rsid w:val="000E2735"/>
    <w:rsid w:val="000E32D6"/>
    <w:rsid w:val="000E42D7"/>
    <w:rsid w:val="000E45D3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3E27"/>
    <w:rsid w:val="001046DA"/>
    <w:rsid w:val="00106852"/>
    <w:rsid w:val="00107DBB"/>
    <w:rsid w:val="00110F9D"/>
    <w:rsid w:val="00114A67"/>
    <w:rsid w:val="00114BC1"/>
    <w:rsid w:val="0011536F"/>
    <w:rsid w:val="001248A2"/>
    <w:rsid w:val="001253B6"/>
    <w:rsid w:val="001257BC"/>
    <w:rsid w:val="001262C3"/>
    <w:rsid w:val="00127320"/>
    <w:rsid w:val="00127456"/>
    <w:rsid w:val="001312D8"/>
    <w:rsid w:val="0013137B"/>
    <w:rsid w:val="001353D3"/>
    <w:rsid w:val="00143ED6"/>
    <w:rsid w:val="0015118B"/>
    <w:rsid w:val="001519CE"/>
    <w:rsid w:val="001530A1"/>
    <w:rsid w:val="001540D4"/>
    <w:rsid w:val="00161CF3"/>
    <w:rsid w:val="00162C00"/>
    <w:rsid w:val="001639EF"/>
    <w:rsid w:val="00163D46"/>
    <w:rsid w:val="001648A2"/>
    <w:rsid w:val="0016589F"/>
    <w:rsid w:val="001702EA"/>
    <w:rsid w:val="0017769A"/>
    <w:rsid w:val="00181155"/>
    <w:rsid w:val="0018250A"/>
    <w:rsid w:val="00183DFC"/>
    <w:rsid w:val="00184384"/>
    <w:rsid w:val="0018527E"/>
    <w:rsid w:val="0018595E"/>
    <w:rsid w:val="00186717"/>
    <w:rsid w:val="00187789"/>
    <w:rsid w:val="00187FFC"/>
    <w:rsid w:val="00194386"/>
    <w:rsid w:val="001959E3"/>
    <w:rsid w:val="001A1480"/>
    <w:rsid w:val="001A2018"/>
    <w:rsid w:val="001A2191"/>
    <w:rsid w:val="001A4860"/>
    <w:rsid w:val="001A4C47"/>
    <w:rsid w:val="001B1BD4"/>
    <w:rsid w:val="001B2C39"/>
    <w:rsid w:val="001B3675"/>
    <w:rsid w:val="001B5E10"/>
    <w:rsid w:val="001B6AB3"/>
    <w:rsid w:val="001B73D5"/>
    <w:rsid w:val="001B7F49"/>
    <w:rsid w:val="001C0681"/>
    <w:rsid w:val="001C22B4"/>
    <w:rsid w:val="001C549B"/>
    <w:rsid w:val="001C62B3"/>
    <w:rsid w:val="001C6A58"/>
    <w:rsid w:val="001C6D54"/>
    <w:rsid w:val="001C7C8C"/>
    <w:rsid w:val="001D0D6A"/>
    <w:rsid w:val="001D20A4"/>
    <w:rsid w:val="001D53A1"/>
    <w:rsid w:val="001E00D1"/>
    <w:rsid w:val="001E0E58"/>
    <w:rsid w:val="001E14F3"/>
    <w:rsid w:val="001E15ED"/>
    <w:rsid w:val="001E3856"/>
    <w:rsid w:val="001E47CD"/>
    <w:rsid w:val="001E61AA"/>
    <w:rsid w:val="001E7658"/>
    <w:rsid w:val="001F5381"/>
    <w:rsid w:val="001F5498"/>
    <w:rsid w:val="001F7A6D"/>
    <w:rsid w:val="00201F28"/>
    <w:rsid w:val="0020309E"/>
    <w:rsid w:val="00206189"/>
    <w:rsid w:val="0021061B"/>
    <w:rsid w:val="00210B58"/>
    <w:rsid w:val="00210E84"/>
    <w:rsid w:val="00216B06"/>
    <w:rsid w:val="00222423"/>
    <w:rsid w:val="00225807"/>
    <w:rsid w:val="00225B28"/>
    <w:rsid w:val="0022606C"/>
    <w:rsid w:val="00226891"/>
    <w:rsid w:val="00230D9B"/>
    <w:rsid w:val="002313AC"/>
    <w:rsid w:val="0023347D"/>
    <w:rsid w:val="002356C2"/>
    <w:rsid w:val="00235FB2"/>
    <w:rsid w:val="00236ECE"/>
    <w:rsid w:val="00237BC1"/>
    <w:rsid w:val="002430B4"/>
    <w:rsid w:val="002447D0"/>
    <w:rsid w:val="002454C5"/>
    <w:rsid w:val="00245E19"/>
    <w:rsid w:val="00246AEB"/>
    <w:rsid w:val="00247871"/>
    <w:rsid w:val="00250005"/>
    <w:rsid w:val="0025254F"/>
    <w:rsid w:val="0025566D"/>
    <w:rsid w:val="0025595C"/>
    <w:rsid w:val="00256E2A"/>
    <w:rsid w:val="00257149"/>
    <w:rsid w:val="002576E7"/>
    <w:rsid w:val="00260357"/>
    <w:rsid w:val="002620B5"/>
    <w:rsid w:val="00264637"/>
    <w:rsid w:val="00264F04"/>
    <w:rsid w:val="00267554"/>
    <w:rsid w:val="00273C8A"/>
    <w:rsid w:val="0027474C"/>
    <w:rsid w:val="00274E2B"/>
    <w:rsid w:val="002818A5"/>
    <w:rsid w:val="00281B73"/>
    <w:rsid w:val="00281D55"/>
    <w:rsid w:val="0028338F"/>
    <w:rsid w:val="0028381B"/>
    <w:rsid w:val="002915C4"/>
    <w:rsid w:val="0029215E"/>
    <w:rsid w:val="00292B36"/>
    <w:rsid w:val="00293BF0"/>
    <w:rsid w:val="00297E6B"/>
    <w:rsid w:val="002A1D1C"/>
    <w:rsid w:val="002A4D64"/>
    <w:rsid w:val="002A67D9"/>
    <w:rsid w:val="002B4969"/>
    <w:rsid w:val="002B6554"/>
    <w:rsid w:val="002B6788"/>
    <w:rsid w:val="002B7DAA"/>
    <w:rsid w:val="002C3834"/>
    <w:rsid w:val="002C7AF3"/>
    <w:rsid w:val="002D0045"/>
    <w:rsid w:val="002D05F0"/>
    <w:rsid w:val="002D2829"/>
    <w:rsid w:val="002D4064"/>
    <w:rsid w:val="002D7D4A"/>
    <w:rsid w:val="002E0EE8"/>
    <w:rsid w:val="002E28AD"/>
    <w:rsid w:val="002E383B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06B28"/>
    <w:rsid w:val="00312C52"/>
    <w:rsid w:val="00313F37"/>
    <w:rsid w:val="003141D0"/>
    <w:rsid w:val="003168C1"/>
    <w:rsid w:val="00322FBE"/>
    <w:rsid w:val="00325570"/>
    <w:rsid w:val="00325632"/>
    <w:rsid w:val="003263AF"/>
    <w:rsid w:val="00327549"/>
    <w:rsid w:val="003341A3"/>
    <w:rsid w:val="003342A5"/>
    <w:rsid w:val="00334616"/>
    <w:rsid w:val="00336C36"/>
    <w:rsid w:val="003403B5"/>
    <w:rsid w:val="00343278"/>
    <w:rsid w:val="00343702"/>
    <w:rsid w:val="00343815"/>
    <w:rsid w:val="0035178C"/>
    <w:rsid w:val="003522BB"/>
    <w:rsid w:val="00352F6C"/>
    <w:rsid w:val="00354298"/>
    <w:rsid w:val="003556EA"/>
    <w:rsid w:val="003640B7"/>
    <w:rsid w:val="00377170"/>
    <w:rsid w:val="0038153A"/>
    <w:rsid w:val="00383AC7"/>
    <w:rsid w:val="00386FC7"/>
    <w:rsid w:val="00390A32"/>
    <w:rsid w:val="003A0859"/>
    <w:rsid w:val="003A1142"/>
    <w:rsid w:val="003A1E91"/>
    <w:rsid w:val="003A241F"/>
    <w:rsid w:val="003A40F2"/>
    <w:rsid w:val="003A50D1"/>
    <w:rsid w:val="003A667A"/>
    <w:rsid w:val="003B0EF6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348"/>
    <w:rsid w:val="003D3471"/>
    <w:rsid w:val="003D646B"/>
    <w:rsid w:val="003D6822"/>
    <w:rsid w:val="003D724C"/>
    <w:rsid w:val="003E0CE2"/>
    <w:rsid w:val="003E3E46"/>
    <w:rsid w:val="003E6FF5"/>
    <w:rsid w:val="003F118C"/>
    <w:rsid w:val="003F1C6D"/>
    <w:rsid w:val="003F2CBC"/>
    <w:rsid w:val="003F45FC"/>
    <w:rsid w:val="003F49E4"/>
    <w:rsid w:val="003F4D2F"/>
    <w:rsid w:val="003F5E32"/>
    <w:rsid w:val="003F69B6"/>
    <w:rsid w:val="003F75F6"/>
    <w:rsid w:val="003F7F2C"/>
    <w:rsid w:val="004037A2"/>
    <w:rsid w:val="00404670"/>
    <w:rsid w:val="00404939"/>
    <w:rsid w:val="00405879"/>
    <w:rsid w:val="00414CA0"/>
    <w:rsid w:val="004217D5"/>
    <w:rsid w:val="00422F54"/>
    <w:rsid w:val="00425B2C"/>
    <w:rsid w:val="00431516"/>
    <w:rsid w:val="004361B3"/>
    <w:rsid w:val="00436DD3"/>
    <w:rsid w:val="00440B9F"/>
    <w:rsid w:val="004423CD"/>
    <w:rsid w:val="0044249D"/>
    <w:rsid w:val="0044379F"/>
    <w:rsid w:val="004438DB"/>
    <w:rsid w:val="0044405C"/>
    <w:rsid w:val="00444FCC"/>
    <w:rsid w:val="00446FB1"/>
    <w:rsid w:val="0045145A"/>
    <w:rsid w:val="00452753"/>
    <w:rsid w:val="0045603D"/>
    <w:rsid w:val="0046078F"/>
    <w:rsid w:val="00463214"/>
    <w:rsid w:val="0046434D"/>
    <w:rsid w:val="00464F69"/>
    <w:rsid w:val="00464FEB"/>
    <w:rsid w:val="004656FA"/>
    <w:rsid w:val="00471D77"/>
    <w:rsid w:val="00475566"/>
    <w:rsid w:val="00475587"/>
    <w:rsid w:val="00480BC2"/>
    <w:rsid w:val="0049261A"/>
    <w:rsid w:val="004929C2"/>
    <w:rsid w:val="00493FDD"/>
    <w:rsid w:val="00495727"/>
    <w:rsid w:val="0049586B"/>
    <w:rsid w:val="00495D7C"/>
    <w:rsid w:val="00497B3F"/>
    <w:rsid w:val="004A2A58"/>
    <w:rsid w:val="004A3E44"/>
    <w:rsid w:val="004B1F39"/>
    <w:rsid w:val="004B2018"/>
    <w:rsid w:val="004B20DE"/>
    <w:rsid w:val="004B2896"/>
    <w:rsid w:val="004B31D7"/>
    <w:rsid w:val="004B378C"/>
    <w:rsid w:val="004B38E9"/>
    <w:rsid w:val="004B3FBA"/>
    <w:rsid w:val="004B6599"/>
    <w:rsid w:val="004C0966"/>
    <w:rsid w:val="004C2A4B"/>
    <w:rsid w:val="004C390D"/>
    <w:rsid w:val="004C394D"/>
    <w:rsid w:val="004C6CA7"/>
    <w:rsid w:val="004D071F"/>
    <w:rsid w:val="004D2721"/>
    <w:rsid w:val="004D4357"/>
    <w:rsid w:val="004D4950"/>
    <w:rsid w:val="004E2393"/>
    <w:rsid w:val="004E25AC"/>
    <w:rsid w:val="004E2605"/>
    <w:rsid w:val="004E288E"/>
    <w:rsid w:val="004E3745"/>
    <w:rsid w:val="004E42BE"/>
    <w:rsid w:val="004E4F42"/>
    <w:rsid w:val="004E5CEE"/>
    <w:rsid w:val="004E63D5"/>
    <w:rsid w:val="004E65F9"/>
    <w:rsid w:val="004E7EC8"/>
    <w:rsid w:val="004F03FD"/>
    <w:rsid w:val="004F2C9D"/>
    <w:rsid w:val="004F2DB2"/>
    <w:rsid w:val="004F46C5"/>
    <w:rsid w:val="004F52F0"/>
    <w:rsid w:val="004F6250"/>
    <w:rsid w:val="004F6542"/>
    <w:rsid w:val="004F677C"/>
    <w:rsid w:val="004F6D8F"/>
    <w:rsid w:val="00505503"/>
    <w:rsid w:val="005064E5"/>
    <w:rsid w:val="00507F2E"/>
    <w:rsid w:val="0051107B"/>
    <w:rsid w:val="00512CE8"/>
    <w:rsid w:val="00512F9C"/>
    <w:rsid w:val="005132ED"/>
    <w:rsid w:val="00514E41"/>
    <w:rsid w:val="00521DFE"/>
    <w:rsid w:val="00527CDB"/>
    <w:rsid w:val="005335B9"/>
    <w:rsid w:val="005341C9"/>
    <w:rsid w:val="005369CA"/>
    <w:rsid w:val="00536D0B"/>
    <w:rsid w:val="00536DE9"/>
    <w:rsid w:val="00536F27"/>
    <w:rsid w:val="00540703"/>
    <w:rsid w:val="00541E08"/>
    <w:rsid w:val="00542B81"/>
    <w:rsid w:val="00545330"/>
    <w:rsid w:val="00545F21"/>
    <w:rsid w:val="00554FE0"/>
    <w:rsid w:val="00556AAC"/>
    <w:rsid w:val="005576DF"/>
    <w:rsid w:val="0055789A"/>
    <w:rsid w:val="00560952"/>
    <w:rsid w:val="005652D1"/>
    <w:rsid w:val="005660A0"/>
    <w:rsid w:val="00566A4F"/>
    <w:rsid w:val="00567D64"/>
    <w:rsid w:val="005765CB"/>
    <w:rsid w:val="00583042"/>
    <w:rsid w:val="00591B64"/>
    <w:rsid w:val="005978D4"/>
    <w:rsid w:val="00597A21"/>
    <w:rsid w:val="005A0D3D"/>
    <w:rsid w:val="005A1338"/>
    <w:rsid w:val="005A19B8"/>
    <w:rsid w:val="005A23FA"/>
    <w:rsid w:val="005B2A67"/>
    <w:rsid w:val="005B2F45"/>
    <w:rsid w:val="005B3DCD"/>
    <w:rsid w:val="005B4AD4"/>
    <w:rsid w:val="005B5602"/>
    <w:rsid w:val="005B61F8"/>
    <w:rsid w:val="005B790A"/>
    <w:rsid w:val="005C2798"/>
    <w:rsid w:val="005C36C3"/>
    <w:rsid w:val="005C56DD"/>
    <w:rsid w:val="005C56EE"/>
    <w:rsid w:val="005D1714"/>
    <w:rsid w:val="005D6116"/>
    <w:rsid w:val="005D760E"/>
    <w:rsid w:val="005D7638"/>
    <w:rsid w:val="005E5534"/>
    <w:rsid w:val="005E66E0"/>
    <w:rsid w:val="005E6A43"/>
    <w:rsid w:val="005F12F5"/>
    <w:rsid w:val="005F1EAE"/>
    <w:rsid w:val="005F483D"/>
    <w:rsid w:val="005F538F"/>
    <w:rsid w:val="005F5586"/>
    <w:rsid w:val="005F5696"/>
    <w:rsid w:val="005F7C7D"/>
    <w:rsid w:val="006007C7"/>
    <w:rsid w:val="006044B7"/>
    <w:rsid w:val="006052E8"/>
    <w:rsid w:val="006071CE"/>
    <w:rsid w:val="006075B5"/>
    <w:rsid w:val="0061018C"/>
    <w:rsid w:val="0061094E"/>
    <w:rsid w:val="00613440"/>
    <w:rsid w:val="00613BE3"/>
    <w:rsid w:val="00613D45"/>
    <w:rsid w:val="00613F84"/>
    <w:rsid w:val="00615E04"/>
    <w:rsid w:val="0062327B"/>
    <w:rsid w:val="00624B50"/>
    <w:rsid w:val="00627ACA"/>
    <w:rsid w:val="00632777"/>
    <w:rsid w:val="00633750"/>
    <w:rsid w:val="00633A66"/>
    <w:rsid w:val="00634491"/>
    <w:rsid w:val="00634F6C"/>
    <w:rsid w:val="0063679C"/>
    <w:rsid w:val="00637055"/>
    <w:rsid w:val="006413E2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0C23"/>
    <w:rsid w:val="00665974"/>
    <w:rsid w:val="00667E07"/>
    <w:rsid w:val="00671785"/>
    <w:rsid w:val="00672BA9"/>
    <w:rsid w:val="00673005"/>
    <w:rsid w:val="00676AA8"/>
    <w:rsid w:val="006804BE"/>
    <w:rsid w:val="00682706"/>
    <w:rsid w:val="00682728"/>
    <w:rsid w:val="0068434A"/>
    <w:rsid w:val="0069008E"/>
    <w:rsid w:val="0069087E"/>
    <w:rsid w:val="006925C4"/>
    <w:rsid w:val="00696D73"/>
    <w:rsid w:val="006A02B7"/>
    <w:rsid w:val="006A6AD8"/>
    <w:rsid w:val="006A7019"/>
    <w:rsid w:val="006B46D5"/>
    <w:rsid w:val="006B46F4"/>
    <w:rsid w:val="006C39BB"/>
    <w:rsid w:val="006C7AF3"/>
    <w:rsid w:val="006D0B9D"/>
    <w:rsid w:val="006D602A"/>
    <w:rsid w:val="006D6548"/>
    <w:rsid w:val="006E0E20"/>
    <w:rsid w:val="006E19F0"/>
    <w:rsid w:val="006E2689"/>
    <w:rsid w:val="006E4256"/>
    <w:rsid w:val="006E4BBA"/>
    <w:rsid w:val="006E5F43"/>
    <w:rsid w:val="006E60A6"/>
    <w:rsid w:val="006E79AC"/>
    <w:rsid w:val="006F0F69"/>
    <w:rsid w:val="006F116B"/>
    <w:rsid w:val="006F117F"/>
    <w:rsid w:val="006F13DF"/>
    <w:rsid w:val="006F2780"/>
    <w:rsid w:val="006F3809"/>
    <w:rsid w:val="006F4214"/>
    <w:rsid w:val="006F69FB"/>
    <w:rsid w:val="006F7283"/>
    <w:rsid w:val="00702F26"/>
    <w:rsid w:val="0070313E"/>
    <w:rsid w:val="00703799"/>
    <w:rsid w:val="00704D1D"/>
    <w:rsid w:val="00705C5C"/>
    <w:rsid w:val="00710C61"/>
    <w:rsid w:val="00711475"/>
    <w:rsid w:val="007116CE"/>
    <w:rsid w:val="00716401"/>
    <w:rsid w:val="00720A6A"/>
    <w:rsid w:val="00721BD0"/>
    <w:rsid w:val="007223BC"/>
    <w:rsid w:val="00723BF8"/>
    <w:rsid w:val="0072548A"/>
    <w:rsid w:val="007277A6"/>
    <w:rsid w:val="00733A8C"/>
    <w:rsid w:val="0074028F"/>
    <w:rsid w:val="007437AB"/>
    <w:rsid w:val="00745425"/>
    <w:rsid w:val="007457DC"/>
    <w:rsid w:val="00747B6B"/>
    <w:rsid w:val="00747D04"/>
    <w:rsid w:val="007534F8"/>
    <w:rsid w:val="0075413E"/>
    <w:rsid w:val="007545AD"/>
    <w:rsid w:val="00757ADE"/>
    <w:rsid w:val="007605FE"/>
    <w:rsid w:val="00763722"/>
    <w:rsid w:val="00764081"/>
    <w:rsid w:val="00764BC1"/>
    <w:rsid w:val="0076604A"/>
    <w:rsid w:val="00770869"/>
    <w:rsid w:val="00770C2E"/>
    <w:rsid w:val="00772FE4"/>
    <w:rsid w:val="007738AA"/>
    <w:rsid w:val="0078022C"/>
    <w:rsid w:val="00780A62"/>
    <w:rsid w:val="00783241"/>
    <w:rsid w:val="00784BDC"/>
    <w:rsid w:val="00785684"/>
    <w:rsid w:val="00786CF4"/>
    <w:rsid w:val="007924A2"/>
    <w:rsid w:val="00792F28"/>
    <w:rsid w:val="0079543F"/>
    <w:rsid w:val="00795880"/>
    <w:rsid w:val="007A1268"/>
    <w:rsid w:val="007A15D5"/>
    <w:rsid w:val="007A270B"/>
    <w:rsid w:val="007A4099"/>
    <w:rsid w:val="007A4367"/>
    <w:rsid w:val="007B0867"/>
    <w:rsid w:val="007B15EA"/>
    <w:rsid w:val="007B1AC1"/>
    <w:rsid w:val="007B4B39"/>
    <w:rsid w:val="007B4BFD"/>
    <w:rsid w:val="007B5A08"/>
    <w:rsid w:val="007B693D"/>
    <w:rsid w:val="007C1738"/>
    <w:rsid w:val="007C1EA2"/>
    <w:rsid w:val="007C4CDC"/>
    <w:rsid w:val="007C597A"/>
    <w:rsid w:val="007C6102"/>
    <w:rsid w:val="007C64E6"/>
    <w:rsid w:val="007D0380"/>
    <w:rsid w:val="007D602E"/>
    <w:rsid w:val="007E041B"/>
    <w:rsid w:val="007E199A"/>
    <w:rsid w:val="007E20FC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5BA7"/>
    <w:rsid w:val="00806EA2"/>
    <w:rsid w:val="00812A2B"/>
    <w:rsid w:val="00814A4C"/>
    <w:rsid w:val="00814BDA"/>
    <w:rsid w:val="00816BF0"/>
    <w:rsid w:val="0082356C"/>
    <w:rsid w:val="00831AAB"/>
    <w:rsid w:val="00833BCD"/>
    <w:rsid w:val="00834287"/>
    <w:rsid w:val="00834B82"/>
    <w:rsid w:val="00834E38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0A90"/>
    <w:rsid w:val="00850E1B"/>
    <w:rsid w:val="00851807"/>
    <w:rsid w:val="008528B3"/>
    <w:rsid w:val="008535C5"/>
    <w:rsid w:val="00853765"/>
    <w:rsid w:val="00854660"/>
    <w:rsid w:val="0085516F"/>
    <w:rsid w:val="00856783"/>
    <w:rsid w:val="00856A94"/>
    <w:rsid w:val="00860C57"/>
    <w:rsid w:val="00863FFB"/>
    <w:rsid w:val="00866CA5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A126B"/>
    <w:rsid w:val="008A2744"/>
    <w:rsid w:val="008A5528"/>
    <w:rsid w:val="008A5918"/>
    <w:rsid w:val="008B0E7E"/>
    <w:rsid w:val="008B1A54"/>
    <w:rsid w:val="008B29F0"/>
    <w:rsid w:val="008B3C0A"/>
    <w:rsid w:val="008B65BD"/>
    <w:rsid w:val="008B7900"/>
    <w:rsid w:val="008C71BF"/>
    <w:rsid w:val="008C7FE0"/>
    <w:rsid w:val="008D4AC9"/>
    <w:rsid w:val="008D5717"/>
    <w:rsid w:val="008E018D"/>
    <w:rsid w:val="008E3A27"/>
    <w:rsid w:val="008E415F"/>
    <w:rsid w:val="008E44A9"/>
    <w:rsid w:val="008E6362"/>
    <w:rsid w:val="008E66FB"/>
    <w:rsid w:val="008E6B4D"/>
    <w:rsid w:val="008E6BFF"/>
    <w:rsid w:val="008F21AF"/>
    <w:rsid w:val="008F2400"/>
    <w:rsid w:val="008F61BA"/>
    <w:rsid w:val="008F6E3C"/>
    <w:rsid w:val="008F7871"/>
    <w:rsid w:val="008F7C55"/>
    <w:rsid w:val="009018FC"/>
    <w:rsid w:val="00913967"/>
    <w:rsid w:val="00914A23"/>
    <w:rsid w:val="00915D53"/>
    <w:rsid w:val="00930754"/>
    <w:rsid w:val="00934F68"/>
    <w:rsid w:val="009355AC"/>
    <w:rsid w:val="00935F38"/>
    <w:rsid w:val="00936E21"/>
    <w:rsid w:val="00937586"/>
    <w:rsid w:val="00937A69"/>
    <w:rsid w:val="009405B0"/>
    <w:rsid w:val="00942294"/>
    <w:rsid w:val="00946676"/>
    <w:rsid w:val="00947889"/>
    <w:rsid w:val="009478BD"/>
    <w:rsid w:val="0095600D"/>
    <w:rsid w:val="00960E98"/>
    <w:rsid w:val="00963A82"/>
    <w:rsid w:val="00972147"/>
    <w:rsid w:val="00972912"/>
    <w:rsid w:val="00976D1F"/>
    <w:rsid w:val="00980523"/>
    <w:rsid w:val="00981C81"/>
    <w:rsid w:val="00982D65"/>
    <w:rsid w:val="00982F81"/>
    <w:rsid w:val="009869F2"/>
    <w:rsid w:val="0098789B"/>
    <w:rsid w:val="009923AF"/>
    <w:rsid w:val="009963EE"/>
    <w:rsid w:val="009A09EF"/>
    <w:rsid w:val="009A2D24"/>
    <w:rsid w:val="009A456C"/>
    <w:rsid w:val="009A4A56"/>
    <w:rsid w:val="009A5E30"/>
    <w:rsid w:val="009B00E0"/>
    <w:rsid w:val="009B292A"/>
    <w:rsid w:val="009B6F56"/>
    <w:rsid w:val="009B76D5"/>
    <w:rsid w:val="009C0E86"/>
    <w:rsid w:val="009C165D"/>
    <w:rsid w:val="009C3CEA"/>
    <w:rsid w:val="009C583D"/>
    <w:rsid w:val="009D2611"/>
    <w:rsid w:val="009D440E"/>
    <w:rsid w:val="009D77BF"/>
    <w:rsid w:val="009D79D2"/>
    <w:rsid w:val="009E247C"/>
    <w:rsid w:val="009E31BA"/>
    <w:rsid w:val="009F028E"/>
    <w:rsid w:val="009F0528"/>
    <w:rsid w:val="009F0806"/>
    <w:rsid w:val="009F233B"/>
    <w:rsid w:val="009F6337"/>
    <w:rsid w:val="00A0297C"/>
    <w:rsid w:val="00A05D16"/>
    <w:rsid w:val="00A0659F"/>
    <w:rsid w:val="00A073F9"/>
    <w:rsid w:val="00A079BA"/>
    <w:rsid w:val="00A12E81"/>
    <w:rsid w:val="00A14E8C"/>
    <w:rsid w:val="00A15BA2"/>
    <w:rsid w:val="00A1625B"/>
    <w:rsid w:val="00A20C70"/>
    <w:rsid w:val="00A25594"/>
    <w:rsid w:val="00A25711"/>
    <w:rsid w:val="00A268DD"/>
    <w:rsid w:val="00A27EB3"/>
    <w:rsid w:val="00A30AAF"/>
    <w:rsid w:val="00A33875"/>
    <w:rsid w:val="00A357D8"/>
    <w:rsid w:val="00A360A1"/>
    <w:rsid w:val="00A368E0"/>
    <w:rsid w:val="00A402B3"/>
    <w:rsid w:val="00A44ED7"/>
    <w:rsid w:val="00A47C39"/>
    <w:rsid w:val="00A536E9"/>
    <w:rsid w:val="00A53C29"/>
    <w:rsid w:val="00A53E3F"/>
    <w:rsid w:val="00A544B7"/>
    <w:rsid w:val="00A55EF2"/>
    <w:rsid w:val="00A618CF"/>
    <w:rsid w:val="00A62770"/>
    <w:rsid w:val="00A62EEB"/>
    <w:rsid w:val="00A660FF"/>
    <w:rsid w:val="00A718DF"/>
    <w:rsid w:val="00A73395"/>
    <w:rsid w:val="00A73CEE"/>
    <w:rsid w:val="00A76A05"/>
    <w:rsid w:val="00A771E3"/>
    <w:rsid w:val="00A81E0F"/>
    <w:rsid w:val="00A8203D"/>
    <w:rsid w:val="00A82B4C"/>
    <w:rsid w:val="00A8539F"/>
    <w:rsid w:val="00A91158"/>
    <w:rsid w:val="00A93A4C"/>
    <w:rsid w:val="00A94488"/>
    <w:rsid w:val="00A94D5D"/>
    <w:rsid w:val="00A95C13"/>
    <w:rsid w:val="00AA1D9B"/>
    <w:rsid w:val="00AA2543"/>
    <w:rsid w:val="00AA2F69"/>
    <w:rsid w:val="00AA2FC2"/>
    <w:rsid w:val="00AA3804"/>
    <w:rsid w:val="00AA5464"/>
    <w:rsid w:val="00AA55C2"/>
    <w:rsid w:val="00AB0ACA"/>
    <w:rsid w:val="00AB0B31"/>
    <w:rsid w:val="00AB1D41"/>
    <w:rsid w:val="00AB2915"/>
    <w:rsid w:val="00AB2D2D"/>
    <w:rsid w:val="00AB4C5E"/>
    <w:rsid w:val="00AB714D"/>
    <w:rsid w:val="00AC5706"/>
    <w:rsid w:val="00AC5E9A"/>
    <w:rsid w:val="00AC68E0"/>
    <w:rsid w:val="00AC704B"/>
    <w:rsid w:val="00AD04A1"/>
    <w:rsid w:val="00AD1654"/>
    <w:rsid w:val="00AD553E"/>
    <w:rsid w:val="00AD5848"/>
    <w:rsid w:val="00AD58B7"/>
    <w:rsid w:val="00AD61E7"/>
    <w:rsid w:val="00AE2EE0"/>
    <w:rsid w:val="00AE5ADA"/>
    <w:rsid w:val="00AF16D6"/>
    <w:rsid w:val="00AF6145"/>
    <w:rsid w:val="00B01386"/>
    <w:rsid w:val="00B01BB5"/>
    <w:rsid w:val="00B026CC"/>
    <w:rsid w:val="00B03E3B"/>
    <w:rsid w:val="00B04256"/>
    <w:rsid w:val="00B04AF4"/>
    <w:rsid w:val="00B04F1E"/>
    <w:rsid w:val="00B05214"/>
    <w:rsid w:val="00B1003C"/>
    <w:rsid w:val="00B14D5D"/>
    <w:rsid w:val="00B22CF2"/>
    <w:rsid w:val="00B30D97"/>
    <w:rsid w:val="00B31074"/>
    <w:rsid w:val="00B3181A"/>
    <w:rsid w:val="00B35A7C"/>
    <w:rsid w:val="00B417A9"/>
    <w:rsid w:val="00B44ECD"/>
    <w:rsid w:val="00B450D1"/>
    <w:rsid w:val="00B52E01"/>
    <w:rsid w:val="00B53636"/>
    <w:rsid w:val="00B53D47"/>
    <w:rsid w:val="00B54A25"/>
    <w:rsid w:val="00B616AA"/>
    <w:rsid w:val="00B618C3"/>
    <w:rsid w:val="00B62A89"/>
    <w:rsid w:val="00B63652"/>
    <w:rsid w:val="00B668B0"/>
    <w:rsid w:val="00B66C47"/>
    <w:rsid w:val="00B67200"/>
    <w:rsid w:val="00B70F5C"/>
    <w:rsid w:val="00B7141D"/>
    <w:rsid w:val="00B71873"/>
    <w:rsid w:val="00B73980"/>
    <w:rsid w:val="00B75AE5"/>
    <w:rsid w:val="00B760F0"/>
    <w:rsid w:val="00B800C0"/>
    <w:rsid w:val="00B8132B"/>
    <w:rsid w:val="00B8213A"/>
    <w:rsid w:val="00B84C5A"/>
    <w:rsid w:val="00B84E52"/>
    <w:rsid w:val="00B85379"/>
    <w:rsid w:val="00B858F5"/>
    <w:rsid w:val="00B93668"/>
    <w:rsid w:val="00B93D3D"/>
    <w:rsid w:val="00B955CB"/>
    <w:rsid w:val="00B9718A"/>
    <w:rsid w:val="00BA151C"/>
    <w:rsid w:val="00BA2CC5"/>
    <w:rsid w:val="00BA68C6"/>
    <w:rsid w:val="00BB12F1"/>
    <w:rsid w:val="00BB276E"/>
    <w:rsid w:val="00BB3FEE"/>
    <w:rsid w:val="00BB5EB0"/>
    <w:rsid w:val="00BC00EA"/>
    <w:rsid w:val="00BC0352"/>
    <w:rsid w:val="00BC0539"/>
    <w:rsid w:val="00BC245A"/>
    <w:rsid w:val="00BC6D0A"/>
    <w:rsid w:val="00BD0FFB"/>
    <w:rsid w:val="00BD16FA"/>
    <w:rsid w:val="00BD41C3"/>
    <w:rsid w:val="00BD488B"/>
    <w:rsid w:val="00BD6616"/>
    <w:rsid w:val="00BD75A1"/>
    <w:rsid w:val="00BD7850"/>
    <w:rsid w:val="00BD7CCC"/>
    <w:rsid w:val="00BE002A"/>
    <w:rsid w:val="00BE0283"/>
    <w:rsid w:val="00BE1BC9"/>
    <w:rsid w:val="00BE46FC"/>
    <w:rsid w:val="00BE5CDA"/>
    <w:rsid w:val="00BE608F"/>
    <w:rsid w:val="00BE6876"/>
    <w:rsid w:val="00BF23BB"/>
    <w:rsid w:val="00BF2D24"/>
    <w:rsid w:val="00BF33DD"/>
    <w:rsid w:val="00BF52D2"/>
    <w:rsid w:val="00BF5755"/>
    <w:rsid w:val="00BF5BD2"/>
    <w:rsid w:val="00BF684B"/>
    <w:rsid w:val="00C016F3"/>
    <w:rsid w:val="00C03F3F"/>
    <w:rsid w:val="00C07BFD"/>
    <w:rsid w:val="00C15193"/>
    <w:rsid w:val="00C15609"/>
    <w:rsid w:val="00C15F6A"/>
    <w:rsid w:val="00C16942"/>
    <w:rsid w:val="00C235CB"/>
    <w:rsid w:val="00C23EA7"/>
    <w:rsid w:val="00C2470F"/>
    <w:rsid w:val="00C254C3"/>
    <w:rsid w:val="00C256F3"/>
    <w:rsid w:val="00C270A2"/>
    <w:rsid w:val="00C315B5"/>
    <w:rsid w:val="00C3233C"/>
    <w:rsid w:val="00C35994"/>
    <w:rsid w:val="00C35E28"/>
    <w:rsid w:val="00C426AF"/>
    <w:rsid w:val="00C469C1"/>
    <w:rsid w:val="00C500CD"/>
    <w:rsid w:val="00C50659"/>
    <w:rsid w:val="00C519D6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756F6"/>
    <w:rsid w:val="00C82E26"/>
    <w:rsid w:val="00C83027"/>
    <w:rsid w:val="00C84B8A"/>
    <w:rsid w:val="00C84FAF"/>
    <w:rsid w:val="00C85E65"/>
    <w:rsid w:val="00C87CA1"/>
    <w:rsid w:val="00C911B4"/>
    <w:rsid w:val="00C91550"/>
    <w:rsid w:val="00C91934"/>
    <w:rsid w:val="00C91B3B"/>
    <w:rsid w:val="00C92C30"/>
    <w:rsid w:val="00C93716"/>
    <w:rsid w:val="00C94262"/>
    <w:rsid w:val="00C96A74"/>
    <w:rsid w:val="00C976E1"/>
    <w:rsid w:val="00CA148E"/>
    <w:rsid w:val="00CA1D93"/>
    <w:rsid w:val="00CA3A9A"/>
    <w:rsid w:val="00CA5E9A"/>
    <w:rsid w:val="00CB5F7F"/>
    <w:rsid w:val="00CB6438"/>
    <w:rsid w:val="00CB6BC1"/>
    <w:rsid w:val="00CB7021"/>
    <w:rsid w:val="00CD3294"/>
    <w:rsid w:val="00CD4524"/>
    <w:rsid w:val="00CD5C6B"/>
    <w:rsid w:val="00CD6027"/>
    <w:rsid w:val="00CD784D"/>
    <w:rsid w:val="00CE29AF"/>
    <w:rsid w:val="00CE3D59"/>
    <w:rsid w:val="00CF025A"/>
    <w:rsid w:val="00CF0B80"/>
    <w:rsid w:val="00CF2355"/>
    <w:rsid w:val="00CF3A1C"/>
    <w:rsid w:val="00CF40F8"/>
    <w:rsid w:val="00D008DA"/>
    <w:rsid w:val="00D024B0"/>
    <w:rsid w:val="00D02859"/>
    <w:rsid w:val="00D0416F"/>
    <w:rsid w:val="00D04B73"/>
    <w:rsid w:val="00D04CE0"/>
    <w:rsid w:val="00D04F74"/>
    <w:rsid w:val="00D05851"/>
    <w:rsid w:val="00D06632"/>
    <w:rsid w:val="00D10FED"/>
    <w:rsid w:val="00D11736"/>
    <w:rsid w:val="00D12EE8"/>
    <w:rsid w:val="00D14CDF"/>
    <w:rsid w:val="00D15FF1"/>
    <w:rsid w:val="00D167F4"/>
    <w:rsid w:val="00D17323"/>
    <w:rsid w:val="00D1733F"/>
    <w:rsid w:val="00D2092A"/>
    <w:rsid w:val="00D2216D"/>
    <w:rsid w:val="00D31A6F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476FC"/>
    <w:rsid w:val="00D50424"/>
    <w:rsid w:val="00D523D2"/>
    <w:rsid w:val="00D525C9"/>
    <w:rsid w:val="00D54047"/>
    <w:rsid w:val="00D543C3"/>
    <w:rsid w:val="00D57D3E"/>
    <w:rsid w:val="00D620FA"/>
    <w:rsid w:val="00D66E02"/>
    <w:rsid w:val="00D67EF5"/>
    <w:rsid w:val="00D71A61"/>
    <w:rsid w:val="00D75917"/>
    <w:rsid w:val="00D76249"/>
    <w:rsid w:val="00D862D1"/>
    <w:rsid w:val="00D95CBE"/>
    <w:rsid w:val="00D968F8"/>
    <w:rsid w:val="00DA2526"/>
    <w:rsid w:val="00DA2913"/>
    <w:rsid w:val="00DA5C22"/>
    <w:rsid w:val="00DA7D12"/>
    <w:rsid w:val="00DB25ED"/>
    <w:rsid w:val="00DB62B5"/>
    <w:rsid w:val="00DB6505"/>
    <w:rsid w:val="00DB744B"/>
    <w:rsid w:val="00DC23CF"/>
    <w:rsid w:val="00DC6562"/>
    <w:rsid w:val="00DC6CB8"/>
    <w:rsid w:val="00DC7416"/>
    <w:rsid w:val="00DD0069"/>
    <w:rsid w:val="00DD1944"/>
    <w:rsid w:val="00DD1A90"/>
    <w:rsid w:val="00DD1FAA"/>
    <w:rsid w:val="00DD2919"/>
    <w:rsid w:val="00DD298A"/>
    <w:rsid w:val="00DD7F94"/>
    <w:rsid w:val="00DE0339"/>
    <w:rsid w:val="00DE130D"/>
    <w:rsid w:val="00DE24CF"/>
    <w:rsid w:val="00DE407C"/>
    <w:rsid w:val="00DE5D35"/>
    <w:rsid w:val="00DE7C7D"/>
    <w:rsid w:val="00DF2992"/>
    <w:rsid w:val="00DF2D0C"/>
    <w:rsid w:val="00DF6B5A"/>
    <w:rsid w:val="00DF7EEE"/>
    <w:rsid w:val="00E00058"/>
    <w:rsid w:val="00E01B9D"/>
    <w:rsid w:val="00E028DF"/>
    <w:rsid w:val="00E02F5D"/>
    <w:rsid w:val="00E0468F"/>
    <w:rsid w:val="00E04F5E"/>
    <w:rsid w:val="00E0522E"/>
    <w:rsid w:val="00E059A2"/>
    <w:rsid w:val="00E114E0"/>
    <w:rsid w:val="00E120F4"/>
    <w:rsid w:val="00E12625"/>
    <w:rsid w:val="00E15CC9"/>
    <w:rsid w:val="00E1613D"/>
    <w:rsid w:val="00E17172"/>
    <w:rsid w:val="00E21366"/>
    <w:rsid w:val="00E21E42"/>
    <w:rsid w:val="00E24DE3"/>
    <w:rsid w:val="00E25966"/>
    <w:rsid w:val="00E31365"/>
    <w:rsid w:val="00E3181C"/>
    <w:rsid w:val="00E3280A"/>
    <w:rsid w:val="00E33F73"/>
    <w:rsid w:val="00E3467C"/>
    <w:rsid w:val="00E372AF"/>
    <w:rsid w:val="00E37D68"/>
    <w:rsid w:val="00E40EAE"/>
    <w:rsid w:val="00E42235"/>
    <w:rsid w:val="00E436AC"/>
    <w:rsid w:val="00E44F7A"/>
    <w:rsid w:val="00E44FF8"/>
    <w:rsid w:val="00E47656"/>
    <w:rsid w:val="00E478D6"/>
    <w:rsid w:val="00E5066A"/>
    <w:rsid w:val="00E52CF9"/>
    <w:rsid w:val="00E54397"/>
    <w:rsid w:val="00E54950"/>
    <w:rsid w:val="00E57AF9"/>
    <w:rsid w:val="00E625E3"/>
    <w:rsid w:val="00E63F34"/>
    <w:rsid w:val="00E63FEA"/>
    <w:rsid w:val="00E6715A"/>
    <w:rsid w:val="00E74974"/>
    <w:rsid w:val="00E749E5"/>
    <w:rsid w:val="00E75DC9"/>
    <w:rsid w:val="00E81610"/>
    <w:rsid w:val="00E8199E"/>
    <w:rsid w:val="00E841B3"/>
    <w:rsid w:val="00E84910"/>
    <w:rsid w:val="00E85B28"/>
    <w:rsid w:val="00E87F0B"/>
    <w:rsid w:val="00E91976"/>
    <w:rsid w:val="00E947A6"/>
    <w:rsid w:val="00E97FC7"/>
    <w:rsid w:val="00EA05C2"/>
    <w:rsid w:val="00EA0690"/>
    <w:rsid w:val="00EA3956"/>
    <w:rsid w:val="00EA4FD8"/>
    <w:rsid w:val="00EA5404"/>
    <w:rsid w:val="00EA545E"/>
    <w:rsid w:val="00EA7012"/>
    <w:rsid w:val="00EA7136"/>
    <w:rsid w:val="00EB26FA"/>
    <w:rsid w:val="00EB325A"/>
    <w:rsid w:val="00EC02A5"/>
    <w:rsid w:val="00EC0ABC"/>
    <w:rsid w:val="00EC176B"/>
    <w:rsid w:val="00EC33CD"/>
    <w:rsid w:val="00EC5BE5"/>
    <w:rsid w:val="00EC7BB1"/>
    <w:rsid w:val="00ED2650"/>
    <w:rsid w:val="00ED721A"/>
    <w:rsid w:val="00EE165B"/>
    <w:rsid w:val="00EE279B"/>
    <w:rsid w:val="00EE3110"/>
    <w:rsid w:val="00EE393D"/>
    <w:rsid w:val="00EE3C03"/>
    <w:rsid w:val="00EE742D"/>
    <w:rsid w:val="00EE7BBC"/>
    <w:rsid w:val="00EF01CF"/>
    <w:rsid w:val="00EF201A"/>
    <w:rsid w:val="00EF285F"/>
    <w:rsid w:val="00EF5941"/>
    <w:rsid w:val="00EF64F1"/>
    <w:rsid w:val="00EF6A47"/>
    <w:rsid w:val="00EF7AF9"/>
    <w:rsid w:val="00F00952"/>
    <w:rsid w:val="00F00E74"/>
    <w:rsid w:val="00F01495"/>
    <w:rsid w:val="00F02DBE"/>
    <w:rsid w:val="00F06335"/>
    <w:rsid w:val="00F06A09"/>
    <w:rsid w:val="00F07DDB"/>
    <w:rsid w:val="00F100C8"/>
    <w:rsid w:val="00F10138"/>
    <w:rsid w:val="00F13DBA"/>
    <w:rsid w:val="00F13F92"/>
    <w:rsid w:val="00F22ECA"/>
    <w:rsid w:val="00F23348"/>
    <w:rsid w:val="00F240E8"/>
    <w:rsid w:val="00F244FA"/>
    <w:rsid w:val="00F366A2"/>
    <w:rsid w:val="00F42B8F"/>
    <w:rsid w:val="00F44F43"/>
    <w:rsid w:val="00F450E1"/>
    <w:rsid w:val="00F455DA"/>
    <w:rsid w:val="00F46406"/>
    <w:rsid w:val="00F4748E"/>
    <w:rsid w:val="00F50DF4"/>
    <w:rsid w:val="00F512D7"/>
    <w:rsid w:val="00F557DF"/>
    <w:rsid w:val="00F57AFE"/>
    <w:rsid w:val="00F6278E"/>
    <w:rsid w:val="00F63C41"/>
    <w:rsid w:val="00F63E96"/>
    <w:rsid w:val="00F6421C"/>
    <w:rsid w:val="00F6426A"/>
    <w:rsid w:val="00F701E3"/>
    <w:rsid w:val="00F71008"/>
    <w:rsid w:val="00F71F8C"/>
    <w:rsid w:val="00F7702D"/>
    <w:rsid w:val="00F86AD4"/>
    <w:rsid w:val="00F87D45"/>
    <w:rsid w:val="00F93135"/>
    <w:rsid w:val="00F97F28"/>
    <w:rsid w:val="00FA0113"/>
    <w:rsid w:val="00FA0431"/>
    <w:rsid w:val="00FA12B2"/>
    <w:rsid w:val="00FA23CE"/>
    <w:rsid w:val="00FA7610"/>
    <w:rsid w:val="00FB02BD"/>
    <w:rsid w:val="00FB37AA"/>
    <w:rsid w:val="00FB37ED"/>
    <w:rsid w:val="00FB398F"/>
    <w:rsid w:val="00FB4EF8"/>
    <w:rsid w:val="00FB54AE"/>
    <w:rsid w:val="00FB55A5"/>
    <w:rsid w:val="00FB6DA6"/>
    <w:rsid w:val="00FB709A"/>
    <w:rsid w:val="00FB78DD"/>
    <w:rsid w:val="00FC3EF3"/>
    <w:rsid w:val="00FC5D35"/>
    <w:rsid w:val="00FC7560"/>
    <w:rsid w:val="00FD0547"/>
    <w:rsid w:val="00FD2049"/>
    <w:rsid w:val="00FD2140"/>
    <w:rsid w:val="00FD3D04"/>
    <w:rsid w:val="00FD43A9"/>
    <w:rsid w:val="00FD5B5F"/>
    <w:rsid w:val="00FD5BDE"/>
    <w:rsid w:val="00FD68EC"/>
    <w:rsid w:val="00FE07B6"/>
    <w:rsid w:val="00FE24A5"/>
    <w:rsid w:val="00FE31E5"/>
    <w:rsid w:val="00FE4292"/>
    <w:rsid w:val="00FE466D"/>
    <w:rsid w:val="00FE53DC"/>
    <w:rsid w:val="00FE631A"/>
    <w:rsid w:val="00FF19AD"/>
    <w:rsid w:val="00FF1EB5"/>
    <w:rsid w:val="00FF292D"/>
    <w:rsid w:val="00FF298D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E7FCD"/>
  <w15:chartTrackingRefBased/>
  <w15:docId w15:val="{507735FF-94EF-4B6C-A455-45C11B6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6D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C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napostol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19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Energy_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34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emf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r>
              <a:rPr lang="el-GR" u="none"/>
              <a:t>Πωλήσεις Πετρελαιοειδών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167987401574805"/>
          <c:y val="9.8654841093865478E-2"/>
          <c:w val="0.67130607874015735"/>
          <c:h val="0.732007612130523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Sheet1!$O$4</c:f>
              <c:strCache>
                <c:ptCount val="1"/>
                <c:pt idx="0">
                  <c:v>Απρίλιος 2023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cat>
            <c:strRef>
              <c:f>Sheet1!$N$5:$N$15</c:f>
              <c:strCache>
                <c:ptCount val="11"/>
                <c:pt idx="0">
                  <c:v>Υγραέριο</c:v>
                </c:pt>
                <c:pt idx="1">
                  <c:v>Άσφαλτος</c:v>
                </c:pt>
                <c:pt idx="2">
                  <c:v>Βαρύ Μαζούτ</c:v>
                </c:pt>
                <c:pt idx="3">
                  <c:v>Ελαφρύ Μαζούτ</c:v>
                </c:pt>
                <c:pt idx="4">
                  <c:v>Πετρέλαιο Ναυτιλίας</c:v>
                </c:pt>
                <c:pt idx="5">
                  <c:v>Πετρέλαιο Θέρμανσης</c:v>
                </c:pt>
                <c:pt idx="6">
                  <c:v>Γεωργικό Πετρέλαιο</c:v>
                </c:pt>
                <c:pt idx="7">
                  <c:v>Πετρέλαιο Κίνησης</c:v>
                </c:pt>
                <c:pt idx="8">
                  <c:v>Κηροζίνη</c:v>
                </c:pt>
                <c:pt idx="9">
                  <c:v>Πετρέλαιο Αεροπλάνων</c:v>
                </c:pt>
                <c:pt idx="10">
                  <c:v>Βενζίνη Αμόλυβδη</c:v>
                </c:pt>
              </c:strCache>
            </c:strRef>
          </c:cat>
          <c:val>
            <c:numRef>
              <c:f>Sheet1!$O$5:$O$15</c:f>
              <c:numCache>
                <c:formatCode>_-* #,##0_-;\-* #,##0_-;_-* "-"??_-;_-@_-</c:formatCode>
                <c:ptCount val="11"/>
                <c:pt idx="0">
                  <c:v>4157</c:v>
                </c:pt>
                <c:pt idx="1">
                  <c:v>2212</c:v>
                </c:pt>
                <c:pt idx="2">
                  <c:v>985</c:v>
                </c:pt>
                <c:pt idx="3">
                  <c:v>9091</c:v>
                </c:pt>
                <c:pt idx="4">
                  <c:v>5562</c:v>
                </c:pt>
                <c:pt idx="5">
                  <c:v>5842</c:v>
                </c:pt>
                <c:pt idx="6">
                  <c:v>1835</c:v>
                </c:pt>
                <c:pt idx="7">
                  <c:v>26493</c:v>
                </c:pt>
                <c:pt idx="8">
                  <c:v>349</c:v>
                </c:pt>
                <c:pt idx="9">
                  <c:v>23856</c:v>
                </c:pt>
                <c:pt idx="10">
                  <c:v>24927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C-451C-A3F8-B49BD0B107F5}"/>
            </c:ext>
          </c:extLst>
        </c:ser>
        <c:ser>
          <c:idx val="1"/>
          <c:order val="1"/>
          <c:tx>
            <c:strRef>
              <c:f>Sheet1!$P$4</c:f>
              <c:strCache>
                <c:ptCount val="1"/>
                <c:pt idx="0">
                  <c:v>Απρίλιος 2022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cat>
            <c:strRef>
              <c:f>Sheet1!$N$5:$N$15</c:f>
              <c:strCache>
                <c:ptCount val="11"/>
                <c:pt idx="0">
                  <c:v>Υγραέριο</c:v>
                </c:pt>
                <c:pt idx="1">
                  <c:v>Άσφαλτος</c:v>
                </c:pt>
                <c:pt idx="2">
                  <c:v>Βαρύ Μαζούτ</c:v>
                </c:pt>
                <c:pt idx="3">
                  <c:v>Ελαφρύ Μαζούτ</c:v>
                </c:pt>
                <c:pt idx="4">
                  <c:v>Πετρέλαιο Ναυτιλίας</c:v>
                </c:pt>
                <c:pt idx="5">
                  <c:v>Πετρέλαιο Θέρμανσης</c:v>
                </c:pt>
                <c:pt idx="6">
                  <c:v>Γεωργικό Πετρέλαιο</c:v>
                </c:pt>
                <c:pt idx="7">
                  <c:v>Πετρέλαιο Κίνησης</c:v>
                </c:pt>
                <c:pt idx="8">
                  <c:v>Κηροζίνη</c:v>
                </c:pt>
                <c:pt idx="9">
                  <c:v>Πετρέλαιο Αεροπλάνων</c:v>
                </c:pt>
                <c:pt idx="10">
                  <c:v>Βενζίνη Αμόλυβδη</c:v>
                </c:pt>
              </c:strCache>
            </c:strRef>
          </c:cat>
          <c:val>
            <c:numRef>
              <c:f>Sheet1!$P$5:$P$15</c:f>
              <c:numCache>
                <c:formatCode>_-* #,##0_-;\-* #,##0_-;_-* "-"??_-;_-@_-</c:formatCode>
                <c:ptCount val="11"/>
                <c:pt idx="0">
                  <c:v>3446</c:v>
                </c:pt>
                <c:pt idx="1">
                  <c:v>1875</c:v>
                </c:pt>
                <c:pt idx="2">
                  <c:v>788</c:v>
                </c:pt>
                <c:pt idx="3">
                  <c:v>17109</c:v>
                </c:pt>
                <c:pt idx="4">
                  <c:v>10436</c:v>
                </c:pt>
                <c:pt idx="5">
                  <c:v>4182</c:v>
                </c:pt>
                <c:pt idx="6">
                  <c:v>2092</c:v>
                </c:pt>
                <c:pt idx="7">
                  <c:v>25350</c:v>
                </c:pt>
                <c:pt idx="8">
                  <c:v>137</c:v>
                </c:pt>
                <c:pt idx="9">
                  <c:v>21609</c:v>
                </c:pt>
                <c:pt idx="10">
                  <c:v>24077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5C-451C-A3F8-B49BD0B10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80664192"/>
        <c:axId val="1"/>
      </c:barChart>
      <c:catAx>
        <c:axId val="980664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n-CY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75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el-GR"/>
                  <a:t>Τόνοι</a:t>
                </a:r>
              </a:p>
            </c:rich>
          </c:tx>
          <c:layout>
            <c:manualLayout>
              <c:xMode val="edge"/>
              <c:yMode val="edge"/>
              <c:x val="0.47312344172940823"/>
              <c:y val="0.94736089238845145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n-CY"/>
          </a:p>
        </c:txPr>
        <c:crossAx val="980664192"/>
        <c:crosses val="autoZero"/>
        <c:crossBetween val="between"/>
        <c:majorUnit val="2500"/>
        <c:minorUnit val="500"/>
      </c:valAx>
      <c:spPr>
        <a:noFill/>
        <a:ln w="12700">
          <a:solidFill>
            <a:schemeClr val="tx1">
              <a:lumMod val="15000"/>
              <a:lumOff val="8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"/>
          <c:y val="0.88980674025916251"/>
          <c:w val="0.26287156765954717"/>
          <c:h val="0.1037364397246954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n-C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60000"/>
          <a:lumOff val="40000"/>
          <a:alpha val="50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34D5-EEA9-428F-8665-58FD48F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Links>
    <vt:vector size="42" baseType="variant">
      <vt:variant>
        <vt:i4>5177462</vt:i4>
      </vt:variant>
      <vt:variant>
        <vt:i4>12</vt:i4>
      </vt:variant>
      <vt:variant>
        <vt:i4>0</vt:i4>
      </vt:variant>
      <vt:variant>
        <vt:i4>5</vt:i4>
      </vt:variant>
      <vt:variant>
        <vt:lpwstr>mailto:napostolou@cystat.mof.gov.cy</vt:lpwstr>
      </vt:variant>
      <vt:variant>
        <vt:lpwstr/>
      </vt:variant>
      <vt:variant>
        <vt:i4>1179739</vt:i4>
      </vt:variant>
      <vt:variant>
        <vt:i4>9</vt:i4>
      </vt:variant>
      <vt:variant>
        <vt:i4>0</vt:i4>
      </vt:variant>
      <vt:variant>
        <vt:i4>5</vt:i4>
      </vt:variant>
      <vt:variant>
        <vt:lpwstr>https://www.cystat.gov.cy/el/MethodologicalDetails?m=2195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https://www.cystat.gov.cy/el/KeyFiguresList?s=34</vt:lpwstr>
      </vt:variant>
      <vt:variant>
        <vt:lpwstr/>
      </vt:variant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https://cystatdb.cystat.gov.cy/pxweb/el/8.CYSTAT-DB/8.CYSTAT-DB__Energy__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https://www.cystat.gov.cy/el/SubthemeStatistics?s=34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Ester Sophocleous</cp:lastModifiedBy>
  <cp:revision>17</cp:revision>
  <cp:lastPrinted>2023-05-29T08:34:00Z</cp:lastPrinted>
  <dcterms:created xsi:type="dcterms:W3CDTF">2023-03-27T10:11:00Z</dcterms:created>
  <dcterms:modified xsi:type="dcterms:W3CDTF">2023-05-29T08:52:00Z</dcterms:modified>
</cp:coreProperties>
</file>