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F846" w14:textId="77777777" w:rsidR="00936E21" w:rsidRPr="00E91A17" w:rsidRDefault="00936E21" w:rsidP="00A12E81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660893E5" w14:textId="39A3297A" w:rsidR="00163319" w:rsidRPr="00C4568F" w:rsidRDefault="00163319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 w:rsidRPr="00050EC8">
        <w:rPr>
          <w:rFonts w:ascii="Verdana" w:hAnsi="Verdana" w:cs="Arial"/>
          <w:sz w:val="18"/>
          <w:szCs w:val="18"/>
          <w:lang w:val="el-GR"/>
        </w:rPr>
        <w:t>2</w:t>
      </w:r>
      <w:r w:rsidR="00914DF8" w:rsidRPr="00E91A17">
        <w:rPr>
          <w:rFonts w:ascii="Verdana" w:hAnsi="Verdana" w:cs="Arial"/>
          <w:sz w:val="18"/>
          <w:szCs w:val="18"/>
          <w:lang w:val="el-GR"/>
        </w:rPr>
        <w:t>7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914DF8">
        <w:rPr>
          <w:rFonts w:ascii="Verdana" w:hAnsi="Verdana" w:cs="Arial"/>
          <w:sz w:val="18"/>
          <w:szCs w:val="18"/>
          <w:lang w:val="el-GR"/>
        </w:rPr>
        <w:t>Μαΐου</w:t>
      </w:r>
      <w:r>
        <w:rPr>
          <w:rFonts w:ascii="Verdana" w:hAnsi="Verdana" w:cs="Arial"/>
          <w:sz w:val="18"/>
          <w:szCs w:val="18"/>
          <w:lang w:val="el-GR"/>
        </w:rPr>
        <w:t>, 202</w:t>
      </w:r>
      <w:r w:rsidR="00BE5CDF" w:rsidRPr="00C4568F">
        <w:rPr>
          <w:rFonts w:ascii="Verdana" w:hAnsi="Verdana" w:cs="Arial"/>
          <w:sz w:val="18"/>
          <w:szCs w:val="18"/>
          <w:lang w:val="el-GR"/>
        </w:rPr>
        <w:t>5</w:t>
      </w:r>
    </w:p>
    <w:bookmarkEnd w:id="0"/>
    <w:p w14:paraId="05861BF0" w14:textId="77777777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16B7CFEA" w:rsidR="00EE3110" w:rsidRPr="00BE5CDF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914DF8">
        <w:rPr>
          <w:rFonts w:ascii="Verdana" w:hAnsi="Verdana"/>
          <w:szCs w:val="22"/>
          <w:shd w:val="clear" w:color="auto" w:fill="FFFFFF"/>
        </w:rPr>
        <w:t>ΑΠΡΙΛΙΟΣ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BE5CDF" w:rsidRPr="00BE5CDF">
        <w:rPr>
          <w:rFonts w:ascii="Verdana" w:hAnsi="Verdana"/>
          <w:szCs w:val="22"/>
          <w:shd w:val="clear" w:color="auto" w:fill="FFFFFF"/>
        </w:rPr>
        <w:t>5</w:t>
      </w:r>
    </w:p>
    <w:p w14:paraId="0F92D7EB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8B5A5" w14:textId="77777777" w:rsidR="00510C81" w:rsidRPr="009F6337" w:rsidRDefault="00510C8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2D529D26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914DF8">
        <w:rPr>
          <w:rFonts w:ascii="Verdana" w:eastAsia="Malgun Gothic" w:hAnsi="Verdana" w:cs="Arial"/>
          <w:b/>
          <w:bCs/>
          <w:lang w:val="el-GR"/>
        </w:rPr>
        <w:t>8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914DF8">
        <w:rPr>
          <w:rFonts w:ascii="Verdana" w:eastAsia="Malgun Gothic" w:hAnsi="Verdana" w:cs="Arial"/>
          <w:b/>
          <w:bCs/>
          <w:lang w:val="el-GR"/>
        </w:rPr>
        <w:t>4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57534ACF" w14:textId="397E38FE" w:rsidR="008D2B26" w:rsidRDefault="00163319" w:rsidP="005D4FB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914DF8">
        <w:rPr>
          <w:rFonts w:ascii="Verdana" w:hAnsi="Verdana"/>
          <w:sz w:val="18"/>
          <w:szCs w:val="18"/>
          <w:shd w:val="clear" w:color="auto" w:fill="FFFFFF"/>
          <w:lang w:val="el-GR"/>
        </w:rPr>
        <w:t>Απρίλιο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BE5CDF" w:rsidRPr="00BE5CD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1" w:name="_Hlk107213034"/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914DF8">
        <w:rPr>
          <w:rFonts w:ascii="Verdana" w:hAnsi="Verdana"/>
          <w:sz w:val="18"/>
          <w:szCs w:val="18"/>
          <w:shd w:val="clear" w:color="auto" w:fill="FFFFFF"/>
          <w:lang w:val="el-GR"/>
        </w:rPr>
        <w:t>24</w:t>
      </w:r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914DF8">
        <w:rPr>
          <w:rFonts w:ascii="Verdana" w:hAnsi="Verdana"/>
          <w:sz w:val="18"/>
          <w:szCs w:val="18"/>
          <w:shd w:val="clear" w:color="auto" w:fill="FFFFFF"/>
          <w:lang w:val="el-GR"/>
        </w:rPr>
        <w:t>647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</w:t>
      </w:r>
      <w:r w:rsidR="00914DF8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2" w:name="_Hlk107213045"/>
      <w:r w:rsidR="0064182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914DF8">
        <w:rPr>
          <w:rFonts w:ascii="Verdana" w:hAnsi="Verdana"/>
          <w:sz w:val="18"/>
          <w:szCs w:val="18"/>
          <w:shd w:val="clear" w:color="auto" w:fill="FFFFFF"/>
          <w:lang w:val="el-GR"/>
        </w:rPr>
        <w:t>,4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2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 w:rsidR="00914DF8">
        <w:rPr>
          <w:rFonts w:ascii="Verdana" w:hAnsi="Verdana"/>
          <w:sz w:val="18"/>
          <w:szCs w:val="18"/>
          <w:shd w:val="clear" w:color="auto" w:fill="FFFFFF"/>
          <w:lang w:val="el-GR"/>
        </w:rPr>
        <w:t>Απρίλιο</w:t>
      </w:r>
      <w:r w:rsidR="006418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>Άνοδος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καταγράφηκε στις</w:t>
      </w:r>
      <w:r w:rsidR="008D2B26" w:rsidRP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</w:t>
      </w:r>
      <w:r w:rsidR="00A1607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πετρελαίου σε </w:t>
      </w:r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>πλοία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>136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8D2B26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>και σε αεροπλάνα (12,7%), καθώς και στις πωλήσεις</w:t>
      </w:r>
      <w:r w:rsidR="008D2B26" w:rsidRP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</w:t>
      </w:r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>82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8D2B26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8D2B26" w:rsidRPr="008D2B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8D2B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μαζούτ (58,2%), </w:t>
      </w:r>
    </w:p>
    <w:p w14:paraId="772FC150" w14:textId="1B82C607" w:rsidR="00163319" w:rsidRPr="007C75AF" w:rsidRDefault="008D2B26" w:rsidP="005D4FB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πετρελαίου θέρμανσης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34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8D2B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υγραερίου</w:t>
      </w:r>
      <w:r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 βενζίνης (3,0%) και πετρελαίου κίνησης (2,8%).</w:t>
      </w:r>
      <w:r w:rsidRPr="008D2B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Αντίθετα,</w:t>
      </w:r>
      <w:r w:rsidRPr="008D2B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πτώση σημειώθηκε στις </w:t>
      </w:r>
      <w:r w:rsidR="00E91A17">
        <w:rPr>
          <w:rFonts w:ascii="Verdana" w:hAnsi="Verdana"/>
          <w:sz w:val="18"/>
          <w:szCs w:val="18"/>
          <w:shd w:val="clear" w:color="auto" w:fill="FFFFFF"/>
          <w:lang w:val="el-GR"/>
        </w:rPr>
        <w:t>πωλήσεις</w:t>
      </w:r>
      <w:r w:rsidR="00E91A17" w:rsidRPr="0064182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83572">
        <w:rPr>
          <w:rFonts w:ascii="Verdana" w:hAnsi="Verdana"/>
          <w:sz w:val="18"/>
          <w:szCs w:val="18"/>
          <w:shd w:val="clear" w:color="auto" w:fill="FFFFFF"/>
          <w:lang w:val="el-GR"/>
        </w:rPr>
        <w:t>ελαφρού μαζούτ (-56,9%)</w:t>
      </w:r>
      <w:r w:rsidR="00D83572" w:rsidRPr="00D8357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8357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bookmarkStart w:id="3" w:name="_Hlk193463603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ασφάλτου (-7,3%)</w:t>
      </w:r>
      <w:bookmarkEnd w:id="3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="00163319">
        <w:rPr>
          <w:rFonts w:ascii="Verdana" w:hAnsi="Verdana"/>
          <w:sz w:val="18"/>
          <w:szCs w:val="18"/>
          <w:shd w:val="clear" w:color="auto" w:fill="FFFFFF"/>
          <w:lang w:val="el-GR"/>
        </w:rPr>
        <w:t>Όσ</w:t>
      </w:r>
      <w:r w:rsidR="00163319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</w:t>
      </w:r>
      <w:r w:rsidR="004B1062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="00163319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4B1062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163319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4B106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2</w:t>
      </w:r>
      <w:r w:rsidR="00163319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="00163319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163319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4B1062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163319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4B1062">
        <w:rPr>
          <w:rFonts w:ascii="Verdana" w:hAnsi="Verdana"/>
          <w:sz w:val="18"/>
          <w:szCs w:val="18"/>
          <w:shd w:val="clear" w:color="auto" w:fill="FFFFFF"/>
          <w:lang w:val="el-GR"/>
        </w:rPr>
        <w:t>739</w:t>
      </w:r>
      <w:r w:rsidR="00163319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163319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9F6337" w:rsidRDefault="00163319" w:rsidP="005D4FB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70B2B7DE" w:rsidR="00163319" w:rsidRDefault="00163319" w:rsidP="005D4FB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Απρίλιο</w:t>
      </w:r>
      <w:r w:rsidR="00B005E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Μάρτιο</w:t>
      </w:r>
      <w:r w:rsidR="00B005E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16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σημαντικά οι </w:t>
      </w:r>
      <w:r w:rsidR="00B005EC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προμήθειες πετρελαίου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πλοία (143,0%) και </w:t>
      </w:r>
      <w:r w:rsidR="00B005EC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σε αεροπλάνα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(69,3%), </w:t>
      </w:r>
      <w:r w:rsidR="00E91A17">
        <w:rPr>
          <w:rFonts w:ascii="Verdana" w:hAnsi="Verdana"/>
          <w:sz w:val="18"/>
          <w:szCs w:val="18"/>
          <w:shd w:val="clear" w:color="auto" w:fill="FFFFFF"/>
          <w:lang w:val="el-GR"/>
        </w:rPr>
        <w:t>ενώ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οι </w:t>
      </w:r>
      <w:r w:rsidR="00B005EC" w:rsidRPr="00B83B6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πωλήσεις </w:t>
      </w:r>
      <w:r w:rsidR="00B005EC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βενζίνης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</w:t>
      </w:r>
      <w:r w:rsidR="00B005EC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πετρελαίου κίνησης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παρέμειναν σχεδόν αμετάβλητες </w:t>
      </w:r>
      <w:r w:rsidR="00B005EC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E91A1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αύξηση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0,6 % και 0,3%, αντίστοιχα)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F56A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4" w:name="_Hlk106979418"/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Απριλ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ίου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4"/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13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38C455E1" w14:textId="77777777" w:rsidR="00F56ADA" w:rsidRDefault="00F56ADA" w:rsidP="005D4FB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4954846" w14:textId="6D62C256" w:rsidR="00F56ADA" w:rsidRDefault="00F56ADA" w:rsidP="005D4FB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Απριλίου</w:t>
      </w:r>
      <w:r w:rsidR="00B005EC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ολικές πωλήσεις πετρελαιοειδών σημείωσαν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οριακή άνοδο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005EC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έτους.</w:t>
      </w:r>
    </w:p>
    <w:p w14:paraId="0A1ABEC2" w14:textId="77777777" w:rsidR="002846E4" w:rsidRDefault="002846E4" w:rsidP="00FB6CBC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DD6D68" w14:textId="61168A6E" w:rsidR="00001B46" w:rsidRPr="0094672C" w:rsidRDefault="0094672C" w:rsidP="009C0C96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62946AED" wp14:editId="08A5F0E1">
            <wp:extent cx="6066155" cy="3743325"/>
            <wp:effectExtent l="0" t="0" r="0" b="9525"/>
            <wp:docPr id="3903735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28727" w14:textId="77777777" w:rsidR="00001B46" w:rsidRPr="0094672C" w:rsidRDefault="00001B46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5D4FB6" w:rsidRPr="005D4FB6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5BE49228" w:rsidR="00B065C7" w:rsidRPr="005D4FB6" w:rsidRDefault="00A512B3" w:rsidP="00A512B3">
            <w:pPr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5D4FB6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5D4FB6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5D4FB6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5D4FB6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5D4FB6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5D4FB6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5D4FB6" w:rsidRDefault="00B065C7" w:rsidP="00B065C7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</w:tr>
      <w:tr w:rsidR="005D4FB6" w:rsidRPr="005D4FB6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5D4FB6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5D4FB6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5D4FB6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5D4FB6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5D4FB6" w:rsidRPr="005D4FB6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5D4FB6" w:rsidRDefault="00136365" w:rsidP="00136365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73C8BC3E" w:rsidR="00136365" w:rsidRPr="005D4FB6" w:rsidRDefault="00186A98" w:rsidP="00A356E0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="0013636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br/>
              <w:t>202</w:t>
            </w:r>
            <w:r w:rsidR="00E76FC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38FC868D" w:rsidR="00136365" w:rsidRPr="005D4FB6" w:rsidRDefault="00186A98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="0013636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br/>
              <w:t>202</w:t>
            </w:r>
            <w:r w:rsidR="00E76FC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18F28326" w:rsidR="00136365" w:rsidRPr="005D4FB6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="00186A98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="00186A98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202</w:t>
            </w:r>
            <w:r w:rsidR="00E76FC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72212B5A" w:rsidR="00136365" w:rsidRPr="005D4FB6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="00186A98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="00186A98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202</w:t>
            </w:r>
            <w:r w:rsidR="00E76FC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5D4FB6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157BB704" w:rsidR="00136365" w:rsidRPr="005D4FB6" w:rsidRDefault="00186A98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13636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202</w:t>
            </w:r>
            <w:r w:rsidR="00E76FC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="0013636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/202</w:t>
            </w:r>
            <w:r w:rsidR="00E76FC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ED1B264" w14:textId="2B08C329" w:rsidR="00136365" w:rsidRPr="005D4FB6" w:rsidRDefault="00FF7FF4" w:rsidP="00136365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="00186A98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="00186A98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13636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202</w:t>
            </w:r>
            <w:r w:rsidR="00E76FC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="0013636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/202</w:t>
            </w:r>
            <w:r w:rsidR="00E76FC5"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5D4FB6" w:rsidRPr="005D4FB6" w14:paraId="2999919F" w14:textId="77777777" w:rsidTr="00186A98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89044E4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Βενζίνη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Αμόλυ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085DDD89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27.431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27D71EC4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26.641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346FAE24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104.895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15AED51F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103.634   </w:t>
            </w:r>
          </w:p>
        </w:tc>
        <w:tc>
          <w:tcPr>
            <w:tcW w:w="240" w:type="dxa"/>
            <w:vAlign w:val="center"/>
          </w:tcPr>
          <w:p w14:paraId="4ECAA78D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47D1B400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5844D687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1,2</w:t>
            </w:r>
          </w:p>
        </w:tc>
      </w:tr>
      <w:tr w:rsidR="005D4FB6" w:rsidRPr="005D4FB6" w14:paraId="4331BDB9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Βενζίνη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Αερο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07A7BDDD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22A16D11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687FDF74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492C5B82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5   </w:t>
            </w:r>
          </w:p>
        </w:tc>
        <w:tc>
          <w:tcPr>
            <w:tcW w:w="240" w:type="dxa"/>
            <w:vAlign w:val="center"/>
          </w:tcPr>
          <w:p w14:paraId="188C9D65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29CD52EC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358284C3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20,0</w:t>
            </w:r>
          </w:p>
        </w:tc>
      </w:tr>
      <w:tr w:rsidR="005D4FB6" w:rsidRPr="005D4FB6" w14:paraId="5BAE1F70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 xml:space="preserve">αιο 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Αερο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5A0CF63E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28.611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0EF7D10B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25.386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340131ED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71.644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6BEFAA6A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69.612   </w:t>
            </w:r>
          </w:p>
        </w:tc>
        <w:tc>
          <w:tcPr>
            <w:tcW w:w="240" w:type="dxa"/>
            <w:vAlign w:val="center"/>
          </w:tcPr>
          <w:p w14:paraId="533818C5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11B30247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7434E4BD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2,9</w:t>
            </w:r>
          </w:p>
        </w:tc>
      </w:tr>
      <w:tr w:rsidR="005D4FB6" w:rsidRPr="005D4FB6" w14:paraId="30C46F67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3F4620E3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256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44FB99E9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140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24ACD79D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5.794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2A382A08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4.948   </w:t>
            </w:r>
          </w:p>
        </w:tc>
        <w:tc>
          <w:tcPr>
            <w:tcW w:w="240" w:type="dxa"/>
            <w:vAlign w:val="center"/>
          </w:tcPr>
          <w:p w14:paraId="6D6076D0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7E0D2280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82,9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41FFB6A1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17,1</w:t>
            </w:r>
          </w:p>
        </w:tc>
      </w:tr>
      <w:tr w:rsidR="005D4FB6" w:rsidRPr="005D4FB6" w14:paraId="6282D3DC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 xml:space="preserve">αιο 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733BBFB3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28.547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7904C497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27.782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067810DA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109.926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5FA462E7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110.662   </w:t>
            </w:r>
          </w:p>
        </w:tc>
        <w:tc>
          <w:tcPr>
            <w:tcW w:w="240" w:type="dxa"/>
            <w:vAlign w:val="center"/>
          </w:tcPr>
          <w:p w14:paraId="268A22F5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57135F5B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6DD9D45F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-0,7</w:t>
            </w:r>
          </w:p>
        </w:tc>
      </w:tr>
      <w:tr w:rsidR="005D4FB6" w:rsidRPr="005D4FB6" w14:paraId="3A516C41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Γεωργικό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1D2EC69A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2.035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76453719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2.264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6835D9D3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7.812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1000BC06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7.105   </w:t>
            </w:r>
          </w:p>
        </w:tc>
        <w:tc>
          <w:tcPr>
            <w:tcW w:w="240" w:type="dxa"/>
            <w:vAlign w:val="center"/>
          </w:tcPr>
          <w:p w14:paraId="708AEFC1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3B192E78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-10,1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5765219C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10,0</w:t>
            </w:r>
          </w:p>
        </w:tc>
      </w:tr>
      <w:tr w:rsidR="005D4FB6" w:rsidRPr="005D4FB6" w14:paraId="7700459A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 xml:space="preserve">αιο 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Θέρμ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552BD8AF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5.496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2A41BBFA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4.074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29E776E2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36.945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3C751880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33.428   </w:t>
            </w:r>
          </w:p>
        </w:tc>
        <w:tc>
          <w:tcPr>
            <w:tcW w:w="240" w:type="dxa"/>
            <w:vAlign w:val="center"/>
          </w:tcPr>
          <w:p w14:paraId="7085D362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3F6445DB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09C90658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10,5</w:t>
            </w:r>
          </w:p>
        </w:tc>
      </w:tr>
      <w:tr w:rsidR="005D4FB6" w:rsidRPr="005D4FB6" w14:paraId="5310E4E0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Πετρέλ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αιο Να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υτιλί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08CB6455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16.785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6969071B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7.094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79445DD6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36.380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3ADCE526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28.977   </w:t>
            </w:r>
          </w:p>
        </w:tc>
        <w:tc>
          <w:tcPr>
            <w:tcW w:w="240" w:type="dxa"/>
            <w:vAlign w:val="center"/>
          </w:tcPr>
          <w:p w14:paraId="2111258D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5B8F8A33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136,6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50E41E04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25,5</w:t>
            </w:r>
          </w:p>
        </w:tc>
      </w:tr>
      <w:tr w:rsidR="005D4FB6" w:rsidRPr="005D4FB6" w14:paraId="7E25CAB5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Ελ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αφρύ Μα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57138DFC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5.453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03899FC0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12.649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20C18EF2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35.319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5499B63E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50.666   </w:t>
            </w:r>
          </w:p>
        </w:tc>
        <w:tc>
          <w:tcPr>
            <w:tcW w:w="240" w:type="dxa"/>
            <w:vAlign w:val="center"/>
          </w:tcPr>
          <w:p w14:paraId="37CA3D84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3CECA851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-56,9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0C7FEB2D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-30,3</w:t>
            </w:r>
          </w:p>
        </w:tc>
      </w:tr>
      <w:tr w:rsidR="005D4FB6" w:rsidRPr="005D4FB6" w14:paraId="307F9748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Βα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ρύ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 xml:space="preserve"> Μα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705D3AFE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2.482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6435D24F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1.569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38EC4A9F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6.244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4016BD9B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5.273   </w:t>
            </w:r>
          </w:p>
        </w:tc>
        <w:tc>
          <w:tcPr>
            <w:tcW w:w="240" w:type="dxa"/>
            <w:vAlign w:val="center"/>
          </w:tcPr>
          <w:p w14:paraId="6D2C0603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6886D09E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58,2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2FD0AE2D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18,4</w:t>
            </w:r>
          </w:p>
        </w:tc>
      </w:tr>
      <w:tr w:rsidR="005D4FB6" w:rsidRPr="005D4FB6" w14:paraId="221F0016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Λι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 xml:space="preserve">παντικά </w:t>
            </w: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Λάδι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6EDFBF9D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279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216E3F69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288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5452B4EC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1.047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33734A46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978   </w:t>
            </w:r>
          </w:p>
        </w:tc>
        <w:tc>
          <w:tcPr>
            <w:tcW w:w="240" w:type="dxa"/>
            <w:vAlign w:val="center"/>
          </w:tcPr>
          <w:p w14:paraId="1CFACF60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42764E22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532C4F67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7,1</w:t>
            </w:r>
          </w:p>
        </w:tc>
      </w:tr>
      <w:tr w:rsidR="005D4FB6" w:rsidRPr="005D4FB6" w14:paraId="73114908" w14:textId="77777777" w:rsidTr="00186A98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Άσφ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2191CA07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2.886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2E427EB0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3.112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3266B1A5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10.722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7AB54F92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11.432   </w:t>
            </w:r>
          </w:p>
        </w:tc>
        <w:tc>
          <w:tcPr>
            <w:tcW w:w="240" w:type="dxa"/>
            <w:vAlign w:val="center"/>
          </w:tcPr>
          <w:p w14:paraId="59DA467D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1DDCEFCE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5274F4DF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-6,2</w:t>
            </w:r>
          </w:p>
        </w:tc>
      </w:tr>
      <w:tr w:rsidR="005D4FB6" w:rsidRPr="005D4FB6" w14:paraId="06E2A767" w14:textId="77777777" w:rsidTr="00186A98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Υγρ</w:t>
            </w:r>
            <w:proofErr w:type="spellEnd"/>
            <w:r w:rsidRPr="005D4FB6">
              <w:rPr>
                <w:rFonts w:ascii="Verdana" w:hAnsi="Verdana"/>
                <w:color w:val="366092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1DB2F6F4" w14:textId="4868A52F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4.385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B8A868" w14:textId="1DAF1300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4.028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219FB5" w14:textId="0E8E8334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23.516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F8BB65" w14:textId="5C0ADDC5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21.639   </w:t>
            </w:r>
          </w:p>
        </w:tc>
        <w:tc>
          <w:tcPr>
            <w:tcW w:w="240" w:type="dxa"/>
            <w:vAlign w:val="center"/>
          </w:tcPr>
          <w:p w14:paraId="15D5B0B9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39E6F5" w14:textId="7AD80731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5E39F8" w14:textId="1FD67449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8,7</w:t>
            </w:r>
          </w:p>
        </w:tc>
      </w:tr>
      <w:tr w:rsidR="005D4FB6" w:rsidRPr="005D4FB6" w14:paraId="131C3CBA" w14:textId="77777777" w:rsidTr="00186A98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186A98" w:rsidRPr="005D4FB6" w:rsidRDefault="00186A98" w:rsidP="00186A98">
            <w:pPr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</w:p>
          <w:p w14:paraId="71C3D9BC" w14:textId="5D0606F6" w:rsidR="00186A98" w:rsidRPr="005D4FB6" w:rsidRDefault="00186A98" w:rsidP="00186A98">
            <w:pPr>
              <w:rPr>
                <w:rFonts w:ascii="Verdana" w:hAnsi="Verdana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Σύνολο    </w:t>
            </w:r>
          </w:p>
          <w:p w14:paraId="403CD8C2" w14:textId="554C9DF4" w:rsidR="00186A98" w:rsidRPr="005D4FB6" w:rsidRDefault="00186A98" w:rsidP="00186A98">
            <w:pPr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954691C" w14:textId="24F3797D" w:rsidR="00186A98" w:rsidRPr="005D4FB6" w:rsidRDefault="00186A98" w:rsidP="00186A98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124.647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65140D2" w14:textId="670E26CD" w:rsidR="00186A98" w:rsidRPr="005D4FB6" w:rsidRDefault="00186A98" w:rsidP="00186A98">
            <w:pPr>
              <w:spacing w:before="240" w:after="240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115.028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630969F" w14:textId="625EB076" w:rsidR="00186A98" w:rsidRPr="005D4FB6" w:rsidRDefault="00186A98" w:rsidP="00186A98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450.250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10F45E6" w14:textId="758E9D31" w:rsidR="00186A98" w:rsidRPr="005D4FB6" w:rsidRDefault="00186A98" w:rsidP="00186A98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448.359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186A98" w:rsidRPr="005D4FB6" w:rsidRDefault="00186A98" w:rsidP="00186A98">
            <w:pPr>
              <w:jc w:val="right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F97739" w14:textId="19FEAFA2" w:rsidR="00186A98" w:rsidRPr="005D4FB6" w:rsidRDefault="00186A98" w:rsidP="00186A98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8,4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0A5FAA7D" w14:textId="5BC96D95" w:rsidR="00186A98" w:rsidRPr="005D4FB6" w:rsidRDefault="00186A98" w:rsidP="00186A98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0,4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5D4FB6" w:rsidRPr="005D4FB6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5D4FB6" w:rsidRDefault="003C4AD2" w:rsidP="00EB6A33">
            <w:pPr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 xml:space="preserve">Πίνακας </w:t>
            </w:r>
            <w:r w:rsidR="00BB6216" w:rsidRPr="005D4FB6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5D4FB6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5D4FB6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5D4FB6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5D4FB6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5D4FB6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5D4FB6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5D4FB6" w:rsidRDefault="003C4AD2" w:rsidP="00EB6A33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</w:tr>
      <w:tr w:rsidR="005D4FB6" w:rsidRPr="005D4FB6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5D4FB6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5D4FB6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5D4FB6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5D4FB6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5D4FB6" w:rsidRPr="005D4FB6" w14:paraId="78297752" w14:textId="77777777" w:rsidTr="00510C81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186A98" w:rsidRPr="005D4FB6" w:rsidRDefault="00186A98" w:rsidP="00186A98">
            <w:pPr>
              <w:jc w:val="both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224EE061" w:rsidR="00186A98" w:rsidRPr="005D4FB6" w:rsidRDefault="00186A98" w:rsidP="00186A9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br/>
              <w:t>202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4D36E824" w:rsidR="00186A98" w:rsidRPr="005D4FB6" w:rsidRDefault="00186A98" w:rsidP="00186A9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br/>
              <w:t>202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4FB1C5" w14:textId="65E4A880" w:rsidR="00186A98" w:rsidRPr="005D4FB6" w:rsidRDefault="00186A98" w:rsidP="00186A9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    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8639973" w14:textId="624E2AD1" w:rsidR="00186A98" w:rsidRPr="005D4FB6" w:rsidRDefault="00186A98" w:rsidP="00186A9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186A98" w:rsidRPr="005D4FB6" w:rsidRDefault="00186A98" w:rsidP="00186A98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431E2832" w:rsidR="00186A98" w:rsidRPr="005D4FB6" w:rsidRDefault="00186A98" w:rsidP="00186A98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/202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DDED1F5" w14:textId="426072EF" w:rsidR="00186A98" w:rsidRPr="005D4FB6" w:rsidRDefault="00186A98" w:rsidP="00186A98">
            <w:pPr>
              <w:jc w:val="center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Ιαν - 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Απρ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202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5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/202</w:t>
            </w:r>
            <w:r w:rsidRPr="005D4FB6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</w:tr>
      <w:tr w:rsidR="005D4FB6" w:rsidRPr="005D4FB6" w14:paraId="73A005CA" w14:textId="77777777" w:rsidTr="00186A98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Βενζίνη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Αμόλυ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2B8BD965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27.212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729C413D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26.391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12E7C16F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104.097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428B55A0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102.705   </w:t>
            </w:r>
          </w:p>
        </w:tc>
        <w:tc>
          <w:tcPr>
            <w:tcW w:w="240" w:type="dxa"/>
            <w:vAlign w:val="center"/>
          </w:tcPr>
          <w:p w14:paraId="2E78300E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391D088D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3D549167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1,4</w:t>
            </w:r>
          </w:p>
        </w:tc>
      </w:tr>
      <w:tr w:rsidR="005D4FB6" w:rsidRPr="005D4FB6" w14:paraId="3359A9A7" w14:textId="77777777" w:rsidTr="00186A98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74F49174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172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099476CA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106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04A4AEF8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4.274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6F747256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3.780   </w:t>
            </w:r>
          </w:p>
        </w:tc>
        <w:tc>
          <w:tcPr>
            <w:tcW w:w="240" w:type="dxa"/>
            <w:vAlign w:val="center"/>
          </w:tcPr>
          <w:p w14:paraId="3841803B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6C9A942A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62,3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1B9219E6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13,1</w:t>
            </w:r>
          </w:p>
        </w:tc>
      </w:tr>
      <w:tr w:rsidR="005D4FB6" w:rsidRPr="005D4FB6" w14:paraId="11FA7332" w14:textId="77777777" w:rsidTr="00186A98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Πετρέλ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αιο </w:t>
            </w: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53088929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22.930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7740049D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22.727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438805BD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87.673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409E7A3E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87.855   </w:t>
            </w:r>
          </w:p>
        </w:tc>
        <w:tc>
          <w:tcPr>
            <w:tcW w:w="240" w:type="dxa"/>
            <w:vAlign w:val="center"/>
          </w:tcPr>
          <w:p w14:paraId="3A0F3877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248C7248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60CD5676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-0,2</w:t>
            </w:r>
          </w:p>
        </w:tc>
      </w:tr>
      <w:tr w:rsidR="005D4FB6" w:rsidRPr="005D4FB6" w14:paraId="5E059E6A" w14:textId="77777777" w:rsidTr="00186A98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Γεωργικό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Πετρέλ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7EF4D455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1.416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5EC624EE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1.508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3D00B8F3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5.242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7DFC64A8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4.685   </w:t>
            </w:r>
          </w:p>
        </w:tc>
        <w:tc>
          <w:tcPr>
            <w:tcW w:w="240" w:type="dxa"/>
            <w:vAlign w:val="center"/>
          </w:tcPr>
          <w:p w14:paraId="2FEFB42A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41F1F63E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3129C388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11,9</w:t>
            </w:r>
          </w:p>
        </w:tc>
      </w:tr>
      <w:tr w:rsidR="005D4FB6" w:rsidRPr="005D4FB6" w14:paraId="2BAA46A5" w14:textId="77777777" w:rsidTr="00186A98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Πετρέλ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αιο </w:t>
            </w: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Θέρμ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014A1968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2.843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076569AD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2.153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3A126B39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22.272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248A8B2A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20.429   </w:t>
            </w:r>
          </w:p>
        </w:tc>
        <w:tc>
          <w:tcPr>
            <w:tcW w:w="240" w:type="dxa"/>
            <w:vAlign w:val="center"/>
          </w:tcPr>
          <w:p w14:paraId="71FD570F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515844CC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32,0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33799AFF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9,0</w:t>
            </w:r>
          </w:p>
        </w:tc>
      </w:tr>
      <w:tr w:rsidR="005D4FB6" w:rsidRPr="005D4FB6" w14:paraId="04933586" w14:textId="77777777" w:rsidTr="00186A98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Ελ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αφρύ Μα</w:t>
            </w: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730C513D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48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16A5F228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33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123E5EA2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187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763E39F5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166   </w:t>
            </w:r>
          </w:p>
        </w:tc>
        <w:tc>
          <w:tcPr>
            <w:tcW w:w="240" w:type="dxa"/>
            <w:vAlign w:val="center"/>
          </w:tcPr>
          <w:p w14:paraId="0917C1DA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28EFCBB8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45,5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15EAA4F7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12,7</w:t>
            </w:r>
          </w:p>
        </w:tc>
      </w:tr>
      <w:tr w:rsidR="005D4FB6" w:rsidRPr="005D4FB6" w14:paraId="30CA887F" w14:textId="77777777" w:rsidTr="00186A98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186A98" w:rsidRPr="005D4FB6" w:rsidRDefault="00186A98" w:rsidP="00186A98">
            <w:pPr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Λι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παντικά </w:t>
            </w:r>
            <w:proofErr w:type="spellStart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Λάδι</w:t>
            </w:r>
            <w:proofErr w:type="spellEnd"/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21B7D3DB" w14:textId="2C3AF39F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118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473D32" w14:textId="7433BC5E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119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036953" w14:textId="2921C527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422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EC7DE8" w14:textId="6C55341A" w:rsidR="00186A98" w:rsidRPr="005D4FB6" w:rsidRDefault="00186A98" w:rsidP="00186A98">
            <w:pPr>
              <w:jc w:val="right"/>
              <w:rPr>
                <w:color w:val="366092"/>
              </w:rPr>
            </w:pPr>
            <w:r w:rsidRPr="005D4FB6">
              <w:rPr>
                <w:color w:val="366092"/>
              </w:rPr>
              <w:t xml:space="preserve"> 411   </w:t>
            </w:r>
          </w:p>
        </w:tc>
        <w:tc>
          <w:tcPr>
            <w:tcW w:w="240" w:type="dxa"/>
            <w:vAlign w:val="center"/>
          </w:tcPr>
          <w:p w14:paraId="50A6DE35" w14:textId="77777777" w:rsidR="00186A98" w:rsidRPr="005D4FB6" w:rsidRDefault="00186A98" w:rsidP="00186A98">
            <w:pPr>
              <w:jc w:val="right"/>
              <w:rPr>
                <w:rFonts w:ascii="Verdana" w:hAnsi="Verdana"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A7888C" w14:textId="283891F7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-0,8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22E2EEA" w14:textId="658B427E" w:rsidR="00186A98" w:rsidRPr="005D4FB6" w:rsidRDefault="00186A98" w:rsidP="00186A98">
            <w:pPr>
              <w:ind w:right="397"/>
              <w:jc w:val="right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5D4FB6">
              <w:rPr>
                <w:rFonts w:ascii="Verdana" w:hAnsi="Verdana" w:cs="Arial"/>
                <w:color w:val="366092"/>
                <w:sz w:val="18"/>
                <w:szCs w:val="18"/>
              </w:rPr>
              <w:t>2,7</w:t>
            </w:r>
          </w:p>
        </w:tc>
      </w:tr>
      <w:tr w:rsidR="005D4FB6" w:rsidRPr="005D4FB6" w14:paraId="7697036F" w14:textId="77777777" w:rsidTr="00D37E15">
        <w:trPr>
          <w:trHeight w:val="608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4E34088" w14:textId="77777777" w:rsidR="00186A98" w:rsidRPr="005D4FB6" w:rsidRDefault="00186A98" w:rsidP="00186A98">
            <w:pPr>
              <w:spacing w:before="240" w:after="240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D2F9DC9" w14:textId="4ADD34A5" w:rsidR="00186A98" w:rsidRPr="005D4FB6" w:rsidRDefault="00186A98" w:rsidP="00186A98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54.739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26C515F1" w14:textId="703ED39C" w:rsidR="00186A98" w:rsidRPr="005D4FB6" w:rsidRDefault="00186A98" w:rsidP="00186A98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53.037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E78402" w14:textId="498FBE6F" w:rsidR="00186A98" w:rsidRPr="005D4FB6" w:rsidRDefault="00186A98" w:rsidP="00186A98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224.167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59C0292D" w14:textId="7ABD5B1F" w:rsidR="00186A98" w:rsidRPr="005D4FB6" w:rsidRDefault="00186A98" w:rsidP="00186A98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220.031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BF88548" w14:textId="77777777" w:rsidR="00186A98" w:rsidRPr="005D4FB6" w:rsidRDefault="00186A98" w:rsidP="00186A98">
            <w:pPr>
              <w:spacing w:before="240" w:after="240"/>
              <w:jc w:val="right"/>
              <w:rPr>
                <w:rFonts w:ascii="Verdana" w:hAnsi="Verdana"/>
                <w:b/>
                <w:bCs/>
                <w:noProof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481DDE24" w14:textId="62E25241" w:rsidR="00186A98" w:rsidRPr="005D4FB6" w:rsidRDefault="00186A98" w:rsidP="00186A98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3,2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3CDFF3C1" w14:textId="3D8F386A" w:rsidR="00186A98" w:rsidRPr="005D4FB6" w:rsidRDefault="00186A98" w:rsidP="00186A98">
            <w:pPr>
              <w:spacing w:before="240" w:after="240"/>
              <w:ind w:right="397"/>
              <w:jc w:val="right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5D4FB6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1,9</w:t>
            </w:r>
          </w:p>
        </w:tc>
      </w:tr>
    </w:tbl>
    <w:p w14:paraId="3C3F793B" w14:textId="77777777" w:rsidR="003C4AD2" w:rsidRPr="003C4AD2" w:rsidRDefault="003C4AD2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5E6B41EC" w14:textId="77777777" w:rsid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DBE68AE" w14:textId="77777777" w:rsidR="009C0C96" w:rsidRDefault="009C0C96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51AB087" w14:textId="77777777" w:rsidR="00510C81" w:rsidRP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755B2B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5D4FB6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5D4FB6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5D4FB6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5D4FB6">
      <w:pPr>
        <w:jc w:val="both"/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5D4FB6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5D4FB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5D4FB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5D4FB6">
      <w:pPr>
        <w:jc w:val="both"/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5D4FB6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5D4FB6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5D4FB6">
      <w:pPr>
        <w:tabs>
          <w:tab w:val="left" w:pos="5400"/>
        </w:tabs>
        <w:jc w:val="both"/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3862C3" w:rsidRDefault="00C91550" w:rsidP="005D4FB6">
      <w:pPr>
        <w:jc w:val="both"/>
        <w:rPr>
          <w:rFonts w:ascii="Verdana" w:hAnsi="Verdana"/>
          <w:sz w:val="18"/>
          <w:szCs w:val="18"/>
          <w:lang w:val="el-GR"/>
        </w:rPr>
      </w:pPr>
      <w:hyperlink r:id="rId10" w:history="1"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F0D5B45" w14:textId="3706CA80" w:rsidR="003862C3" w:rsidRPr="00914DF8" w:rsidRDefault="003862C3" w:rsidP="005D4FB6">
      <w:pPr>
        <w:jc w:val="both"/>
        <w:rPr>
          <w:rFonts w:ascii="Verdana" w:hAnsi="Verdana"/>
          <w:sz w:val="18"/>
          <w:szCs w:val="18"/>
          <w:lang w:val="el-GR"/>
        </w:rPr>
      </w:pPr>
      <w:hyperlink r:id="rId11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Pr="00C91550">
        <w:rPr>
          <w:rFonts w:ascii="Verdana" w:hAnsi="Verdana"/>
          <w:sz w:val="18"/>
          <w:szCs w:val="18"/>
        </w:rPr>
        <w:t>Excel</w:t>
      </w:r>
      <w:r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3D646B" w:rsidP="005D4FB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5D4FB6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5D4FB6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/>
        </w:rPr>
      </w:pPr>
    </w:p>
    <w:sectPr w:rsidR="00405879" w:rsidRPr="00B760F0" w:rsidSect="00F51E3B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3551" w14:textId="77777777" w:rsidR="00CC3006" w:rsidRDefault="00CC3006" w:rsidP="00FB398F">
      <w:r>
        <w:separator/>
      </w:r>
    </w:p>
  </w:endnote>
  <w:endnote w:type="continuationSeparator" w:id="0">
    <w:p w14:paraId="08E7C58F" w14:textId="77777777" w:rsidR="00CC3006" w:rsidRDefault="00CC300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7F2703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BE11" w14:textId="484010E7" w:rsidR="004E4F42" w:rsidRPr="00D87D96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D87D96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D87D96">
      <w:rPr>
        <w:rFonts w:ascii="Verdana" w:hAnsi="Verdana" w:cs="Arial"/>
        <w:sz w:val="16"/>
        <w:szCs w:val="16"/>
        <w:lang w:val="el-GR"/>
      </w:rPr>
      <w:t>ήλ</w:t>
    </w:r>
    <w:r w:rsidRPr="00D87D96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D87D96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D87D96">
      <w:rPr>
        <w:rFonts w:ascii="Verdana" w:hAnsi="Verdana" w:cs="Arial"/>
        <w:sz w:val="16"/>
        <w:szCs w:val="16"/>
        <w:lang w:val="el-GR"/>
      </w:rPr>
      <w:t>,</w:t>
    </w:r>
    <w:r w:rsidR="009C0C96" w:rsidRPr="00D87D96">
      <w:rPr>
        <w:rFonts w:ascii="Verdana" w:hAnsi="Verdana" w:cs="Arial"/>
        <w:sz w:val="16"/>
        <w:szCs w:val="16"/>
        <w:lang w:val="el-GR"/>
      </w:rPr>
      <w:t xml:space="preserve"> </w:t>
    </w:r>
    <w:r w:rsidRPr="00D87D96">
      <w:rPr>
        <w:rFonts w:ascii="Verdana" w:hAnsi="Verdana" w:cs="Arial"/>
        <w:sz w:val="16"/>
        <w:szCs w:val="16"/>
        <w:lang w:val="el-GR"/>
      </w:rPr>
      <w:t>1444 Λευκωσία, Κύπρος</w:t>
    </w:r>
  </w:p>
  <w:p w14:paraId="422C6C2A" w14:textId="3301E019" w:rsidR="004E4F42" w:rsidRPr="00D87D96" w:rsidRDefault="00D67EF5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D87D96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5B5473">
      <w:rPr>
        <w:rFonts w:ascii="Verdana" w:hAnsi="Verdana" w:cs="Arial"/>
        <w:sz w:val="16"/>
        <w:szCs w:val="16"/>
        <w:lang w:val="el-GR"/>
      </w:rPr>
      <w:t>.: 22 602129</w:t>
    </w:r>
    <w:r w:rsidR="004E4F42" w:rsidRPr="00D87D96">
      <w:rPr>
        <w:rFonts w:ascii="Verdana" w:hAnsi="Verdana" w:cs="Arial"/>
        <w:sz w:val="16"/>
        <w:szCs w:val="16"/>
        <w:lang w:val="de-DE"/>
      </w:rPr>
      <w:t xml:space="preserve">, </w:t>
    </w:r>
    <w:proofErr w:type="spellStart"/>
    <w:r w:rsidR="00D87D96" w:rsidRPr="003F79D5">
      <w:rPr>
        <w:rFonts w:ascii="Verdana" w:hAnsi="Verdana" w:cs="Arial"/>
        <w:sz w:val="16"/>
        <w:szCs w:val="16"/>
        <w:lang w:val="el-GR"/>
      </w:rPr>
      <w:t>Ηλ</w:t>
    </w:r>
    <w:proofErr w:type="spellEnd"/>
    <w:r w:rsidR="00D87D96" w:rsidRPr="003F79D5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D87D96" w:rsidRPr="003F79D5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D87D96" w:rsidRPr="003F79D5">
      <w:rPr>
        <w:rFonts w:ascii="Verdana" w:hAnsi="Verdana" w:cs="Arial"/>
        <w:sz w:val="16"/>
        <w:szCs w:val="16"/>
        <w:lang w:val="el-GR"/>
      </w:rPr>
      <w:t>.</w:t>
    </w:r>
    <w:r w:rsidR="004E4F42" w:rsidRPr="00D87D96">
      <w:rPr>
        <w:rFonts w:ascii="Verdana" w:hAnsi="Verdana" w:cs="Arial"/>
        <w:sz w:val="16"/>
        <w:szCs w:val="16"/>
        <w:lang w:val="de-DE"/>
      </w:rPr>
      <w:t xml:space="preserve">: </w:t>
    </w:r>
    <w:r w:rsidR="004E4F42">
      <w:fldChar w:fldCharType="begin"/>
    </w:r>
    <w:r w:rsidR="004E4F42">
      <w:instrText>HYPERLINK</w:instrText>
    </w:r>
    <w:r w:rsidR="004E4F42" w:rsidRPr="0094672C">
      <w:rPr>
        <w:lang w:val="el-GR"/>
      </w:rPr>
      <w:instrText xml:space="preserve"> "</w:instrText>
    </w:r>
    <w:r w:rsidR="004E4F42">
      <w:instrText>mailto</w:instrText>
    </w:r>
    <w:r w:rsidR="004E4F42" w:rsidRPr="0094672C">
      <w:rPr>
        <w:lang w:val="el-GR"/>
      </w:rPr>
      <w:instrText>:</w:instrText>
    </w:r>
    <w:r w:rsidR="004E4F42">
      <w:instrText>enquiries</w:instrText>
    </w:r>
    <w:r w:rsidR="004E4F42" w:rsidRPr="0094672C">
      <w:rPr>
        <w:lang w:val="el-GR"/>
      </w:rPr>
      <w:instrText>@</w:instrText>
    </w:r>
    <w:r w:rsidR="004E4F42">
      <w:instrText>cystat</w:instrText>
    </w:r>
    <w:r w:rsidR="004E4F42" w:rsidRPr="0094672C">
      <w:rPr>
        <w:lang w:val="el-GR"/>
      </w:rPr>
      <w:instrText>.</w:instrText>
    </w:r>
    <w:r w:rsidR="004E4F42">
      <w:instrText>mof</w:instrText>
    </w:r>
    <w:r w:rsidR="004E4F42" w:rsidRPr="0094672C">
      <w:rPr>
        <w:lang w:val="el-GR"/>
      </w:rPr>
      <w:instrText>.</w:instrText>
    </w:r>
    <w:r w:rsidR="004E4F42">
      <w:instrText>gov</w:instrText>
    </w:r>
    <w:r w:rsidR="004E4F42" w:rsidRPr="0094672C">
      <w:rPr>
        <w:lang w:val="el-GR"/>
      </w:rPr>
      <w:instrText>.</w:instrText>
    </w:r>
    <w:r w:rsidR="004E4F42">
      <w:instrText>cy</w:instrText>
    </w:r>
    <w:r w:rsidR="004E4F42" w:rsidRPr="0094672C">
      <w:rPr>
        <w:lang w:val="el-GR"/>
      </w:rPr>
      <w:instrText>"</w:instrText>
    </w:r>
    <w:r w:rsidR="004E4F42">
      <w:fldChar w:fldCharType="separate"/>
    </w:r>
    <w:r w:rsidR="004E4F42" w:rsidRPr="00D87D96">
      <w:rPr>
        <w:rStyle w:val="Hyperlink"/>
        <w:rFonts w:ascii="Verdana" w:hAnsi="Verdana" w:cs="Arial"/>
        <w:sz w:val="16"/>
        <w:szCs w:val="16"/>
        <w:lang w:val="de-DE"/>
      </w:rPr>
      <w:t>enquiries@cystat.mof.gov.cy</w:t>
    </w:r>
    <w:r w:rsidR="004E4F42">
      <w:fldChar w:fldCharType="end"/>
    </w:r>
    <w:r w:rsidR="004E4F42" w:rsidRPr="00D87D96">
      <w:rPr>
        <w:rFonts w:ascii="Verdana" w:hAnsi="Verdana" w:cs="Arial"/>
        <w:sz w:val="16"/>
        <w:szCs w:val="16"/>
        <w:lang w:val="de-DE"/>
      </w:rPr>
      <w:t xml:space="preserve">  </w:t>
    </w:r>
  </w:p>
  <w:p w14:paraId="3D3E66DE" w14:textId="2B1FEBEA" w:rsidR="004E4F42" w:rsidRPr="00D87D96" w:rsidRDefault="00D87D96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3F79D5"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D87D96">
      <w:rPr>
        <w:rFonts w:ascii="Verdana" w:hAnsi="Verdana" w:cs="Arial"/>
        <w:sz w:val="16"/>
        <w:szCs w:val="16"/>
        <w:lang w:val="el-GR"/>
      </w:rPr>
      <w:t xml:space="preserve">: </w:t>
    </w:r>
    <w:r w:rsidR="004E4F42">
      <w:fldChar w:fldCharType="begin"/>
    </w:r>
    <w:r w:rsidR="004E4F42">
      <w:instrText>HYPERLINK</w:instrText>
    </w:r>
    <w:r w:rsidR="004E4F42" w:rsidRPr="0094672C">
      <w:rPr>
        <w:lang w:val="el-GR"/>
      </w:rPr>
      <w:instrText xml:space="preserve"> "</w:instrText>
    </w:r>
    <w:r w:rsidR="004E4F42">
      <w:instrText>http</w:instrText>
    </w:r>
    <w:r w:rsidR="004E4F42" w:rsidRPr="0094672C">
      <w:rPr>
        <w:lang w:val="el-GR"/>
      </w:rPr>
      <w:instrText>://</w:instrText>
    </w:r>
    <w:r w:rsidR="004E4F42">
      <w:instrText>www</w:instrText>
    </w:r>
    <w:r w:rsidR="004E4F42" w:rsidRPr="0094672C">
      <w:rPr>
        <w:lang w:val="el-GR"/>
      </w:rPr>
      <w:instrText>.</w:instrText>
    </w:r>
    <w:r w:rsidR="004E4F42">
      <w:instrText>cystat</w:instrText>
    </w:r>
    <w:r w:rsidR="004E4F42" w:rsidRPr="0094672C">
      <w:rPr>
        <w:lang w:val="el-GR"/>
      </w:rPr>
      <w:instrText>.</w:instrText>
    </w:r>
    <w:r w:rsidR="004E4F42">
      <w:instrText>gov</w:instrText>
    </w:r>
    <w:r w:rsidR="004E4F42" w:rsidRPr="0094672C">
      <w:rPr>
        <w:lang w:val="el-GR"/>
      </w:rPr>
      <w:instrText>.</w:instrText>
    </w:r>
    <w:r w:rsidR="004E4F42">
      <w:instrText>cy</w:instrText>
    </w:r>
    <w:r w:rsidR="004E4F42" w:rsidRPr="0094672C">
      <w:rPr>
        <w:lang w:val="el-GR"/>
      </w:rPr>
      <w:instrText>"</w:instrText>
    </w:r>
    <w:r w:rsidR="004E4F42">
      <w:fldChar w:fldCharType="separate"/>
    </w:r>
    <w:r w:rsidR="004E4F42" w:rsidRPr="00D87D96">
      <w:rPr>
        <w:rStyle w:val="Hyperlink"/>
        <w:rFonts w:ascii="Verdana" w:hAnsi="Verdana" w:cs="Arial"/>
        <w:sz w:val="16"/>
        <w:szCs w:val="16"/>
      </w:rPr>
      <w:t>http</w:t>
    </w:r>
    <w:r w:rsidR="004E4F42" w:rsidRPr="00D87D96">
      <w:rPr>
        <w:rStyle w:val="Hyperlink"/>
        <w:rFonts w:ascii="Verdana" w:hAnsi="Verdana" w:cs="Arial"/>
        <w:sz w:val="16"/>
        <w:szCs w:val="16"/>
        <w:lang w:val="el-GR"/>
      </w:rPr>
      <w:t>://</w:t>
    </w:r>
    <w:r w:rsidR="004E4F42" w:rsidRPr="00D87D96">
      <w:rPr>
        <w:rStyle w:val="Hyperlink"/>
        <w:rFonts w:ascii="Verdana" w:hAnsi="Verdana" w:cs="Arial"/>
        <w:sz w:val="16"/>
        <w:szCs w:val="16"/>
      </w:rPr>
      <w:t>www</w:t>
    </w:r>
    <w:r w:rsidR="004E4F42" w:rsidRPr="00D87D96">
      <w:rPr>
        <w:rStyle w:val="Hyperlink"/>
        <w:rFonts w:ascii="Verdana" w:hAnsi="Verdana" w:cs="Arial"/>
        <w:sz w:val="16"/>
        <w:szCs w:val="16"/>
        <w:lang w:val="el-GR"/>
      </w:rPr>
      <w:t>.</w:t>
    </w:r>
    <w:proofErr w:type="spellStart"/>
    <w:r w:rsidR="004E4F42" w:rsidRPr="00D87D96">
      <w:rPr>
        <w:rStyle w:val="Hyperlink"/>
        <w:rFonts w:ascii="Verdana" w:hAnsi="Verdana" w:cs="Arial"/>
        <w:sz w:val="16"/>
        <w:szCs w:val="16"/>
      </w:rPr>
      <w:t>cystat</w:t>
    </w:r>
    <w:proofErr w:type="spellEnd"/>
    <w:r w:rsidR="004E4F42" w:rsidRPr="00D87D96">
      <w:rPr>
        <w:rStyle w:val="Hyperlink"/>
        <w:rFonts w:ascii="Verdana" w:hAnsi="Verdana" w:cs="Arial"/>
        <w:sz w:val="16"/>
        <w:szCs w:val="16"/>
        <w:lang w:val="el-GR"/>
      </w:rPr>
      <w:t>.</w:t>
    </w:r>
    <w:r w:rsidR="004E4F42" w:rsidRPr="00D87D96">
      <w:rPr>
        <w:rStyle w:val="Hyperlink"/>
        <w:rFonts w:ascii="Verdana" w:hAnsi="Verdana" w:cs="Arial"/>
        <w:sz w:val="16"/>
        <w:szCs w:val="16"/>
      </w:rPr>
      <w:t>gov</w:t>
    </w:r>
    <w:r w:rsidR="004E4F42" w:rsidRPr="00D87D96">
      <w:rPr>
        <w:rStyle w:val="Hyperlink"/>
        <w:rFonts w:ascii="Verdana" w:hAnsi="Verdana" w:cs="Arial"/>
        <w:sz w:val="16"/>
        <w:szCs w:val="16"/>
        <w:lang w:val="el-GR"/>
      </w:rPr>
      <w:t>.</w:t>
    </w:r>
    <w:r w:rsidR="004E4F42" w:rsidRPr="00D87D96">
      <w:rPr>
        <w:rStyle w:val="Hyperlink"/>
        <w:rFonts w:ascii="Verdana" w:hAnsi="Verdana" w:cs="Arial"/>
        <w:sz w:val="16"/>
        <w:szCs w:val="16"/>
      </w:rPr>
      <w:t>cy</w:t>
    </w:r>
    <w:r w:rsidR="004E4F42">
      <w:fldChar w:fldCharType="end"/>
    </w:r>
    <w:r w:rsidR="004E4F42" w:rsidRPr="00D87D96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F71DB" w14:textId="77777777" w:rsidR="00CC3006" w:rsidRDefault="00CC3006" w:rsidP="00FB398F">
      <w:r>
        <w:separator/>
      </w:r>
    </w:p>
  </w:footnote>
  <w:footnote w:type="continuationSeparator" w:id="0">
    <w:p w14:paraId="3972BBB9" w14:textId="77777777" w:rsidR="00CC3006" w:rsidRDefault="00CC300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1DE974DA">
              <wp:simplePos x="0" y="0"/>
              <wp:positionH relativeFrom="column">
                <wp:posOffset>4337685</wp:posOffset>
              </wp:positionH>
              <wp:positionV relativeFrom="paragraph">
                <wp:posOffset>932180</wp:posOffset>
              </wp:positionV>
              <wp:extent cx="19431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Pr="00D87D96" w:rsidRDefault="004E4F42" w:rsidP="00D87D9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87D96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D87D96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05E8656E" w14:textId="77777777" w:rsidR="004E4F42" w:rsidRPr="00D87D96" w:rsidRDefault="004E4F42" w:rsidP="00D87D96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D87D96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41.55pt;margin-top:73.4pt;width:153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jx8wEAAMoDAAAOAAAAZHJzL2Uyb0RvYy54bWysU8Fu2zAMvQ/YPwi6L47TdGuNOEWXIsOA&#10;rhvQ9QNkWbaFyaJGKbGzrx8lp2nQ3Yr5IIim9Mj3+LS6GXvD9gq9BlvyfDbnTFkJtbZtyZ9+bj9c&#10;ceaDsLUwYFXJD8rzm/X7d6vBFWoBHZhaISMQ64vBlbwLwRVZ5mWneuFn4JSlZAPYi0AhtlmNYiD0&#10;3mSL+fxjNgDWDkEq7+nv3ZTk64TfNEqG703jVWCm5NRbSCumtYprtl6JokXhOi2PbYg3dNELbano&#10;CepOBMF2qP+B6rVE8NCEmYQ+g6bRUiUOxCafv2Lz2AmnEhcSx7uTTP7/wcqH/aP7gSyMn2GkASYS&#10;3t2D/OWZhU0nbKtuEWHolKipcB4lywbni+PVKLUvfASphm9Q05DFLkACGhvsoyrEkxE6DeBwEl2N&#10;gclY8np5kc8pJSm3vLjKL9NUMlE833bowxcFPYubkiMNNaGL/b0PsRtRPB+JxTwYXW+1MSnAttoY&#10;ZHtBBtimLxF4dczYeNhCvDYhxj+JZmQ2cQxjNVIy0q2gPhBhhMlQ9ABo0wH+4WwgM5Xc/94JVJyZ&#10;r5ZEu86Xy+i+FCwvPy0owPNMdZ4RVhJUyQNn03YTJsfuHOq2o0rTmCzcktCNThq8dHXsmwyTpDma&#10;OzryPE6nXp7g+i8AAAD//wMAUEsDBBQABgAIAAAAIQAPM5WJ3wAAAAsBAAAPAAAAZHJzL2Rvd25y&#10;ZXYueG1sTI/BTsMwEETvSPyDtUhcEHVS2jRJ41SABOLa0g9w4m0SNV5Hsdukf89yguPOPM3OFLvZ&#10;9uKKo+8cKYgXEQik2pmOGgXH74/nFIQPmozuHaGCG3rYlfd3hc6Nm2iP10NoBIeQz7WCNoQhl9LX&#10;LVrtF25AYu/kRqsDn2MjzagnDre9XEZRIq3uiD+0esD3Fuvz4WIVnL6mp3U2VZ/huNmvkjfdbSp3&#10;U+rxYX7dggg4hz8YfutzdSi5U+UuZLzoFSTpS8woG6uENzCRpRkrlYJlvE5BloX8v6H8AQAA//8D&#10;AFBLAQItABQABgAIAAAAIQC2gziS/gAAAOEBAAATAAAAAAAAAAAAAAAAAAAAAABbQ29udGVudF9U&#10;eXBlc10ueG1sUEsBAi0AFAAGAAgAAAAhADj9If/WAAAAlAEAAAsAAAAAAAAAAAAAAAAALwEAAF9y&#10;ZWxzLy5yZWxzUEsBAi0AFAAGAAgAAAAhAGLu2PHzAQAAygMAAA4AAAAAAAAAAAAAAAAALgIAAGRy&#10;cy9lMm9Eb2MueG1sUEsBAi0AFAAGAAgAAAAhAA8zlYnfAAAACwEAAA8AAAAAAAAAAAAAAAAATQQA&#10;AGRycy9kb3ducmV2LnhtbFBLBQYAAAAABAAEAPMAAABZBQAAAAA=&#10;" stroked="f">
              <v:textbox>
                <w:txbxContent>
                  <w:p w14:paraId="09EA8B23" w14:textId="77777777" w:rsidR="004E4F42" w:rsidRPr="00D87D96" w:rsidRDefault="004E4F42" w:rsidP="00D87D9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87D96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D87D96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05E8656E" w14:textId="77777777" w:rsidR="004E4F42" w:rsidRPr="00D87D96" w:rsidRDefault="004E4F42" w:rsidP="00D87D96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D87D96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  <w:lang w:val="en-GB" w:eastAsia="en-GB"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D43BC9E" w:rsidR="004E4F42" w:rsidRPr="00D87D96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Pr="00D87D96">
      <w:rPr>
        <w:rFonts w:ascii="Verdana" w:hAnsi="Verdana" w:cs="Arial"/>
        <w:bCs/>
        <w:sz w:val="20"/>
        <w:szCs w:val="20"/>
      </w:rPr>
      <w:t>ΚΥΠΡΙΑΚΗ ΔΗΜΟΚΡΑΤΙΑ</w:t>
    </w:r>
    <w:r w:rsidRPr="00D87D96">
      <w:rPr>
        <w:rFonts w:ascii="Verdana" w:hAnsi="Verdana"/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371085">
    <w:abstractNumId w:val="5"/>
  </w:num>
  <w:num w:numId="2" w16cid:durableId="770205639">
    <w:abstractNumId w:val="2"/>
  </w:num>
  <w:num w:numId="3" w16cid:durableId="34963443">
    <w:abstractNumId w:val="3"/>
  </w:num>
  <w:num w:numId="4" w16cid:durableId="1917662343">
    <w:abstractNumId w:val="4"/>
  </w:num>
  <w:num w:numId="5" w16cid:durableId="1794902062">
    <w:abstractNumId w:val="1"/>
  </w:num>
  <w:num w:numId="6" w16cid:durableId="1912738302">
    <w:abstractNumId w:val="6"/>
  </w:num>
  <w:num w:numId="7" w16cid:durableId="73643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5B1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3EA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0EC8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3D3"/>
    <w:rsid w:val="00136365"/>
    <w:rsid w:val="00142848"/>
    <w:rsid w:val="00143ED6"/>
    <w:rsid w:val="0015118B"/>
    <w:rsid w:val="001519CE"/>
    <w:rsid w:val="001530A1"/>
    <w:rsid w:val="001540D4"/>
    <w:rsid w:val="00156349"/>
    <w:rsid w:val="00161CF3"/>
    <w:rsid w:val="00162C00"/>
    <w:rsid w:val="00163319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6A98"/>
    <w:rsid w:val="00187789"/>
    <w:rsid w:val="00187FFC"/>
    <w:rsid w:val="00194386"/>
    <w:rsid w:val="001959E3"/>
    <w:rsid w:val="00197FEA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0A67"/>
    <w:rsid w:val="001C22B4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309E"/>
    <w:rsid w:val="00205AAB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7564D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200"/>
    <w:rsid w:val="002A67D9"/>
    <w:rsid w:val="002B4969"/>
    <w:rsid w:val="002B6554"/>
    <w:rsid w:val="002B6788"/>
    <w:rsid w:val="002B722C"/>
    <w:rsid w:val="002B7DAA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264"/>
    <w:rsid w:val="00312C52"/>
    <w:rsid w:val="00313F37"/>
    <w:rsid w:val="003141D0"/>
    <w:rsid w:val="003168C1"/>
    <w:rsid w:val="00322FBE"/>
    <w:rsid w:val="00325570"/>
    <w:rsid w:val="00325632"/>
    <w:rsid w:val="003263AF"/>
    <w:rsid w:val="00327549"/>
    <w:rsid w:val="00330D91"/>
    <w:rsid w:val="003341A3"/>
    <w:rsid w:val="003342A5"/>
    <w:rsid w:val="00334616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67A41"/>
    <w:rsid w:val="00377170"/>
    <w:rsid w:val="00380751"/>
    <w:rsid w:val="0038153A"/>
    <w:rsid w:val="00383AC7"/>
    <w:rsid w:val="003862C3"/>
    <w:rsid w:val="00386FC7"/>
    <w:rsid w:val="00390A32"/>
    <w:rsid w:val="00397055"/>
    <w:rsid w:val="003A0859"/>
    <w:rsid w:val="003A1142"/>
    <w:rsid w:val="003A1E91"/>
    <w:rsid w:val="003A241F"/>
    <w:rsid w:val="003A40F2"/>
    <w:rsid w:val="003A43E9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0784F"/>
    <w:rsid w:val="00414B61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2753"/>
    <w:rsid w:val="0045603D"/>
    <w:rsid w:val="0046078F"/>
    <w:rsid w:val="004614E5"/>
    <w:rsid w:val="00463214"/>
    <w:rsid w:val="0046434D"/>
    <w:rsid w:val="00464F69"/>
    <w:rsid w:val="00464FEB"/>
    <w:rsid w:val="004656FA"/>
    <w:rsid w:val="004714A7"/>
    <w:rsid w:val="00471C9C"/>
    <w:rsid w:val="00471D77"/>
    <w:rsid w:val="00475566"/>
    <w:rsid w:val="00475587"/>
    <w:rsid w:val="00476572"/>
    <w:rsid w:val="00480BC2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1062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721"/>
    <w:rsid w:val="004D3E6C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E08"/>
    <w:rsid w:val="00542B81"/>
    <w:rsid w:val="00545330"/>
    <w:rsid w:val="0054539D"/>
    <w:rsid w:val="00545F21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91B64"/>
    <w:rsid w:val="005978D4"/>
    <w:rsid w:val="00597A21"/>
    <w:rsid w:val="005A0D3D"/>
    <w:rsid w:val="005A1338"/>
    <w:rsid w:val="005A19B8"/>
    <w:rsid w:val="005A23FA"/>
    <w:rsid w:val="005A508C"/>
    <w:rsid w:val="005B2A67"/>
    <w:rsid w:val="005B2F45"/>
    <w:rsid w:val="005B3DCD"/>
    <w:rsid w:val="005B4AD4"/>
    <w:rsid w:val="005B5473"/>
    <w:rsid w:val="005B5602"/>
    <w:rsid w:val="005B61F8"/>
    <w:rsid w:val="005B7655"/>
    <w:rsid w:val="005B790A"/>
    <w:rsid w:val="005C2798"/>
    <w:rsid w:val="005C36C3"/>
    <w:rsid w:val="005C520C"/>
    <w:rsid w:val="005C56DD"/>
    <w:rsid w:val="005C56EE"/>
    <w:rsid w:val="005D1714"/>
    <w:rsid w:val="005D2AED"/>
    <w:rsid w:val="005D4FB6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6BFF"/>
    <w:rsid w:val="00627ACA"/>
    <w:rsid w:val="00632777"/>
    <w:rsid w:val="00633750"/>
    <w:rsid w:val="00633A66"/>
    <w:rsid w:val="00634491"/>
    <w:rsid w:val="00634F6C"/>
    <w:rsid w:val="0063679C"/>
    <w:rsid w:val="00637055"/>
    <w:rsid w:val="006374B0"/>
    <w:rsid w:val="006413E2"/>
    <w:rsid w:val="00641826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2706"/>
    <w:rsid w:val="00682728"/>
    <w:rsid w:val="0068434A"/>
    <w:rsid w:val="00685018"/>
    <w:rsid w:val="00687772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703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0F10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BB5"/>
    <w:rsid w:val="00881268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3CE6"/>
    <w:rsid w:val="008C71BF"/>
    <w:rsid w:val="008C7FE0"/>
    <w:rsid w:val="008D0A7A"/>
    <w:rsid w:val="008D2B26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123FC"/>
    <w:rsid w:val="00913967"/>
    <w:rsid w:val="00914A23"/>
    <w:rsid w:val="00914DF8"/>
    <w:rsid w:val="00915D53"/>
    <w:rsid w:val="00924E72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672C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6A30"/>
    <w:rsid w:val="0098789B"/>
    <w:rsid w:val="009923AF"/>
    <w:rsid w:val="00992FB4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C96"/>
    <w:rsid w:val="009C0E86"/>
    <w:rsid w:val="009C165D"/>
    <w:rsid w:val="009C3CEA"/>
    <w:rsid w:val="009C583D"/>
    <w:rsid w:val="009C596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079"/>
    <w:rsid w:val="00A1625B"/>
    <w:rsid w:val="00A20C70"/>
    <w:rsid w:val="00A2549E"/>
    <w:rsid w:val="00A25594"/>
    <w:rsid w:val="00A25711"/>
    <w:rsid w:val="00A268DD"/>
    <w:rsid w:val="00A27EB3"/>
    <w:rsid w:val="00A30AAF"/>
    <w:rsid w:val="00A31A49"/>
    <w:rsid w:val="00A33875"/>
    <w:rsid w:val="00A356E0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0151"/>
    <w:rsid w:val="00A618CF"/>
    <w:rsid w:val="00A62770"/>
    <w:rsid w:val="00A62EEB"/>
    <w:rsid w:val="00A63B52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EFF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6145"/>
    <w:rsid w:val="00B005EC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3ED0"/>
    <w:rsid w:val="00B26445"/>
    <w:rsid w:val="00B2730E"/>
    <w:rsid w:val="00B30D97"/>
    <w:rsid w:val="00B31074"/>
    <w:rsid w:val="00B3181A"/>
    <w:rsid w:val="00B35A7C"/>
    <w:rsid w:val="00B35F8B"/>
    <w:rsid w:val="00B417A9"/>
    <w:rsid w:val="00B43EB1"/>
    <w:rsid w:val="00B44A6C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3980"/>
    <w:rsid w:val="00B75AE5"/>
    <w:rsid w:val="00B760F0"/>
    <w:rsid w:val="00B800C0"/>
    <w:rsid w:val="00B8132B"/>
    <w:rsid w:val="00B816C5"/>
    <w:rsid w:val="00B8213A"/>
    <w:rsid w:val="00B82264"/>
    <w:rsid w:val="00B83B6D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5CDF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0B5"/>
    <w:rsid w:val="00C235CB"/>
    <w:rsid w:val="00C23EA7"/>
    <w:rsid w:val="00C2470F"/>
    <w:rsid w:val="00C254C3"/>
    <w:rsid w:val="00C256F3"/>
    <w:rsid w:val="00C270A2"/>
    <w:rsid w:val="00C315B5"/>
    <w:rsid w:val="00C3233C"/>
    <w:rsid w:val="00C325A3"/>
    <w:rsid w:val="00C35994"/>
    <w:rsid w:val="00C35E28"/>
    <w:rsid w:val="00C426AF"/>
    <w:rsid w:val="00C4568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2A6"/>
    <w:rsid w:val="00C64C6B"/>
    <w:rsid w:val="00C64F74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77406"/>
    <w:rsid w:val="00C82E26"/>
    <w:rsid w:val="00C83027"/>
    <w:rsid w:val="00C84B8A"/>
    <w:rsid w:val="00C84FAF"/>
    <w:rsid w:val="00C85E65"/>
    <w:rsid w:val="00C87CA1"/>
    <w:rsid w:val="00C911B4"/>
    <w:rsid w:val="00C91550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B5F7F"/>
    <w:rsid w:val="00CB6438"/>
    <w:rsid w:val="00CB6BC1"/>
    <w:rsid w:val="00CB7021"/>
    <w:rsid w:val="00CB710F"/>
    <w:rsid w:val="00CC3006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07E29"/>
    <w:rsid w:val="00D101B8"/>
    <w:rsid w:val="00D10980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146A"/>
    <w:rsid w:val="00D620FA"/>
    <w:rsid w:val="00D66E02"/>
    <w:rsid w:val="00D67EF5"/>
    <w:rsid w:val="00D71A61"/>
    <w:rsid w:val="00D75917"/>
    <w:rsid w:val="00D76249"/>
    <w:rsid w:val="00D83572"/>
    <w:rsid w:val="00D862D1"/>
    <w:rsid w:val="00D87D96"/>
    <w:rsid w:val="00D93C5B"/>
    <w:rsid w:val="00D95CBE"/>
    <w:rsid w:val="00D968F8"/>
    <w:rsid w:val="00DA2526"/>
    <w:rsid w:val="00DA2913"/>
    <w:rsid w:val="00DA5C22"/>
    <w:rsid w:val="00DA7D12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76FC5"/>
    <w:rsid w:val="00E81610"/>
    <w:rsid w:val="00E8199E"/>
    <w:rsid w:val="00E841B3"/>
    <w:rsid w:val="00E84910"/>
    <w:rsid w:val="00E85B28"/>
    <w:rsid w:val="00E87F0B"/>
    <w:rsid w:val="00E91976"/>
    <w:rsid w:val="00E91A17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22ECA"/>
    <w:rsid w:val="00F23348"/>
    <w:rsid w:val="00F240E8"/>
    <w:rsid w:val="00F244FA"/>
    <w:rsid w:val="00F366A2"/>
    <w:rsid w:val="00F42B2B"/>
    <w:rsid w:val="00F42B8F"/>
    <w:rsid w:val="00F44F43"/>
    <w:rsid w:val="00F450E1"/>
    <w:rsid w:val="00F455DA"/>
    <w:rsid w:val="00F46406"/>
    <w:rsid w:val="00F4748E"/>
    <w:rsid w:val="00F50DF4"/>
    <w:rsid w:val="00F512D7"/>
    <w:rsid w:val="00F51E3B"/>
    <w:rsid w:val="00F557DF"/>
    <w:rsid w:val="00F56ADA"/>
    <w:rsid w:val="00F57AFE"/>
    <w:rsid w:val="00F6278E"/>
    <w:rsid w:val="00F62D75"/>
    <w:rsid w:val="00F63C41"/>
    <w:rsid w:val="00F63E96"/>
    <w:rsid w:val="00F6421C"/>
    <w:rsid w:val="00F6426A"/>
    <w:rsid w:val="00F701E3"/>
    <w:rsid w:val="00F71008"/>
    <w:rsid w:val="00F71F8C"/>
    <w:rsid w:val="00F74222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2C9B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docId w15:val="{E16A249F-B7EE-4ABB-AF9D-1C87645A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B896-B6B6-4F3C-98F1-67F0B572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2</cp:revision>
  <cp:lastPrinted>2025-05-27T08:44:00Z</cp:lastPrinted>
  <dcterms:created xsi:type="dcterms:W3CDTF">2025-05-27T10:43:00Z</dcterms:created>
  <dcterms:modified xsi:type="dcterms:W3CDTF">2025-05-27T10:43:00Z</dcterms:modified>
</cp:coreProperties>
</file>