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C153" w14:textId="3CAD9169" w:rsidR="00294481" w:rsidRPr="00371D8C" w:rsidRDefault="008E7BB9" w:rsidP="00571F0B">
      <w:pPr>
        <w:ind w:right="567"/>
        <w:jc w:val="right"/>
        <w:rPr>
          <w:rFonts w:ascii="Verdana" w:hAnsi="Verdana" w:cs="Arial"/>
          <w:sz w:val="18"/>
          <w:szCs w:val="18"/>
        </w:rPr>
      </w:pPr>
      <w:r>
        <w:rPr>
          <w:rFonts w:ascii="Verdana" w:hAnsi="Verdana" w:cs="Arial"/>
          <w:sz w:val="18"/>
          <w:szCs w:val="18"/>
        </w:rPr>
        <w:t>2</w:t>
      </w:r>
      <w:r w:rsidR="00D82041" w:rsidRPr="003D0A7C">
        <w:rPr>
          <w:rFonts w:ascii="Verdana" w:hAnsi="Verdana" w:cs="Arial"/>
          <w:sz w:val="18"/>
          <w:szCs w:val="18"/>
        </w:rPr>
        <w:t>7</w:t>
      </w:r>
      <w:r>
        <w:rPr>
          <w:rFonts w:ascii="Verdana" w:hAnsi="Verdana" w:cs="Arial"/>
          <w:sz w:val="18"/>
          <w:szCs w:val="18"/>
        </w:rPr>
        <w:t xml:space="preserve"> </w:t>
      </w:r>
      <w:r w:rsidR="00D82041">
        <w:rPr>
          <w:rFonts w:ascii="Verdana" w:hAnsi="Verdana" w:cs="Arial"/>
          <w:sz w:val="18"/>
          <w:szCs w:val="18"/>
        </w:rPr>
        <w:t>May</w:t>
      </w:r>
      <w:r w:rsidR="00294481" w:rsidRPr="00757263">
        <w:rPr>
          <w:rFonts w:ascii="Verdana" w:eastAsia="Malgun Gothic" w:hAnsi="Verdana" w:cs="Arial"/>
          <w:sz w:val="18"/>
          <w:szCs w:val="18"/>
        </w:rPr>
        <w:t>, 202</w:t>
      </w:r>
      <w:r w:rsidR="002C62AD" w:rsidRPr="00371D8C">
        <w:rPr>
          <w:rFonts w:ascii="Verdana" w:eastAsia="Malgun Gothic" w:hAnsi="Verdana" w:cs="Arial"/>
          <w:sz w:val="18"/>
          <w:szCs w:val="18"/>
        </w:rPr>
        <w:t>5</w:t>
      </w:r>
    </w:p>
    <w:p w14:paraId="7B17DE42" w14:textId="77777777" w:rsidR="001532AC" w:rsidRPr="001532AC" w:rsidRDefault="001532AC" w:rsidP="001532AC">
      <w:pPr>
        <w:rPr>
          <w:rFonts w:ascii="Verdana" w:eastAsia="Malgun Gothic" w:hAnsi="Verdana" w:cs="Arial"/>
          <w:b/>
          <w:sz w:val="18"/>
          <w:szCs w:val="18"/>
        </w:rPr>
      </w:pPr>
    </w:p>
    <w:p w14:paraId="5DB68A2D" w14:textId="77777777" w:rsidR="00AF4E61" w:rsidRPr="0087256C" w:rsidRDefault="00AF4E61" w:rsidP="00AF4E61">
      <w:pPr>
        <w:jc w:val="center"/>
        <w:rPr>
          <w:rFonts w:ascii="Verdana" w:eastAsia="Malgun Gothic" w:hAnsi="Verdana" w:cs="Arial"/>
          <w:b/>
          <w:sz w:val="24"/>
          <w:szCs w:val="24"/>
        </w:rPr>
      </w:pPr>
      <w:r>
        <w:rPr>
          <w:rFonts w:ascii="Verdana" w:eastAsia="Malgun Gothic" w:hAnsi="Verdana" w:cs="Arial"/>
          <w:b/>
          <w:sz w:val="24"/>
          <w:szCs w:val="24"/>
        </w:rPr>
        <w:t>PRESS RELEASE</w:t>
      </w:r>
    </w:p>
    <w:p w14:paraId="3EDFD875" w14:textId="77777777" w:rsidR="00AF4E61" w:rsidRPr="00030B9B" w:rsidRDefault="00AF4E61" w:rsidP="00AF4E61">
      <w:pPr>
        <w:rPr>
          <w:rFonts w:ascii="Verdana" w:eastAsia="Malgun Gothic" w:hAnsi="Verdana" w:cs="Arial"/>
          <w:sz w:val="18"/>
          <w:szCs w:val="18"/>
        </w:rPr>
      </w:pPr>
    </w:p>
    <w:p w14:paraId="2C7FE0DD" w14:textId="10010DE7" w:rsidR="00AF4E61" w:rsidRPr="002C62AD" w:rsidRDefault="00AF4E61" w:rsidP="00AF4E61">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IMPORTS, SALES AND STOCKS OF PETROLEUM PRODUCTS</w:t>
      </w:r>
      <w:r w:rsidRPr="00DA67D5">
        <w:rPr>
          <w:rFonts w:ascii="Verdana" w:eastAsia="Times New Roman" w:hAnsi="Verdana"/>
          <w:bCs/>
          <w:u w:val="single"/>
          <w:shd w:val="clear" w:color="auto" w:fill="FFFFFF"/>
        </w:rPr>
        <w:t>:</w:t>
      </w:r>
      <w:r w:rsidR="00487415">
        <w:rPr>
          <w:rFonts w:ascii="Verdana" w:eastAsia="Times New Roman" w:hAnsi="Verdana"/>
          <w:b/>
          <w:bCs/>
          <w:u w:val="single"/>
          <w:shd w:val="clear" w:color="auto" w:fill="FFFFFF"/>
        </w:rPr>
        <w:t xml:space="preserve"> </w:t>
      </w:r>
      <w:r w:rsidR="00D82041">
        <w:rPr>
          <w:rFonts w:ascii="Verdana" w:eastAsia="Times New Roman" w:hAnsi="Verdana"/>
          <w:b/>
          <w:bCs/>
          <w:u w:val="single"/>
          <w:shd w:val="clear" w:color="auto" w:fill="FFFFFF"/>
        </w:rPr>
        <w:t>APRIL</w:t>
      </w:r>
      <w:r w:rsidR="00294481">
        <w:rPr>
          <w:rFonts w:ascii="Verdana" w:eastAsia="Times New Roman" w:hAnsi="Verdana"/>
          <w:b/>
          <w:bCs/>
          <w:u w:val="single"/>
          <w:shd w:val="clear" w:color="auto" w:fill="FFFFFF"/>
        </w:rPr>
        <w:t xml:space="preserve"> 202</w:t>
      </w:r>
      <w:r w:rsidR="002C62AD" w:rsidRPr="002C62AD">
        <w:rPr>
          <w:rFonts w:ascii="Verdana" w:eastAsia="Times New Roman" w:hAnsi="Verdana"/>
          <w:b/>
          <w:bCs/>
          <w:u w:val="single"/>
          <w:shd w:val="clear" w:color="auto" w:fill="FFFFFF"/>
        </w:rPr>
        <w:t>5</w:t>
      </w:r>
    </w:p>
    <w:p w14:paraId="40E24864" w14:textId="77777777" w:rsidR="00AF4E61" w:rsidRDefault="00AF4E61" w:rsidP="00AF4E61">
      <w:pPr>
        <w:jc w:val="center"/>
        <w:rPr>
          <w:rFonts w:ascii="Verdana" w:eastAsia="Times New Roman" w:hAnsi="Verdana"/>
          <w:b/>
          <w:bCs/>
          <w:sz w:val="18"/>
          <w:szCs w:val="18"/>
          <w:u w:val="single"/>
          <w:shd w:val="clear" w:color="auto" w:fill="FFFFFF"/>
        </w:rPr>
      </w:pPr>
    </w:p>
    <w:p w14:paraId="43FFF075" w14:textId="463DE391" w:rsidR="00542E22" w:rsidRPr="005E069A" w:rsidRDefault="00542E22" w:rsidP="005E069A">
      <w:pPr>
        <w:jc w:val="center"/>
        <w:rPr>
          <w:rFonts w:ascii="Verdana" w:eastAsia="Malgun Gothic" w:hAnsi="Verdana" w:cs="Arial"/>
          <w:b/>
          <w:bCs/>
        </w:rPr>
      </w:pPr>
      <w:r w:rsidRPr="00410DB7">
        <w:rPr>
          <w:rFonts w:ascii="Verdana" w:eastAsia="Times New Roman" w:hAnsi="Verdana"/>
          <w:b/>
          <w:bCs/>
          <w:shd w:val="clear" w:color="auto" w:fill="FFFFFF"/>
        </w:rPr>
        <w:t xml:space="preserve">Annual </w:t>
      </w:r>
      <w:r w:rsidR="00E132A2">
        <w:rPr>
          <w:rFonts w:ascii="Verdana" w:eastAsia="Times New Roman" w:hAnsi="Verdana"/>
          <w:b/>
          <w:bCs/>
          <w:shd w:val="clear" w:color="auto" w:fill="FFFFFF"/>
        </w:rPr>
        <w:t>C</w:t>
      </w:r>
      <w:r w:rsidRPr="00410DB7">
        <w:rPr>
          <w:rFonts w:ascii="Verdana" w:eastAsia="Times New Roman" w:hAnsi="Verdana"/>
          <w:b/>
          <w:bCs/>
          <w:shd w:val="clear" w:color="auto" w:fill="FFFFFF"/>
        </w:rPr>
        <w:t xml:space="preserve">hange in </w:t>
      </w:r>
      <w:r w:rsidR="00E132A2">
        <w:rPr>
          <w:rFonts w:ascii="Verdana" w:eastAsia="Times New Roman" w:hAnsi="Verdana"/>
          <w:b/>
          <w:bCs/>
          <w:shd w:val="clear" w:color="auto" w:fill="FFFFFF"/>
        </w:rPr>
        <w:t>S</w:t>
      </w:r>
      <w:r>
        <w:rPr>
          <w:rFonts w:ascii="Verdana" w:eastAsia="Times New Roman" w:hAnsi="Verdana"/>
          <w:b/>
          <w:bCs/>
          <w:shd w:val="clear" w:color="auto" w:fill="FFFFFF"/>
        </w:rPr>
        <w:t xml:space="preserve">ales </w:t>
      </w:r>
      <w:r w:rsidR="00D82041">
        <w:rPr>
          <w:rFonts w:ascii="Verdana" w:eastAsia="Times New Roman" w:hAnsi="Verdana"/>
          <w:b/>
          <w:bCs/>
          <w:shd w:val="clear" w:color="auto" w:fill="FFFFFF"/>
        </w:rPr>
        <w:t>8</w:t>
      </w:r>
      <w:r w:rsidR="00294481" w:rsidRPr="00FC6C8C">
        <w:rPr>
          <w:rFonts w:ascii="Verdana" w:eastAsia="Malgun Gothic" w:hAnsi="Verdana" w:cs="Arial"/>
          <w:b/>
          <w:bCs/>
        </w:rPr>
        <w:t>,</w:t>
      </w:r>
      <w:r w:rsidR="00D82041">
        <w:rPr>
          <w:rFonts w:ascii="Verdana" w:eastAsia="Malgun Gothic" w:hAnsi="Verdana" w:cs="Arial"/>
          <w:b/>
          <w:bCs/>
        </w:rPr>
        <w:t>4</w:t>
      </w:r>
      <w:r w:rsidR="00294481">
        <w:rPr>
          <w:rFonts w:ascii="Verdana" w:eastAsia="Malgun Gothic" w:hAnsi="Verdana" w:cs="Arial"/>
          <w:b/>
          <w:bCs/>
        </w:rPr>
        <w:t xml:space="preserve"> </w:t>
      </w:r>
      <w:r w:rsidR="00294481" w:rsidRPr="00FC6C8C">
        <w:rPr>
          <w:rFonts w:ascii="Verdana" w:eastAsia="Malgun Gothic" w:hAnsi="Verdana" w:cs="Arial"/>
          <w:b/>
          <w:bCs/>
        </w:rPr>
        <w:t>%</w:t>
      </w:r>
    </w:p>
    <w:p w14:paraId="4CB880F6" w14:textId="77777777" w:rsidR="00020B36" w:rsidRPr="001532AC" w:rsidRDefault="00020B36" w:rsidP="00020B36">
      <w:pPr>
        <w:jc w:val="center"/>
        <w:rPr>
          <w:rFonts w:ascii="Verdana" w:eastAsia="Times New Roman" w:hAnsi="Verdana"/>
          <w:b/>
          <w:bCs/>
          <w:sz w:val="18"/>
          <w:szCs w:val="18"/>
          <w:shd w:val="clear" w:color="auto" w:fill="FFFFFF"/>
        </w:rPr>
      </w:pPr>
    </w:p>
    <w:bookmarkEnd w:id="0"/>
    <w:p w14:paraId="7106CA36" w14:textId="09156D8F" w:rsidR="00294481" w:rsidRDefault="00294481" w:rsidP="001C2CCE">
      <w:pPr>
        <w:jc w:val="both"/>
        <w:rPr>
          <w:rFonts w:ascii="Verdana" w:eastAsia="Times New Roman" w:hAnsi="Verdana" w:cs="Arial"/>
          <w:color w:val="000000"/>
          <w:sz w:val="18"/>
          <w:szCs w:val="18"/>
          <w:shd w:val="clear" w:color="auto" w:fill="FFFFFF"/>
        </w:rPr>
      </w:pPr>
      <w:r w:rsidRPr="00542E22">
        <w:rPr>
          <w:rFonts w:ascii="Verdana" w:eastAsia="Times New Roman" w:hAnsi="Verdana" w:cs="Arial"/>
          <w:color w:val="000000"/>
          <w:sz w:val="18"/>
          <w:szCs w:val="18"/>
          <w:shd w:val="clear" w:color="auto" w:fill="FFFFFF"/>
        </w:rPr>
        <w:t xml:space="preserve">In </w:t>
      </w:r>
      <w:r w:rsidR="00D82041">
        <w:rPr>
          <w:rFonts w:ascii="Verdana" w:eastAsia="Times New Roman" w:hAnsi="Verdana" w:cs="Arial"/>
          <w:color w:val="000000"/>
          <w:sz w:val="18"/>
          <w:szCs w:val="18"/>
          <w:shd w:val="clear" w:color="auto" w:fill="FFFFFF"/>
        </w:rPr>
        <w:t>April</w:t>
      </w:r>
      <w:r w:rsidRPr="00542E22">
        <w:rPr>
          <w:rFonts w:ascii="Verdana" w:eastAsia="Times New Roman" w:hAnsi="Verdana" w:cs="Arial"/>
          <w:color w:val="000000"/>
          <w:sz w:val="18"/>
          <w:szCs w:val="18"/>
          <w:shd w:val="clear" w:color="auto" w:fill="FFFFFF"/>
        </w:rPr>
        <w:t xml:space="preserve"> 202</w:t>
      </w:r>
      <w:r w:rsidR="002C62AD" w:rsidRPr="002C62AD">
        <w:rPr>
          <w:rFonts w:ascii="Verdana" w:eastAsia="Times New Roman" w:hAnsi="Verdana" w:cs="Arial"/>
          <w:color w:val="000000"/>
          <w:sz w:val="18"/>
          <w:szCs w:val="18"/>
          <w:shd w:val="clear" w:color="auto" w:fill="FFFFFF"/>
        </w:rPr>
        <w:t>5</w:t>
      </w:r>
      <w:r w:rsidRPr="00542E22">
        <w:rPr>
          <w:rFonts w:ascii="Verdana" w:eastAsia="Times New Roman" w:hAnsi="Verdana" w:cs="Arial"/>
          <w:color w:val="000000"/>
          <w:sz w:val="18"/>
          <w:szCs w:val="18"/>
          <w:shd w:val="clear" w:color="auto" w:fill="FFFFFF"/>
        </w:rPr>
        <w:t xml:space="preserve">, the total sales of petroleum products amounted to </w:t>
      </w:r>
      <w:r w:rsidR="00D82041" w:rsidRPr="00D82041">
        <w:rPr>
          <w:rFonts w:ascii="Verdana" w:hAnsi="Verdana"/>
          <w:sz w:val="18"/>
          <w:szCs w:val="18"/>
          <w:shd w:val="clear" w:color="auto" w:fill="FFFFFF"/>
        </w:rPr>
        <w:t xml:space="preserve">124.647 </w:t>
      </w:r>
      <w:r w:rsidRPr="00542E22">
        <w:rPr>
          <w:rFonts w:ascii="Verdana" w:eastAsia="Times New Roman" w:hAnsi="Verdana" w:cs="Arial"/>
          <w:color w:val="000000"/>
          <w:sz w:val="18"/>
          <w:szCs w:val="18"/>
          <w:shd w:val="clear" w:color="auto" w:fill="FFFFFF"/>
        </w:rPr>
        <w:t xml:space="preserve">tonnes, </w:t>
      </w:r>
      <w:r>
        <w:rPr>
          <w:rFonts w:ascii="Verdana" w:eastAsia="Times New Roman" w:hAnsi="Verdana" w:cs="Arial"/>
          <w:color w:val="000000"/>
          <w:sz w:val="18"/>
          <w:szCs w:val="18"/>
          <w:shd w:val="clear" w:color="auto" w:fill="FFFFFF"/>
        </w:rPr>
        <w:t>recording a</w:t>
      </w:r>
      <w:r w:rsidR="00D82041">
        <w:rPr>
          <w:rFonts w:ascii="Verdana" w:eastAsia="Times New Roman" w:hAnsi="Verdana" w:cs="Arial"/>
          <w:color w:val="000000"/>
          <w:sz w:val="18"/>
          <w:szCs w:val="18"/>
          <w:shd w:val="clear" w:color="auto" w:fill="FFFFFF"/>
        </w:rPr>
        <w:t>n in</w:t>
      </w:r>
      <w:r w:rsidR="00843E96">
        <w:rPr>
          <w:rFonts w:ascii="Verdana" w:eastAsia="Times New Roman" w:hAnsi="Verdana" w:cs="Arial"/>
          <w:color w:val="000000"/>
          <w:sz w:val="18"/>
          <w:szCs w:val="18"/>
          <w:shd w:val="clear" w:color="auto" w:fill="FFFFFF"/>
        </w:rPr>
        <w:t xml:space="preserve">crease </w:t>
      </w:r>
      <w:r>
        <w:rPr>
          <w:rFonts w:ascii="Verdana" w:eastAsia="Times New Roman" w:hAnsi="Verdana" w:cs="Arial"/>
          <w:color w:val="000000"/>
          <w:sz w:val="18"/>
          <w:szCs w:val="18"/>
          <w:shd w:val="clear" w:color="auto" w:fill="FFFFFF"/>
        </w:rPr>
        <w:t xml:space="preserve">of </w:t>
      </w:r>
      <w:r w:rsidR="00D82041">
        <w:rPr>
          <w:rFonts w:ascii="Verdana" w:eastAsia="Times New Roman" w:hAnsi="Verdana" w:cs="Arial"/>
          <w:color w:val="000000"/>
          <w:sz w:val="18"/>
          <w:szCs w:val="18"/>
          <w:shd w:val="clear" w:color="auto" w:fill="FFFFFF"/>
        </w:rPr>
        <w:t>8</w:t>
      </w:r>
      <w:r w:rsidRPr="00E96DD3">
        <w:rPr>
          <w:rFonts w:ascii="Verdana" w:hAnsi="Verdana"/>
          <w:sz w:val="18"/>
          <w:szCs w:val="18"/>
          <w:shd w:val="clear" w:color="auto" w:fill="FFFFFF"/>
        </w:rPr>
        <w:t>,</w:t>
      </w:r>
      <w:r w:rsidR="00D82041">
        <w:rPr>
          <w:rFonts w:ascii="Verdana" w:hAnsi="Verdana"/>
          <w:sz w:val="18"/>
          <w:szCs w:val="18"/>
          <w:shd w:val="clear" w:color="auto" w:fill="FFFFFF"/>
        </w:rPr>
        <w:t>4</w:t>
      </w:r>
      <w:r w:rsidRPr="00E96DD3">
        <w:rPr>
          <w:rFonts w:ascii="Verdana" w:hAnsi="Verdana"/>
          <w:sz w:val="18"/>
          <w:szCs w:val="18"/>
          <w:shd w:val="clear" w:color="auto" w:fill="FFFFFF"/>
        </w:rPr>
        <w:t>%</w:t>
      </w:r>
      <w:r>
        <w:rPr>
          <w:rFonts w:ascii="Verdana" w:hAnsi="Verdana"/>
          <w:sz w:val="18"/>
          <w:szCs w:val="18"/>
          <w:shd w:val="clear" w:color="auto" w:fill="FFFFFF"/>
        </w:rPr>
        <w:t xml:space="preserve"> </w:t>
      </w:r>
      <w:r w:rsidRPr="00542E22">
        <w:rPr>
          <w:rFonts w:ascii="Verdana" w:eastAsia="Times New Roman" w:hAnsi="Verdana" w:cs="Arial"/>
          <w:color w:val="000000"/>
          <w:sz w:val="18"/>
          <w:szCs w:val="18"/>
          <w:shd w:val="clear" w:color="auto" w:fill="FFFFFF"/>
        </w:rPr>
        <w:t xml:space="preserve">compared to </w:t>
      </w:r>
      <w:r w:rsidR="00D82041">
        <w:rPr>
          <w:rFonts w:ascii="Verdana" w:eastAsia="Times New Roman" w:hAnsi="Verdana" w:cs="Arial"/>
          <w:color w:val="000000"/>
          <w:sz w:val="18"/>
          <w:szCs w:val="18"/>
          <w:shd w:val="clear" w:color="auto" w:fill="FFFFFF"/>
        </w:rPr>
        <w:t>April</w:t>
      </w:r>
      <w:r w:rsidR="00D82041" w:rsidRPr="00542E22">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202</w:t>
      </w:r>
      <w:r w:rsidR="002C62AD">
        <w:rPr>
          <w:rFonts w:ascii="Verdana" w:eastAsia="Times New Roman" w:hAnsi="Verdana" w:cs="Arial"/>
          <w:color w:val="000000"/>
          <w:sz w:val="18"/>
          <w:szCs w:val="18"/>
          <w:shd w:val="clear" w:color="auto" w:fill="FFFFFF"/>
        </w:rPr>
        <w:t>4</w:t>
      </w:r>
      <w:r w:rsidRPr="00542E22">
        <w:rPr>
          <w:rFonts w:ascii="Verdana" w:eastAsia="Times New Roman" w:hAnsi="Verdana" w:cs="Arial"/>
          <w:color w:val="000000"/>
          <w:sz w:val="18"/>
          <w:szCs w:val="18"/>
          <w:shd w:val="clear" w:color="auto" w:fill="FFFFFF"/>
        </w:rPr>
        <w:t xml:space="preserve">. </w:t>
      </w:r>
      <w:r w:rsidR="00D82041">
        <w:rPr>
          <w:rFonts w:ascii="Verdana" w:eastAsia="Times New Roman" w:hAnsi="Verdana" w:cs="Arial"/>
          <w:color w:val="000000"/>
          <w:sz w:val="18"/>
          <w:szCs w:val="18"/>
          <w:shd w:val="clear" w:color="auto" w:fill="FFFFFF"/>
        </w:rPr>
        <w:t xml:space="preserve">A rise was observed </w:t>
      </w:r>
      <w:r w:rsidR="00D82041" w:rsidRPr="00542E22">
        <w:rPr>
          <w:rFonts w:ascii="Verdana" w:eastAsia="Times New Roman" w:hAnsi="Verdana" w:cs="Arial"/>
          <w:color w:val="000000"/>
          <w:sz w:val="18"/>
          <w:szCs w:val="18"/>
          <w:shd w:val="clear" w:color="auto" w:fill="FFFFFF"/>
        </w:rPr>
        <w:t>in the</w:t>
      </w:r>
      <w:r w:rsidR="00D82041" w:rsidRPr="008E7BB9">
        <w:rPr>
          <w:rFonts w:ascii="Verdana" w:eastAsia="Times New Roman" w:hAnsi="Verdana" w:cs="Arial"/>
          <w:color w:val="000000"/>
          <w:sz w:val="18"/>
          <w:szCs w:val="18"/>
          <w:shd w:val="clear" w:color="auto" w:fill="FFFFFF"/>
        </w:rPr>
        <w:t xml:space="preserve"> </w:t>
      </w:r>
      <w:r w:rsidR="00D82041" w:rsidRPr="00542E22">
        <w:rPr>
          <w:rFonts w:ascii="Verdana" w:eastAsia="Times New Roman" w:hAnsi="Verdana" w:cs="Arial"/>
          <w:color w:val="000000"/>
          <w:sz w:val="18"/>
          <w:szCs w:val="18"/>
          <w:shd w:val="clear" w:color="auto" w:fill="FFFFFF"/>
        </w:rPr>
        <w:t>provisions of</w:t>
      </w:r>
      <w:r w:rsidR="00D82041" w:rsidRPr="00843E96">
        <w:rPr>
          <w:rFonts w:ascii="Verdana" w:eastAsia="Times New Roman" w:hAnsi="Verdana" w:cs="Arial"/>
          <w:color w:val="000000"/>
          <w:sz w:val="18"/>
          <w:szCs w:val="18"/>
          <w:shd w:val="clear" w:color="auto" w:fill="FFFFFF"/>
        </w:rPr>
        <w:t xml:space="preserve"> </w:t>
      </w:r>
      <w:r w:rsidR="00D82041" w:rsidRPr="00542E22">
        <w:rPr>
          <w:rFonts w:ascii="Verdana" w:eastAsia="Times New Roman" w:hAnsi="Verdana" w:cs="Arial"/>
          <w:color w:val="000000"/>
          <w:sz w:val="18"/>
          <w:szCs w:val="18"/>
          <w:shd w:val="clear" w:color="auto" w:fill="FFFFFF"/>
        </w:rPr>
        <w:t xml:space="preserve">marine gasoil </w:t>
      </w:r>
      <w:r w:rsidR="00D82041" w:rsidRPr="002C62AD">
        <w:rPr>
          <w:rFonts w:ascii="Verdana" w:hAnsi="Verdana"/>
          <w:sz w:val="18"/>
          <w:szCs w:val="18"/>
          <w:shd w:val="clear" w:color="auto" w:fill="FFFFFF"/>
        </w:rPr>
        <w:t>(</w:t>
      </w:r>
      <w:r w:rsidR="00D82041">
        <w:rPr>
          <w:rFonts w:ascii="Verdana" w:hAnsi="Verdana"/>
          <w:sz w:val="18"/>
          <w:szCs w:val="18"/>
          <w:shd w:val="clear" w:color="auto" w:fill="FFFFFF"/>
        </w:rPr>
        <w:t>136</w:t>
      </w:r>
      <w:r w:rsidR="00D82041" w:rsidRPr="002C62AD">
        <w:rPr>
          <w:rFonts w:ascii="Verdana" w:hAnsi="Verdana"/>
          <w:sz w:val="18"/>
          <w:szCs w:val="18"/>
          <w:shd w:val="clear" w:color="auto" w:fill="FFFFFF"/>
        </w:rPr>
        <w:t>,</w:t>
      </w:r>
      <w:r w:rsidR="00D82041">
        <w:rPr>
          <w:rFonts w:ascii="Verdana" w:hAnsi="Verdana"/>
          <w:sz w:val="18"/>
          <w:szCs w:val="18"/>
          <w:shd w:val="clear" w:color="auto" w:fill="FFFFFF"/>
        </w:rPr>
        <w:t>6</w:t>
      </w:r>
      <w:r w:rsidR="00D82041" w:rsidRPr="002C62AD">
        <w:rPr>
          <w:rFonts w:ascii="Verdana" w:hAnsi="Verdana"/>
          <w:sz w:val="18"/>
          <w:szCs w:val="18"/>
          <w:shd w:val="clear" w:color="auto" w:fill="FFFFFF"/>
        </w:rPr>
        <w:t xml:space="preserve">%) </w:t>
      </w:r>
      <w:r w:rsidR="00D82041">
        <w:rPr>
          <w:rFonts w:ascii="Verdana" w:eastAsia="Times New Roman" w:hAnsi="Verdana" w:cs="Arial"/>
          <w:color w:val="000000"/>
          <w:sz w:val="18"/>
          <w:szCs w:val="18"/>
          <w:shd w:val="clear" w:color="auto" w:fill="FFFFFF"/>
        </w:rPr>
        <w:t xml:space="preserve">and </w:t>
      </w:r>
      <w:r w:rsidR="00D82041" w:rsidRPr="00542E22">
        <w:rPr>
          <w:rFonts w:ascii="Verdana" w:eastAsia="Times New Roman" w:hAnsi="Verdana" w:cs="Arial"/>
          <w:color w:val="000000"/>
          <w:sz w:val="18"/>
          <w:szCs w:val="18"/>
          <w:shd w:val="clear" w:color="auto" w:fill="FFFFFF"/>
        </w:rPr>
        <w:t xml:space="preserve">aviation kerosene </w:t>
      </w:r>
      <w:r w:rsidR="00D82041" w:rsidRPr="00542E22">
        <w:rPr>
          <w:rFonts w:ascii="Verdana" w:hAnsi="Verdana"/>
          <w:sz w:val="18"/>
          <w:szCs w:val="18"/>
          <w:shd w:val="clear" w:color="auto" w:fill="FFFFFF"/>
        </w:rPr>
        <w:t>(</w:t>
      </w:r>
      <w:r w:rsidR="00D82041">
        <w:rPr>
          <w:rFonts w:ascii="Verdana" w:hAnsi="Verdana"/>
          <w:sz w:val="18"/>
          <w:szCs w:val="18"/>
          <w:shd w:val="clear" w:color="auto" w:fill="FFFFFF"/>
        </w:rPr>
        <w:t>12</w:t>
      </w:r>
      <w:r w:rsidR="00D82041" w:rsidRPr="00542E22">
        <w:rPr>
          <w:rFonts w:ascii="Verdana" w:hAnsi="Verdana"/>
          <w:sz w:val="18"/>
          <w:szCs w:val="18"/>
          <w:shd w:val="clear" w:color="auto" w:fill="FFFFFF"/>
        </w:rPr>
        <w:t>,</w:t>
      </w:r>
      <w:r w:rsidR="00D82041">
        <w:rPr>
          <w:rFonts w:ascii="Verdana" w:hAnsi="Verdana"/>
          <w:sz w:val="18"/>
          <w:szCs w:val="18"/>
          <w:shd w:val="clear" w:color="auto" w:fill="FFFFFF"/>
        </w:rPr>
        <w:t>7</w:t>
      </w:r>
      <w:r w:rsidR="00D82041" w:rsidRPr="00542E22">
        <w:rPr>
          <w:rFonts w:ascii="Verdana" w:hAnsi="Verdana"/>
          <w:sz w:val="18"/>
          <w:szCs w:val="18"/>
          <w:shd w:val="clear" w:color="auto" w:fill="FFFFFF"/>
        </w:rPr>
        <w:t>%),</w:t>
      </w:r>
      <w:r w:rsidR="00D82041" w:rsidRPr="00542E22">
        <w:rPr>
          <w:rFonts w:ascii="Verdana" w:eastAsia="Times New Roman" w:hAnsi="Verdana" w:cs="Arial"/>
          <w:color w:val="000000"/>
          <w:sz w:val="18"/>
          <w:szCs w:val="18"/>
          <w:shd w:val="clear" w:color="auto" w:fill="FFFFFF"/>
        </w:rPr>
        <w:t xml:space="preserve"> as well as in the sales of</w:t>
      </w:r>
      <w:r w:rsidR="00D82041" w:rsidRPr="00D82041">
        <w:rPr>
          <w:rFonts w:ascii="Verdana" w:hAnsi="Verdana"/>
          <w:sz w:val="18"/>
          <w:szCs w:val="18"/>
          <w:shd w:val="clear" w:color="auto" w:fill="FFFFFF"/>
        </w:rPr>
        <w:t xml:space="preserve"> </w:t>
      </w:r>
      <w:r w:rsidR="00D82041" w:rsidRPr="00542E22">
        <w:rPr>
          <w:rFonts w:ascii="Verdana" w:hAnsi="Verdana"/>
          <w:sz w:val="18"/>
          <w:szCs w:val="18"/>
          <w:shd w:val="clear" w:color="auto" w:fill="FFFFFF"/>
        </w:rPr>
        <w:t>kerosene (</w:t>
      </w:r>
      <w:r w:rsidR="00D82041">
        <w:rPr>
          <w:rFonts w:ascii="Verdana" w:hAnsi="Verdana"/>
          <w:sz w:val="18"/>
          <w:szCs w:val="18"/>
          <w:shd w:val="clear" w:color="auto" w:fill="FFFFFF"/>
        </w:rPr>
        <w:t>82</w:t>
      </w:r>
      <w:r w:rsidR="00D82041" w:rsidRPr="005D537D">
        <w:rPr>
          <w:rFonts w:ascii="Verdana" w:hAnsi="Verdana"/>
          <w:sz w:val="18"/>
          <w:szCs w:val="18"/>
          <w:shd w:val="clear" w:color="auto" w:fill="FFFFFF"/>
        </w:rPr>
        <w:t>,</w:t>
      </w:r>
      <w:r w:rsidR="00D82041">
        <w:rPr>
          <w:rFonts w:ascii="Verdana" w:hAnsi="Verdana"/>
          <w:sz w:val="18"/>
          <w:szCs w:val="18"/>
          <w:shd w:val="clear" w:color="auto" w:fill="FFFFFF"/>
        </w:rPr>
        <w:t>9</w:t>
      </w:r>
      <w:r w:rsidR="00D82041" w:rsidRPr="005D537D">
        <w:rPr>
          <w:rFonts w:ascii="Verdana" w:hAnsi="Verdana"/>
          <w:sz w:val="18"/>
          <w:szCs w:val="18"/>
          <w:shd w:val="clear" w:color="auto" w:fill="FFFFFF"/>
        </w:rPr>
        <w:t>%</w:t>
      </w:r>
      <w:r w:rsidR="00D82041" w:rsidRPr="00542E22">
        <w:rPr>
          <w:rFonts w:ascii="Verdana" w:hAnsi="Verdana"/>
          <w:sz w:val="18"/>
          <w:szCs w:val="18"/>
          <w:shd w:val="clear" w:color="auto" w:fill="FFFFFF"/>
        </w:rPr>
        <w:t>)</w:t>
      </w:r>
      <w:r w:rsidR="00D82041">
        <w:rPr>
          <w:rFonts w:ascii="Verdana" w:hAnsi="Verdana"/>
          <w:sz w:val="18"/>
          <w:szCs w:val="18"/>
          <w:shd w:val="clear" w:color="auto" w:fill="FFFFFF"/>
        </w:rPr>
        <w:t xml:space="preserve">, heavy fuel oil (58,2%), </w:t>
      </w:r>
      <w:r w:rsidR="00D82041" w:rsidRPr="00542E22">
        <w:rPr>
          <w:rFonts w:ascii="Verdana" w:eastAsia="Times New Roman" w:hAnsi="Verdana" w:cs="Arial"/>
          <w:color w:val="000000"/>
          <w:sz w:val="18"/>
          <w:szCs w:val="18"/>
          <w:shd w:val="clear" w:color="auto" w:fill="FFFFFF"/>
        </w:rPr>
        <w:t>heating gasoil (</w:t>
      </w:r>
      <w:r w:rsidR="00D82041">
        <w:rPr>
          <w:rFonts w:ascii="Verdana" w:eastAsia="Times New Roman" w:hAnsi="Verdana" w:cs="Arial"/>
          <w:color w:val="000000"/>
          <w:sz w:val="18"/>
          <w:szCs w:val="18"/>
          <w:shd w:val="clear" w:color="auto" w:fill="FFFFFF"/>
        </w:rPr>
        <w:t>34</w:t>
      </w:r>
      <w:r w:rsidR="00D82041" w:rsidRPr="005D537D">
        <w:rPr>
          <w:rFonts w:ascii="Verdana" w:hAnsi="Verdana"/>
          <w:sz w:val="18"/>
          <w:szCs w:val="18"/>
          <w:shd w:val="clear" w:color="auto" w:fill="FFFFFF"/>
        </w:rPr>
        <w:t>,</w:t>
      </w:r>
      <w:r w:rsidR="00D82041">
        <w:rPr>
          <w:rFonts w:ascii="Verdana" w:hAnsi="Verdana"/>
          <w:sz w:val="18"/>
          <w:szCs w:val="18"/>
          <w:shd w:val="clear" w:color="auto" w:fill="FFFFFF"/>
        </w:rPr>
        <w:t>9</w:t>
      </w:r>
      <w:r w:rsidR="00D82041" w:rsidRPr="005D537D">
        <w:rPr>
          <w:rFonts w:ascii="Verdana" w:hAnsi="Verdana"/>
          <w:sz w:val="18"/>
          <w:szCs w:val="18"/>
          <w:shd w:val="clear" w:color="auto" w:fill="FFFFFF"/>
        </w:rPr>
        <w:t>%</w:t>
      </w:r>
      <w:r w:rsidR="00D82041" w:rsidRPr="00542E22">
        <w:rPr>
          <w:rFonts w:ascii="Verdana" w:eastAsia="Times New Roman" w:hAnsi="Verdana" w:cs="Arial"/>
          <w:color w:val="000000"/>
          <w:sz w:val="18"/>
          <w:szCs w:val="18"/>
          <w:shd w:val="clear" w:color="auto" w:fill="FFFFFF"/>
        </w:rPr>
        <w:t>)</w:t>
      </w:r>
      <w:r w:rsidR="00D82041">
        <w:rPr>
          <w:rFonts w:ascii="Verdana" w:eastAsia="Times New Roman" w:hAnsi="Verdana" w:cs="Arial"/>
          <w:color w:val="000000"/>
          <w:sz w:val="18"/>
          <w:szCs w:val="18"/>
          <w:shd w:val="clear" w:color="auto" w:fill="FFFFFF"/>
        </w:rPr>
        <w:t>,</w:t>
      </w:r>
      <w:r w:rsidR="00D82041" w:rsidRPr="00D82041">
        <w:rPr>
          <w:rFonts w:ascii="Verdana" w:eastAsia="Times New Roman" w:hAnsi="Verdana" w:cs="Arial"/>
          <w:color w:val="000000"/>
          <w:sz w:val="18"/>
          <w:szCs w:val="18"/>
          <w:shd w:val="clear" w:color="auto" w:fill="FFFFFF"/>
        </w:rPr>
        <w:t xml:space="preserve"> </w:t>
      </w:r>
      <w:r w:rsidR="00D82041">
        <w:rPr>
          <w:rFonts w:ascii="Verdana" w:eastAsia="Times New Roman" w:hAnsi="Verdana" w:cs="Arial"/>
          <w:color w:val="000000"/>
          <w:sz w:val="18"/>
          <w:szCs w:val="18"/>
          <w:shd w:val="clear" w:color="auto" w:fill="FFFFFF"/>
        </w:rPr>
        <w:t>liquefied petroleum gases (</w:t>
      </w:r>
      <w:r w:rsidR="00D82041">
        <w:rPr>
          <w:rFonts w:ascii="Verdana" w:hAnsi="Verdana"/>
          <w:sz w:val="18"/>
          <w:szCs w:val="18"/>
          <w:shd w:val="clear" w:color="auto" w:fill="FFFFFF"/>
        </w:rPr>
        <w:t>8</w:t>
      </w:r>
      <w:r w:rsidR="00D82041" w:rsidRPr="005D537D">
        <w:rPr>
          <w:rFonts w:ascii="Verdana" w:hAnsi="Verdana"/>
          <w:sz w:val="18"/>
          <w:szCs w:val="18"/>
          <w:shd w:val="clear" w:color="auto" w:fill="FFFFFF"/>
        </w:rPr>
        <w:t>,</w:t>
      </w:r>
      <w:r w:rsidR="00D82041">
        <w:rPr>
          <w:rFonts w:ascii="Verdana" w:hAnsi="Verdana"/>
          <w:sz w:val="18"/>
          <w:szCs w:val="18"/>
          <w:shd w:val="clear" w:color="auto" w:fill="FFFFFF"/>
        </w:rPr>
        <w:t>9</w:t>
      </w:r>
      <w:r w:rsidR="00D82041" w:rsidRPr="005D537D">
        <w:rPr>
          <w:rFonts w:ascii="Verdana" w:hAnsi="Verdana"/>
          <w:sz w:val="18"/>
          <w:szCs w:val="18"/>
          <w:shd w:val="clear" w:color="auto" w:fill="FFFFFF"/>
        </w:rPr>
        <w:t>%</w:t>
      </w:r>
      <w:r w:rsidR="00D82041">
        <w:rPr>
          <w:rFonts w:ascii="Verdana" w:eastAsia="Times New Roman" w:hAnsi="Verdana" w:cs="Arial"/>
          <w:color w:val="000000"/>
          <w:sz w:val="18"/>
          <w:szCs w:val="18"/>
          <w:shd w:val="clear" w:color="auto" w:fill="FFFFFF"/>
        </w:rPr>
        <w:t xml:space="preserve">), </w:t>
      </w:r>
      <w:r w:rsidR="00D82041" w:rsidRPr="00542E22">
        <w:rPr>
          <w:rFonts w:ascii="Verdana" w:eastAsia="Times New Roman" w:hAnsi="Verdana" w:cs="Arial"/>
          <w:color w:val="000000"/>
          <w:sz w:val="18"/>
          <w:szCs w:val="18"/>
          <w:shd w:val="clear" w:color="auto" w:fill="FFFFFF"/>
        </w:rPr>
        <w:t xml:space="preserve">motor gasoline </w:t>
      </w:r>
      <w:r w:rsidR="00D82041" w:rsidRPr="00542E22">
        <w:rPr>
          <w:rFonts w:ascii="Verdana" w:hAnsi="Verdana"/>
          <w:sz w:val="18"/>
          <w:szCs w:val="18"/>
          <w:shd w:val="clear" w:color="auto" w:fill="FFFFFF"/>
        </w:rPr>
        <w:t>(</w:t>
      </w:r>
      <w:r w:rsidR="00D82041">
        <w:rPr>
          <w:rFonts w:ascii="Verdana" w:hAnsi="Verdana"/>
          <w:sz w:val="18"/>
          <w:szCs w:val="18"/>
          <w:shd w:val="clear" w:color="auto" w:fill="FFFFFF"/>
        </w:rPr>
        <w:t>3,0</w:t>
      </w:r>
      <w:r w:rsidR="00D82041" w:rsidRPr="00542E22">
        <w:rPr>
          <w:rFonts w:ascii="Verdana" w:hAnsi="Verdana"/>
          <w:sz w:val="18"/>
          <w:szCs w:val="18"/>
          <w:shd w:val="clear" w:color="auto" w:fill="FFFFFF"/>
        </w:rPr>
        <w:t>%)</w:t>
      </w:r>
      <w:r w:rsidR="00D82041">
        <w:rPr>
          <w:rFonts w:ascii="Verdana" w:hAnsi="Verdana"/>
          <w:sz w:val="18"/>
          <w:szCs w:val="18"/>
          <w:shd w:val="clear" w:color="auto" w:fill="FFFFFF"/>
        </w:rPr>
        <w:t xml:space="preserve"> </w:t>
      </w:r>
      <w:r w:rsidR="00D82041">
        <w:rPr>
          <w:rFonts w:ascii="Verdana" w:eastAsia="Times New Roman" w:hAnsi="Verdana" w:cs="Arial"/>
          <w:color w:val="000000"/>
          <w:sz w:val="18"/>
          <w:szCs w:val="18"/>
          <w:shd w:val="clear" w:color="auto" w:fill="FFFFFF"/>
        </w:rPr>
        <w:t xml:space="preserve">and </w:t>
      </w:r>
      <w:r w:rsidR="00D82041" w:rsidRPr="00542E22">
        <w:rPr>
          <w:rFonts w:ascii="Verdana" w:eastAsia="Times New Roman" w:hAnsi="Verdana" w:cs="Arial"/>
          <w:color w:val="000000"/>
          <w:sz w:val="18"/>
          <w:szCs w:val="18"/>
          <w:shd w:val="clear" w:color="auto" w:fill="FFFFFF"/>
        </w:rPr>
        <w:t>road diesel</w:t>
      </w:r>
      <w:r w:rsidR="00D82041">
        <w:rPr>
          <w:rFonts w:ascii="Verdana" w:eastAsia="Times New Roman" w:hAnsi="Verdana" w:cs="Arial"/>
          <w:color w:val="000000"/>
          <w:sz w:val="18"/>
          <w:szCs w:val="18"/>
          <w:shd w:val="clear" w:color="auto" w:fill="FFFFFF"/>
        </w:rPr>
        <w:t xml:space="preserve"> (</w:t>
      </w:r>
      <w:r w:rsidR="003D0A7C">
        <w:rPr>
          <w:rFonts w:ascii="Verdana" w:eastAsia="Times New Roman" w:hAnsi="Verdana" w:cs="Arial"/>
          <w:color w:val="000000"/>
          <w:sz w:val="18"/>
          <w:szCs w:val="18"/>
          <w:shd w:val="clear" w:color="auto" w:fill="FFFFFF"/>
        </w:rPr>
        <w:t>2</w:t>
      </w:r>
      <w:r w:rsidR="00D82041">
        <w:rPr>
          <w:rFonts w:ascii="Verdana" w:eastAsia="Times New Roman" w:hAnsi="Verdana" w:cs="Arial"/>
          <w:color w:val="000000"/>
          <w:sz w:val="18"/>
          <w:szCs w:val="18"/>
          <w:shd w:val="clear" w:color="auto" w:fill="FFFFFF"/>
        </w:rPr>
        <w:t>,</w:t>
      </w:r>
      <w:r w:rsidR="003D0A7C">
        <w:rPr>
          <w:rFonts w:ascii="Verdana" w:eastAsia="Times New Roman" w:hAnsi="Verdana" w:cs="Arial"/>
          <w:color w:val="000000"/>
          <w:sz w:val="18"/>
          <w:szCs w:val="18"/>
          <w:shd w:val="clear" w:color="auto" w:fill="FFFFFF"/>
        </w:rPr>
        <w:t>8</w:t>
      </w:r>
      <w:r w:rsidR="00D82041">
        <w:rPr>
          <w:rFonts w:ascii="Verdana" w:eastAsia="Times New Roman" w:hAnsi="Verdana" w:cs="Arial"/>
          <w:color w:val="000000"/>
          <w:sz w:val="18"/>
          <w:szCs w:val="18"/>
          <w:shd w:val="clear" w:color="auto" w:fill="FFFFFF"/>
        </w:rPr>
        <w:t xml:space="preserve">%). </w:t>
      </w:r>
      <w:r w:rsidR="00D82041" w:rsidRPr="00542E22">
        <w:rPr>
          <w:rFonts w:ascii="Verdana" w:eastAsia="Times New Roman" w:hAnsi="Verdana" w:cs="Arial"/>
          <w:color w:val="000000"/>
          <w:sz w:val="18"/>
          <w:szCs w:val="18"/>
          <w:shd w:val="clear" w:color="auto" w:fill="FFFFFF"/>
        </w:rPr>
        <w:t>On the contrary,</w:t>
      </w:r>
      <w:r w:rsidR="007052CB">
        <w:rPr>
          <w:rFonts w:ascii="Verdana" w:eastAsia="Times New Roman" w:hAnsi="Verdana" w:cs="Arial"/>
          <w:color w:val="000000"/>
          <w:sz w:val="18"/>
          <w:szCs w:val="18"/>
          <w:shd w:val="clear" w:color="auto" w:fill="FFFFFF"/>
        </w:rPr>
        <w:t xml:space="preserve"> a</w:t>
      </w:r>
      <w:r w:rsidR="001C2CCE" w:rsidRPr="001C2CCE">
        <w:rPr>
          <w:rFonts w:ascii="Verdana" w:eastAsia="Times New Roman" w:hAnsi="Verdana" w:cs="Arial"/>
          <w:color w:val="000000"/>
          <w:sz w:val="18"/>
          <w:szCs w:val="18"/>
          <w:shd w:val="clear" w:color="auto" w:fill="FFFFFF"/>
        </w:rPr>
        <w:t xml:space="preserve"> </w:t>
      </w:r>
      <w:r w:rsidR="001C2CCE">
        <w:rPr>
          <w:rFonts w:ascii="Verdana" w:eastAsia="Times New Roman" w:hAnsi="Verdana" w:cs="Arial"/>
          <w:color w:val="000000"/>
          <w:sz w:val="18"/>
          <w:szCs w:val="18"/>
          <w:shd w:val="clear" w:color="auto" w:fill="FFFFFF"/>
        </w:rPr>
        <w:t>drop was observed</w:t>
      </w:r>
      <w:r w:rsidR="001C2CCE" w:rsidRPr="002C62AD">
        <w:rPr>
          <w:rFonts w:ascii="Verdana" w:eastAsia="Times New Roman" w:hAnsi="Verdana" w:cs="Arial"/>
          <w:color w:val="000000"/>
          <w:sz w:val="18"/>
          <w:szCs w:val="18"/>
          <w:shd w:val="clear" w:color="auto" w:fill="FFFFFF"/>
        </w:rPr>
        <w:t xml:space="preserve"> </w:t>
      </w:r>
      <w:r w:rsidR="001C2CCE" w:rsidRPr="00542E22">
        <w:rPr>
          <w:rFonts w:ascii="Verdana" w:eastAsia="Times New Roman" w:hAnsi="Verdana" w:cs="Arial"/>
          <w:color w:val="000000"/>
          <w:sz w:val="18"/>
          <w:szCs w:val="18"/>
          <w:shd w:val="clear" w:color="auto" w:fill="FFFFFF"/>
        </w:rPr>
        <w:t>in the sales of</w:t>
      </w:r>
      <w:r w:rsidR="001C2CCE">
        <w:rPr>
          <w:rFonts w:ascii="Verdana" w:eastAsia="Times New Roman" w:hAnsi="Verdana" w:cs="Arial"/>
          <w:color w:val="000000"/>
          <w:sz w:val="18"/>
          <w:szCs w:val="18"/>
          <w:shd w:val="clear" w:color="auto" w:fill="FFFFFF"/>
        </w:rPr>
        <w:t xml:space="preserve"> light fuel oil (-56,9%) and</w:t>
      </w:r>
      <w:r w:rsidR="001C2CCE" w:rsidRPr="00843E96">
        <w:rPr>
          <w:rFonts w:ascii="Verdana" w:hAnsi="Verdana"/>
          <w:sz w:val="18"/>
          <w:szCs w:val="18"/>
          <w:shd w:val="clear" w:color="auto" w:fill="FFFFFF"/>
        </w:rPr>
        <w:t xml:space="preserve"> </w:t>
      </w:r>
      <w:r w:rsidR="001C2CCE">
        <w:rPr>
          <w:rFonts w:ascii="Verdana" w:hAnsi="Verdana"/>
          <w:sz w:val="18"/>
          <w:szCs w:val="18"/>
          <w:shd w:val="clear" w:color="auto" w:fill="FFFFFF"/>
        </w:rPr>
        <w:t xml:space="preserve">asphalt </w:t>
      </w:r>
      <w:r w:rsidR="001C2CCE" w:rsidRPr="002C62AD">
        <w:rPr>
          <w:rFonts w:ascii="Verdana" w:hAnsi="Verdana"/>
          <w:sz w:val="18"/>
          <w:szCs w:val="18"/>
          <w:shd w:val="clear" w:color="auto" w:fill="FFFFFF"/>
        </w:rPr>
        <w:t>(-</w:t>
      </w:r>
      <w:r w:rsidR="001C2CCE">
        <w:rPr>
          <w:rFonts w:ascii="Verdana" w:hAnsi="Verdana"/>
          <w:sz w:val="18"/>
          <w:szCs w:val="18"/>
          <w:shd w:val="clear" w:color="auto" w:fill="FFFFFF"/>
        </w:rPr>
        <w:t>7</w:t>
      </w:r>
      <w:r w:rsidR="001C2CCE" w:rsidRPr="002C62AD">
        <w:rPr>
          <w:rFonts w:ascii="Verdana" w:hAnsi="Verdana"/>
          <w:sz w:val="18"/>
          <w:szCs w:val="18"/>
          <w:shd w:val="clear" w:color="auto" w:fill="FFFFFF"/>
        </w:rPr>
        <w:t>,</w:t>
      </w:r>
      <w:r w:rsidR="001C2CCE">
        <w:rPr>
          <w:rFonts w:ascii="Verdana" w:hAnsi="Verdana"/>
          <w:sz w:val="18"/>
          <w:szCs w:val="18"/>
          <w:shd w:val="clear" w:color="auto" w:fill="FFFFFF"/>
        </w:rPr>
        <w:t>3</w:t>
      </w:r>
      <w:r w:rsidR="001C2CCE" w:rsidRPr="002C62AD">
        <w:rPr>
          <w:rFonts w:ascii="Verdana" w:hAnsi="Verdana"/>
          <w:sz w:val="18"/>
          <w:szCs w:val="18"/>
          <w:shd w:val="clear" w:color="auto" w:fill="FFFFFF"/>
        </w:rPr>
        <w:t>%)</w:t>
      </w:r>
      <w:r w:rsidR="008E7BB9">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As far as the sales from filling stations are specifically concerned, these have registered a</w:t>
      </w:r>
      <w:r w:rsidR="001C2CCE">
        <w:rPr>
          <w:rFonts w:ascii="Verdana" w:eastAsia="Times New Roman" w:hAnsi="Verdana" w:cs="Arial"/>
          <w:color w:val="000000"/>
          <w:sz w:val="18"/>
          <w:szCs w:val="18"/>
          <w:shd w:val="clear" w:color="auto" w:fill="FFFFFF"/>
        </w:rPr>
        <w:t xml:space="preserve"> rise </w:t>
      </w:r>
      <w:r w:rsidRPr="00542E22">
        <w:rPr>
          <w:rFonts w:ascii="Verdana" w:eastAsia="Times New Roman" w:hAnsi="Verdana" w:cs="Arial"/>
          <w:color w:val="000000"/>
          <w:sz w:val="18"/>
          <w:szCs w:val="18"/>
          <w:shd w:val="clear" w:color="auto" w:fill="FFFFFF"/>
        </w:rPr>
        <w:t xml:space="preserve">of </w:t>
      </w:r>
      <w:r w:rsidR="001C2CCE">
        <w:rPr>
          <w:rFonts w:ascii="Verdana" w:eastAsia="Times New Roman" w:hAnsi="Verdana" w:cs="Arial"/>
          <w:color w:val="000000"/>
          <w:sz w:val="18"/>
          <w:szCs w:val="18"/>
          <w:shd w:val="clear" w:color="auto" w:fill="FFFFFF"/>
        </w:rPr>
        <w:t>3</w:t>
      </w:r>
      <w:r w:rsidRPr="00542E22">
        <w:rPr>
          <w:rFonts w:ascii="Verdana" w:eastAsia="Times New Roman" w:hAnsi="Verdana" w:cs="Arial"/>
          <w:color w:val="000000"/>
          <w:sz w:val="18"/>
          <w:szCs w:val="18"/>
          <w:shd w:val="clear" w:color="auto" w:fill="FFFFFF"/>
        </w:rPr>
        <w:t>,</w:t>
      </w:r>
      <w:r w:rsidR="001C2CCE">
        <w:rPr>
          <w:rFonts w:ascii="Verdana" w:eastAsia="Times New Roman" w:hAnsi="Verdana" w:cs="Arial"/>
          <w:color w:val="000000"/>
          <w:sz w:val="18"/>
          <w:szCs w:val="18"/>
          <w:shd w:val="clear" w:color="auto" w:fill="FFFFFF"/>
        </w:rPr>
        <w:t>2</w:t>
      </w:r>
      <w:r w:rsidRPr="00542E22">
        <w:rPr>
          <w:rFonts w:ascii="Verdana" w:eastAsia="Times New Roman" w:hAnsi="Verdana" w:cs="Arial"/>
          <w:color w:val="000000"/>
          <w:sz w:val="18"/>
          <w:szCs w:val="18"/>
          <w:shd w:val="clear" w:color="auto" w:fill="FFFFFF"/>
        </w:rPr>
        <w:t xml:space="preserve">% to </w:t>
      </w:r>
      <w:r w:rsidRPr="00542E22">
        <w:rPr>
          <w:rFonts w:ascii="Verdana" w:hAnsi="Verdana"/>
          <w:sz w:val="18"/>
          <w:szCs w:val="18"/>
          <w:shd w:val="clear" w:color="auto" w:fill="FFFFFF"/>
        </w:rPr>
        <w:t>5</w:t>
      </w:r>
      <w:r w:rsidR="001C2CCE">
        <w:rPr>
          <w:rFonts w:ascii="Verdana" w:hAnsi="Verdana"/>
          <w:sz w:val="18"/>
          <w:szCs w:val="18"/>
          <w:shd w:val="clear" w:color="auto" w:fill="FFFFFF"/>
        </w:rPr>
        <w:t>4</w:t>
      </w:r>
      <w:r w:rsidRPr="00542E22">
        <w:rPr>
          <w:rFonts w:ascii="Verdana" w:hAnsi="Verdana"/>
          <w:sz w:val="18"/>
          <w:szCs w:val="18"/>
          <w:shd w:val="clear" w:color="auto" w:fill="FFFFFF"/>
        </w:rPr>
        <w:t>.</w:t>
      </w:r>
      <w:r w:rsidR="001C2CCE">
        <w:rPr>
          <w:rFonts w:ascii="Verdana" w:hAnsi="Verdana"/>
          <w:sz w:val="18"/>
          <w:szCs w:val="18"/>
          <w:shd w:val="clear" w:color="auto" w:fill="FFFFFF"/>
        </w:rPr>
        <w:t>739</w:t>
      </w:r>
      <w:r w:rsidRPr="00542E22">
        <w:rPr>
          <w:rFonts w:ascii="Verdana" w:eastAsia="Times New Roman" w:hAnsi="Verdana" w:cs="Arial"/>
          <w:color w:val="000000"/>
          <w:sz w:val="18"/>
          <w:szCs w:val="18"/>
          <w:shd w:val="clear" w:color="auto" w:fill="FFFFFF"/>
        </w:rPr>
        <w:t xml:space="preserve"> tonnes.</w:t>
      </w:r>
    </w:p>
    <w:p w14:paraId="2C887E04" w14:textId="77777777" w:rsidR="00294481" w:rsidRPr="00542E22" w:rsidRDefault="00294481" w:rsidP="00D26754">
      <w:pPr>
        <w:jc w:val="both"/>
        <w:rPr>
          <w:rFonts w:ascii="Verdana" w:eastAsia="Times New Roman" w:hAnsi="Verdana" w:cs="Arial"/>
          <w:color w:val="000000"/>
          <w:sz w:val="18"/>
          <w:szCs w:val="18"/>
          <w:shd w:val="clear" w:color="auto" w:fill="FFFFFF"/>
        </w:rPr>
      </w:pPr>
    </w:p>
    <w:p w14:paraId="3B11A1F3" w14:textId="5C822A07" w:rsidR="00294481" w:rsidRDefault="00294481" w:rsidP="001C2CCE">
      <w:pPr>
        <w:jc w:val="both"/>
        <w:rPr>
          <w:rFonts w:ascii="Verdana" w:eastAsia="Times New Roman" w:hAnsi="Verdana" w:cs="Arial"/>
          <w:color w:val="000000"/>
          <w:sz w:val="18"/>
          <w:szCs w:val="18"/>
          <w:shd w:val="clear" w:color="auto" w:fill="FFFFFF"/>
        </w:rPr>
      </w:pPr>
      <w:r w:rsidRPr="00371D8C">
        <w:rPr>
          <w:rFonts w:ascii="Verdana" w:eastAsia="Times New Roman" w:hAnsi="Verdana" w:cs="Arial"/>
          <w:color w:val="000000"/>
          <w:sz w:val="18"/>
          <w:szCs w:val="18"/>
          <w:shd w:val="clear" w:color="auto" w:fill="FFFFFF"/>
        </w:rPr>
        <w:t xml:space="preserve">The total sales of petroleum products in </w:t>
      </w:r>
      <w:r w:rsidR="001C2CCE">
        <w:rPr>
          <w:rFonts w:ascii="Verdana" w:eastAsia="Times New Roman" w:hAnsi="Verdana" w:cs="Arial"/>
          <w:color w:val="000000"/>
          <w:sz w:val="18"/>
          <w:szCs w:val="18"/>
          <w:shd w:val="clear" w:color="auto" w:fill="FFFFFF"/>
        </w:rPr>
        <w:t>April</w:t>
      </w:r>
      <w:r w:rsidR="005264DC" w:rsidRPr="00542E22">
        <w:rPr>
          <w:rFonts w:ascii="Verdana" w:eastAsia="Times New Roman" w:hAnsi="Verdana" w:cs="Arial"/>
          <w:color w:val="000000"/>
          <w:sz w:val="18"/>
          <w:szCs w:val="18"/>
          <w:shd w:val="clear" w:color="auto" w:fill="FFFFFF"/>
        </w:rPr>
        <w:t xml:space="preserve"> </w:t>
      </w:r>
      <w:r w:rsidR="00843E96" w:rsidRPr="00371D8C">
        <w:rPr>
          <w:rFonts w:ascii="Verdana" w:eastAsia="Times New Roman" w:hAnsi="Verdana" w:cs="Arial"/>
          <w:color w:val="000000"/>
          <w:sz w:val="18"/>
          <w:szCs w:val="18"/>
          <w:shd w:val="clear" w:color="auto" w:fill="FFFFFF"/>
        </w:rPr>
        <w:t>202</w:t>
      </w:r>
      <w:r w:rsidR="002A2F3A" w:rsidRPr="00371D8C">
        <w:rPr>
          <w:rFonts w:ascii="Verdana" w:eastAsia="Times New Roman" w:hAnsi="Verdana" w:cs="Arial"/>
          <w:color w:val="000000"/>
          <w:sz w:val="18"/>
          <w:szCs w:val="18"/>
          <w:shd w:val="clear" w:color="auto" w:fill="FFFFFF"/>
        </w:rPr>
        <w:t>5</w:t>
      </w:r>
      <w:r w:rsidR="00843E96" w:rsidRPr="00371D8C">
        <w:rPr>
          <w:rFonts w:ascii="Verdana" w:eastAsia="Times New Roman" w:hAnsi="Verdana" w:cs="Arial"/>
          <w:color w:val="000000"/>
          <w:sz w:val="18"/>
          <w:szCs w:val="18"/>
          <w:shd w:val="clear" w:color="auto" w:fill="FFFFFF"/>
        </w:rPr>
        <w:t xml:space="preserve"> </w:t>
      </w:r>
      <w:r w:rsidRPr="00371D8C">
        <w:rPr>
          <w:rFonts w:ascii="Verdana" w:eastAsia="Times New Roman" w:hAnsi="Verdana" w:cs="Arial"/>
          <w:color w:val="000000"/>
          <w:sz w:val="18"/>
          <w:szCs w:val="18"/>
          <w:shd w:val="clear" w:color="auto" w:fill="FFFFFF"/>
        </w:rPr>
        <w:t xml:space="preserve">compared to </w:t>
      </w:r>
      <w:r w:rsidR="001C2CCE">
        <w:rPr>
          <w:rFonts w:ascii="Verdana" w:eastAsia="Times New Roman" w:hAnsi="Verdana" w:cs="Arial"/>
          <w:color w:val="000000"/>
          <w:sz w:val="18"/>
          <w:szCs w:val="18"/>
          <w:shd w:val="clear" w:color="auto" w:fill="FFFFFF"/>
        </w:rPr>
        <w:t>March</w:t>
      </w:r>
      <w:r w:rsidR="001C2CCE" w:rsidRPr="00542E22">
        <w:rPr>
          <w:rFonts w:ascii="Verdana" w:eastAsia="Times New Roman" w:hAnsi="Verdana" w:cs="Arial"/>
          <w:color w:val="000000"/>
          <w:sz w:val="18"/>
          <w:szCs w:val="18"/>
          <w:shd w:val="clear" w:color="auto" w:fill="FFFFFF"/>
        </w:rPr>
        <w:t xml:space="preserve"> </w:t>
      </w:r>
      <w:r w:rsidR="00843E96" w:rsidRPr="00371D8C">
        <w:rPr>
          <w:rFonts w:ascii="Verdana" w:eastAsia="Times New Roman" w:hAnsi="Verdana" w:cs="Arial"/>
          <w:color w:val="000000"/>
          <w:sz w:val="18"/>
          <w:szCs w:val="18"/>
          <w:shd w:val="clear" w:color="auto" w:fill="FFFFFF"/>
        </w:rPr>
        <w:t>202</w:t>
      </w:r>
      <w:r w:rsidR="002A2F3A" w:rsidRPr="00371D8C">
        <w:rPr>
          <w:rFonts w:ascii="Verdana" w:eastAsia="Times New Roman" w:hAnsi="Verdana" w:cs="Arial"/>
          <w:color w:val="000000"/>
          <w:sz w:val="18"/>
          <w:szCs w:val="18"/>
          <w:shd w:val="clear" w:color="auto" w:fill="FFFFFF"/>
        </w:rPr>
        <w:t>5</w:t>
      </w:r>
      <w:r w:rsidR="00843E96" w:rsidRPr="00371D8C">
        <w:rPr>
          <w:rFonts w:ascii="Verdana" w:eastAsia="Times New Roman" w:hAnsi="Verdana" w:cs="Arial"/>
          <w:color w:val="000000"/>
          <w:sz w:val="18"/>
          <w:szCs w:val="18"/>
          <w:shd w:val="clear" w:color="auto" w:fill="FFFFFF"/>
        </w:rPr>
        <w:t xml:space="preserve"> </w:t>
      </w:r>
      <w:r w:rsidRPr="00371D8C">
        <w:rPr>
          <w:rFonts w:ascii="Verdana" w:eastAsia="Times New Roman" w:hAnsi="Verdana" w:cs="Arial"/>
          <w:color w:val="000000"/>
          <w:sz w:val="18"/>
          <w:szCs w:val="18"/>
          <w:shd w:val="clear" w:color="auto" w:fill="FFFFFF"/>
        </w:rPr>
        <w:t>recorded a</w:t>
      </w:r>
      <w:r w:rsidR="001C2CCE">
        <w:rPr>
          <w:rFonts w:ascii="Verdana" w:eastAsia="Times New Roman" w:hAnsi="Verdana" w:cs="Arial"/>
          <w:color w:val="000000"/>
          <w:sz w:val="18"/>
          <w:szCs w:val="18"/>
          <w:shd w:val="clear" w:color="auto" w:fill="FFFFFF"/>
        </w:rPr>
        <w:t>n in</w:t>
      </w:r>
      <w:r w:rsidR="00843E96" w:rsidRPr="00371D8C">
        <w:rPr>
          <w:rFonts w:ascii="Verdana" w:eastAsia="Times New Roman" w:hAnsi="Verdana" w:cs="Arial"/>
          <w:color w:val="000000"/>
          <w:sz w:val="18"/>
          <w:szCs w:val="18"/>
          <w:shd w:val="clear" w:color="auto" w:fill="FFFFFF"/>
        </w:rPr>
        <w:t xml:space="preserve">crease </w:t>
      </w:r>
      <w:r w:rsidRPr="00371D8C">
        <w:rPr>
          <w:rFonts w:ascii="Verdana" w:eastAsia="Times New Roman" w:hAnsi="Verdana" w:cs="Arial"/>
          <w:color w:val="000000"/>
          <w:sz w:val="18"/>
          <w:szCs w:val="18"/>
          <w:shd w:val="clear" w:color="auto" w:fill="FFFFFF"/>
        </w:rPr>
        <w:t xml:space="preserve">of </w:t>
      </w:r>
      <w:r w:rsidR="001C2CCE">
        <w:rPr>
          <w:rFonts w:ascii="Verdana" w:eastAsia="Times New Roman" w:hAnsi="Verdana" w:cs="Arial"/>
          <w:color w:val="000000"/>
          <w:sz w:val="18"/>
          <w:szCs w:val="18"/>
          <w:shd w:val="clear" w:color="auto" w:fill="FFFFFF"/>
        </w:rPr>
        <w:t>16</w:t>
      </w:r>
      <w:r w:rsidRPr="00371D8C">
        <w:rPr>
          <w:rFonts w:ascii="Verdana" w:hAnsi="Verdana"/>
          <w:sz w:val="18"/>
          <w:szCs w:val="18"/>
          <w:shd w:val="clear" w:color="auto" w:fill="FFFFFF"/>
        </w:rPr>
        <w:t>,</w:t>
      </w:r>
      <w:r w:rsidR="001C2CCE">
        <w:rPr>
          <w:rFonts w:ascii="Verdana" w:hAnsi="Verdana"/>
          <w:sz w:val="18"/>
          <w:szCs w:val="18"/>
          <w:shd w:val="clear" w:color="auto" w:fill="FFFFFF"/>
        </w:rPr>
        <w:t>2</w:t>
      </w:r>
      <w:r w:rsidRPr="00371D8C">
        <w:rPr>
          <w:rFonts w:ascii="Verdana" w:eastAsia="Times New Roman" w:hAnsi="Verdana" w:cs="Arial"/>
          <w:color w:val="000000"/>
          <w:sz w:val="18"/>
          <w:szCs w:val="18"/>
          <w:shd w:val="clear" w:color="auto" w:fill="FFFFFF"/>
        </w:rPr>
        <w:t xml:space="preserve">%. Indicatively, a </w:t>
      </w:r>
      <w:r w:rsidR="001C2CCE">
        <w:rPr>
          <w:rFonts w:ascii="Verdana" w:eastAsia="Times New Roman" w:hAnsi="Verdana" w:cs="Arial"/>
          <w:color w:val="000000"/>
          <w:sz w:val="18"/>
          <w:szCs w:val="18"/>
          <w:shd w:val="clear" w:color="auto" w:fill="FFFFFF"/>
        </w:rPr>
        <w:t xml:space="preserve">significant rise was </w:t>
      </w:r>
      <w:r w:rsidR="004803C2" w:rsidRPr="00371D8C">
        <w:rPr>
          <w:rFonts w:ascii="Verdana" w:eastAsia="Times New Roman" w:hAnsi="Verdana" w:cs="Arial"/>
          <w:color w:val="000000"/>
          <w:sz w:val="18"/>
          <w:szCs w:val="18"/>
          <w:shd w:val="clear" w:color="auto" w:fill="FFFFFF"/>
        </w:rPr>
        <w:t xml:space="preserve">recorded </w:t>
      </w:r>
      <w:r w:rsidR="001C2CCE" w:rsidRPr="00371D8C">
        <w:rPr>
          <w:rFonts w:ascii="Verdana" w:eastAsia="Times New Roman" w:hAnsi="Verdana" w:cs="Arial"/>
          <w:color w:val="000000"/>
          <w:sz w:val="18"/>
          <w:szCs w:val="18"/>
          <w:shd w:val="clear" w:color="auto" w:fill="FFFFFF"/>
        </w:rPr>
        <w:t xml:space="preserve">in the provisions of </w:t>
      </w:r>
      <w:r w:rsidR="001C2CCE" w:rsidRPr="00542E22">
        <w:rPr>
          <w:rFonts w:ascii="Verdana" w:eastAsia="Times New Roman" w:hAnsi="Verdana" w:cs="Arial"/>
          <w:color w:val="000000"/>
          <w:sz w:val="18"/>
          <w:szCs w:val="18"/>
          <w:shd w:val="clear" w:color="auto" w:fill="FFFFFF"/>
        </w:rPr>
        <w:t xml:space="preserve">marine gasoil </w:t>
      </w:r>
      <w:r w:rsidR="001C2CCE" w:rsidRPr="002C62AD">
        <w:rPr>
          <w:rFonts w:ascii="Verdana" w:hAnsi="Verdana"/>
          <w:sz w:val="18"/>
          <w:szCs w:val="18"/>
          <w:shd w:val="clear" w:color="auto" w:fill="FFFFFF"/>
        </w:rPr>
        <w:t>(</w:t>
      </w:r>
      <w:r w:rsidR="001C2CCE">
        <w:rPr>
          <w:rFonts w:ascii="Verdana" w:hAnsi="Verdana"/>
          <w:sz w:val="18"/>
          <w:szCs w:val="18"/>
          <w:shd w:val="clear" w:color="auto" w:fill="FFFFFF"/>
        </w:rPr>
        <w:t>143</w:t>
      </w:r>
      <w:r w:rsidR="001C2CCE" w:rsidRPr="002C62AD">
        <w:rPr>
          <w:rFonts w:ascii="Verdana" w:hAnsi="Verdana"/>
          <w:sz w:val="18"/>
          <w:szCs w:val="18"/>
          <w:shd w:val="clear" w:color="auto" w:fill="FFFFFF"/>
        </w:rPr>
        <w:t>,</w:t>
      </w:r>
      <w:r w:rsidR="001C2CCE">
        <w:rPr>
          <w:rFonts w:ascii="Verdana" w:hAnsi="Verdana"/>
          <w:sz w:val="18"/>
          <w:szCs w:val="18"/>
          <w:shd w:val="clear" w:color="auto" w:fill="FFFFFF"/>
        </w:rPr>
        <w:t>0</w:t>
      </w:r>
      <w:r w:rsidR="001C2CCE" w:rsidRPr="002C62AD">
        <w:rPr>
          <w:rFonts w:ascii="Verdana" w:hAnsi="Verdana"/>
          <w:sz w:val="18"/>
          <w:szCs w:val="18"/>
          <w:shd w:val="clear" w:color="auto" w:fill="FFFFFF"/>
        </w:rPr>
        <w:t xml:space="preserve">%) </w:t>
      </w:r>
      <w:r w:rsidR="001C2CCE">
        <w:rPr>
          <w:rFonts w:ascii="Verdana" w:eastAsia="Times New Roman" w:hAnsi="Verdana" w:cs="Arial"/>
          <w:color w:val="000000"/>
          <w:sz w:val="18"/>
          <w:szCs w:val="18"/>
          <w:shd w:val="clear" w:color="auto" w:fill="FFFFFF"/>
        </w:rPr>
        <w:t xml:space="preserve">and </w:t>
      </w:r>
      <w:r w:rsidR="001C2CCE" w:rsidRPr="00371D8C">
        <w:rPr>
          <w:rFonts w:ascii="Verdana" w:eastAsia="Times New Roman" w:hAnsi="Verdana" w:cs="Arial"/>
          <w:color w:val="000000"/>
          <w:sz w:val="18"/>
          <w:szCs w:val="18"/>
          <w:shd w:val="clear" w:color="auto" w:fill="FFFFFF"/>
        </w:rPr>
        <w:t>aviation kerosene (</w:t>
      </w:r>
      <w:r w:rsidR="001C2CCE">
        <w:rPr>
          <w:rFonts w:ascii="Verdana" w:eastAsia="Times New Roman" w:hAnsi="Verdana" w:cs="Arial"/>
          <w:color w:val="000000"/>
          <w:sz w:val="18"/>
          <w:szCs w:val="18"/>
          <w:shd w:val="clear" w:color="auto" w:fill="FFFFFF"/>
        </w:rPr>
        <w:t>69</w:t>
      </w:r>
      <w:r w:rsidR="001C2CCE" w:rsidRPr="00371D8C">
        <w:rPr>
          <w:rFonts w:ascii="Verdana" w:eastAsia="Times New Roman" w:hAnsi="Verdana" w:cs="Arial"/>
          <w:color w:val="000000"/>
          <w:sz w:val="18"/>
          <w:szCs w:val="18"/>
          <w:shd w:val="clear" w:color="auto" w:fill="FFFFFF"/>
        </w:rPr>
        <w:t>,</w:t>
      </w:r>
      <w:r w:rsidR="001C2CCE">
        <w:rPr>
          <w:rFonts w:ascii="Verdana" w:eastAsia="Times New Roman" w:hAnsi="Verdana" w:cs="Arial"/>
          <w:color w:val="000000"/>
          <w:sz w:val="18"/>
          <w:szCs w:val="18"/>
          <w:shd w:val="clear" w:color="auto" w:fill="FFFFFF"/>
        </w:rPr>
        <w:t>3</w:t>
      </w:r>
      <w:r w:rsidR="001C2CCE" w:rsidRPr="00371D8C">
        <w:rPr>
          <w:rFonts w:ascii="Verdana" w:eastAsia="Times New Roman" w:hAnsi="Verdana" w:cs="Arial"/>
          <w:color w:val="000000"/>
          <w:sz w:val="18"/>
          <w:szCs w:val="18"/>
          <w:shd w:val="clear" w:color="auto" w:fill="FFFFFF"/>
        </w:rPr>
        <w:t>%)</w:t>
      </w:r>
      <w:r w:rsidR="007052CB">
        <w:rPr>
          <w:rFonts w:ascii="Verdana" w:eastAsia="Times New Roman" w:hAnsi="Verdana" w:cs="Arial"/>
          <w:color w:val="000000"/>
          <w:sz w:val="18"/>
          <w:szCs w:val="18"/>
          <w:shd w:val="clear" w:color="auto" w:fill="FFFFFF"/>
        </w:rPr>
        <w:t>,</w:t>
      </w:r>
      <w:r w:rsidR="001C2CCE">
        <w:rPr>
          <w:rFonts w:ascii="Verdana" w:eastAsia="Times New Roman" w:hAnsi="Verdana" w:cs="Arial"/>
          <w:color w:val="000000"/>
          <w:sz w:val="18"/>
          <w:szCs w:val="18"/>
          <w:shd w:val="clear" w:color="auto" w:fill="FFFFFF"/>
        </w:rPr>
        <w:t xml:space="preserve"> while the sales </w:t>
      </w:r>
      <w:r w:rsidR="001C2CCE" w:rsidRPr="00371D8C">
        <w:rPr>
          <w:rFonts w:ascii="Verdana" w:eastAsia="Times New Roman" w:hAnsi="Verdana" w:cs="Arial"/>
          <w:color w:val="000000"/>
          <w:sz w:val="18"/>
          <w:szCs w:val="18"/>
          <w:shd w:val="clear" w:color="auto" w:fill="FFFFFF"/>
        </w:rPr>
        <w:t xml:space="preserve">of motor gasoline and road diesel </w:t>
      </w:r>
      <w:r w:rsidR="001C2CCE">
        <w:rPr>
          <w:rFonts w:ascii="Verdana" w:eastAsia="Times New Roman" w:hAnsi="Verdana" w:cs="Arial"/>
          <w:color w:val="000000"/>
          <w:sz w:val="18"/>
          <w:szCs w:val="18"/>
          <w:shd w:val="clear" w:color="auto" w:fill="FFFFFF"/>
        </w:rPr>
        <w:t>remained almost unchanged (</w:t>
      </w:r>
      <w:r w:rsidR="00DB79A6">
        <w:rPr>
          <w:rFonts w:ascii="Verdana" w:eastAsia="Times New Roman" w:hAnsi="Verdana" w:cs="Arial"/>
          <w:color w:val="000000"/>
          <w:sz w:val="18"/>
          <w:szCs w:val="18"/>
          <w:shd w:val="clear" w:color="auto" w:fill="FFFFFF"/>
        </w:rPr>
        <w:t xml:space="preserve">increase of </w:t>
      </w:r>
      <w:r w:rsidR="001C2CCE">
        <w:rPr>
          <w:rFonts w:ascii="Verdana" w:eastAsia="Times New Roman" w:hAnsi="Verdana" w:cs="Arial"/>
          <w:color w:val="000000"/>
          <w:sz w:val="18"/>
          <w:szCs w:val="18"/>
          <w:shd w:val="clear" w:color="auto" w:fill="FFFFFF"/>
        </w:rPr>
        <w:t xml:space="preserve">0,6% and 0,3%, respectively). </w:t>
      </w:r>
      <w:r w:rsidRPr="00371D8C">
        <w:rPr>
          <w:rFonts w:ascii="Verdana" w:eastAsia="Times New Roman" w:hAnsi="Verdana" w:cs="Arial"/>
          <w:color w:val="000000"/>
          <w:sz w:val="18"/>
          <w:szCs w:val="18"/>
          <w:shd w:val="clear" w:color="auto" w:fill="FFFFFF"/>
        </w:rPr>
        <w:t xml:space="preserve">The total stocks of petroleum products at the end of </w:t>
      </w:r>
      <w:r w:rsidR="001C2CCE">
        <w:rPr>
          <w:rFonts w:ascii="Verdana" w:eastAsia="Times New Roman" w:hAnsi="Verdana" w:cs="Arial"/>
          <w:color w:val="000000"/>
          <w:sz w:val="18"/>
          <w:szCs w:val="18"/>
          <w:shd w:val="clear" w:color="auto" w:fill="FFFFFF"/>
        </w:rPr>
        <w:t>April</w:t>
      </w:r>
      <w:r w:rsidR="001C2CCE" w:rsidRPr="00542E22">
        <w:rPr>
          <w:rFonts w:ascii="Verdana" w:eastAsia="Times New Roman" w:hAnsi="Verdana" w:cs="Arial"/>
          <w:color w:val="000000"/>
          <w:sz w:val="18"/>
          <w:szCs w:val="18"/>
          <w:shd w:val="clear" w:color="auto" w:fill="FFFFFF"/>
        </w:rPr>
        <w:t xml:space="preserve"> </w:t>
      </w:r>
      <w:r w:rsidRPr="00371D8C">
        <w:rPr>
          <w:rFonts w:ascii="Verdana" w:eastAsia="Times New Roman" w:hAnsi="Verdana" w:cs="Arial"/>
          <w:color w:val="000000"/>
          <w:sz w:val="18"/>
          <w:szCs w:val="18"/>
          <w:shd w:val="clear" w:color="auto" w:fill="FFFFFF"/>
        </w:rPr>
        <w:t>202</w:t>
      </w:r>
      <w:r w:rsidR="00371D8C" w:rsidRPr="00371D8C">
        <w:rPr>
          <w:rFonts w:ascii="Verdana" w:eastAsia="Times New Roman" w:hAnsi="Verdana" w:cs="Arial"/>
          <w:color w:val="000000"/>
          <w:sz w:val="18"/>
          <w:szCs w:val="18"/>
          <w:shd w:val="clear" w:color="auto" w:fill="FFFFFF"/>
        </w:rPr>
        <w:t>5</w:t>
      </w:r>
      <w:r w:rsidRPr="00371D8C">
        <w:rPr>
          <w:rFonts w:ascii="Verdana" w:eastAsia="Times New Roman" w:hAnsi="Verdana" w:cs="Arial"/>
          <w:color w:val="000000"/>
          <w:sz w:val="18"/>
          <w:szCs w:val="18"/>
          <w:shd w:val="clear" w:color="auto" w:fill="FFFFFF"/>
        </w:rPr>
        <w:t xml:space="preserve"> </w:t>
      </w:r>
      <w:r w:rsidR="001C2CCE">
        <w:rPr>
          <w:rFonts w:ascii="Verdana" w:eastAsia="Times New Roman" w:hAnsi="Verdana" w:cs="Arial"/>
          <w:color w:val="000000"/>
          <w:sz w:val="18"/>
          <w:szCs w:val="18"/>
          <w:shd w:val="clear" w:color="auto" w:fill="FFFFFF"/>
        </w:rPr>
        <w:t>dropped</w:t>
      </w:r>
      <w:r w:rsidRPr="00371D8C">
        <w:rPr>
          <w:rFonts w:ascii="Verdana" w:eastAsia="Times New Roman" w:hAnsi="Verdana" w:cs="Arial"/>
          <w:color w:val="000000"/>
          <w:sz w:val="18"/>
          <w:szCs w:val="18"/>
          <w:shd w:val="clear" w:color="auto" w:fill="FFFFFF"/>
        </w:rPr>
        <w:t xml:space="preserve"> by</w:t>
      </w:r>
      <w:r w:rsidR="001C2CCE">
        <w:rPr>
          <w:rFonts w:ascii="Verdana" w:eastAsia="Times New Roman" w:hAnsi="Verdana" w:cs="Arial"/>
          <w:color w:val="000000"/>
          <w:sz w:val="18"/>
          <w:szCs w:val="18"/>
          <w:shd w:val="clear" w:color="auto" w:fill="FFFFFF"/>
        </w:rPr>
        <w:t xml:space="preserve"> 13</w:t>
      </w:r>
      <w:r w:rsidRPr="00371D8C">
        <w:rPr>
          <w:rFonts w:ascii="Verdana" w:eastAsia="Times New Roman" w:hAnsi="Verdana" w:cs="Arial"/>
          <w:color w:val="000000"/>
          <w:sz w:val="18"/>
          <w:szCs w:val="18"/>
          <w:shd w:val="clear" w:color="auto" w:fill="FFFFFF"/>
        </w:rPr>
        <w:t>,</w:t>
      </w:r>
      <w:r w:rsidR="001C2CCE">
        <w:rPr>
          <w:rFonts w:ascii="Verdana" w:eastAsia="Times New Roman" w:hAnsi="Verdana" w:cs="Arial"/>
          <w:color w:val="000000"/>
          <w:sz w:val="18"/>
          <w:szCs w:val="18"/>
          <w:shd w:val="clear" w:color="auto" w:fill="FFFFFF"/>
        </w:rPr>
        <w:t>7</w:t>
      </w:r>
      <w:r w:rsidRPr="00371D8C">
        <w:rPr>
          <w:rFonts w:ascii="Verdana" w:hAnsi="Verdana"/>
          <w:sz w:val="18"/>
          <w:szCs w:val="18"/>
          <w:shd w:val="clear" w:color="auto" w:fill="FFFFFF"/>
        </w:rPr>
        <w:t xml:space="preserve">% </w:t>
      </w:r>
      <w:r w:rsidRPr="00371D8C">
        <w:rPr>
          <w:rFonts w:ascii="Verdana" w:eastAsia="Times New Roman" w:hAnsi="Verdana" w:cs="Arial"/>
          <w:color w:val="000000"/>
          <w:sz w:val="18"/>
          <w:szCs w:val="18"/>
          <w:shd w:val="clear" w:color="auto" w:fill="FFFFFF"/>
        </w:rPr>
        <w:t>compared to the end of the previous month.</w:t>
      </w:r>
    </w:p>
    <w:p w14:paraId="5B4727FA" w14:textId="77777777" w:rsidR="00371D8C" w:rsidRDefault="00371D8C" w:rsidP="00371D8C">
      <w:pPr>
        <w:jc w:val="both"/>
        <w:rPr>
          <w:rFonts w:ascii="Verdana" w:eastAsia="Times New Roman" w:hAnsi="Verdana" w:cs="Arial"/>
          <w:color w:val="000000"/>
          <w:sz w:val="18"/>
          <w:szCs w:val="18"/>
          <w:shd w:val="clear" w:color="auto" w:fill="FFFFFF"/>
        </w:rPr>
      </w:pPr>
    </w:p>
    <w:p w14:paraId="60365985" w14:textId="06D12E1A" w:rsidR="00371D8C" w:rsidRPr="00371D8C" w:rsidRDefault="00371D8C" w:rsidP="00371D8C">
      <w:pPr>
        <w:jc w:val="both"/>
        <w:rPr>
          <w:rFonts w:ascii="Verdana" w:eastAsia="Times New Roman" w:hAnsi="Verdana" w:cs="Arial"/>
          <w:color w:val="000000"/>
          <w:sz w:val="18"/>
          <w:szCs w:val="18"/>
          <w:shd w:val="clear" w:color="auto" w:fill="FFFFFF"/>
        </w:rPr>
      </w:pPr>
      <w:r w:rsidRPr="00371D8C">
        <w:rPr>
          <w:rFonts w:ascii="Verdana" w:eastAsia="Times New Roman" w:hAnsi="Verdana" w:cs="Arial"/>
          <w:color w:val="000000"/>
          <w:sz w:val="18"/>
          <w:szCs w:val="18"/>
          <w:shd w:val="clear" w:color="auto" w:fill="FFFFFF"/>
        </w:rPr>
        <w:t xml:space="preserve">During the period January – </w:t>
      </w:r>
      <w:r w:rsidR="001C2CCE">
        <w:rPr>
          <w:rFonts w:ascii="Verdana" w:eastAsia="Times New Roman" w:hAnsi="Verdana" w:cs="Arial"/>
          <w:color w:val="000000"/>
          <w:sz w:val="18"/>
          <w:szCs w:val="18"/>
          <w:shd w:val="clear" w:color="auto" w:fill="FFFFFF"/>
        </w:rPr>
        <w:t>April</w:t>
      </w:r>
      <w:r w:rsidR="001C2CCE" w:rsidRPr="00542E22">
        <w:rPr>
          <w:rFonts w:ascii="Verdana" w:eastAsia="Times New Roman" w:hAnsi="Verdana" w:cs="Arial"/>
          <w:color w:val="000000"/>
          <w:sz w:val="18"/>
          <w:szCs w:val="18"/>
          <w:shd w:val="clear" w:color="auto" w:fill="FFFFFF"/>
        </w:rPr>
        <w:t xml:space="preserve"> </w:t>
      </w:r>
      <w:r w:rsidRPr="00542E22">
        <w:rPr>
          <w:rFonts w:ascii="Verdana" w:eastAsia="Times New Roman" w:hAnsi="Verdana" w:cs="Arial"/>
          <w:color w:val="000000"/>
          <w:sz w:val="18"/>
          <w:szCs w:val="18"/>
          <w:shd w:val="clear" w:color="auto" w:fill="FFFFFF"/>
        </w:rPr>
        <w:t>202</w:t>
      </w:r>
      <w:r>
        <w:rPr>
          <w:rFonts w:ascii="Verdana" w:eastAsia="Times New Roman" w:hAnsi="Verdana" w:cs="Arial"/>
          <w:color w:val="000000"/>
          <w:sz w:val="18"/>
          <w:szCs w:val="18"/>
          <w:shd w:val="clear" w:color="auto" w:fill="FFFFFF"/>
        </w:rPr>
        <w:t>5</w:t>
      </w:r>
      <w:r w:rsidRPr="00371D8C">
        <w:rPr>
          <w:rFonts w:ascii="Verdana" w:eastAsia="Times New Roman" w:hAnsi="Verdana" w:cs="Arial"/>
          <w:color w:val="000000"/>
          <w:sz w:val="18"/>
          <w:szCs w:val="18"/>
          <w:shd w:val="clear" w:color="auto" w:fill="FFFFFF"/>
        </w:rPr>
        <w:t xml:space="preserve">, the total sales of petroleum products </w:t>
      </w:r>
      <w:r w:rsidR="001C2CCE">
        <w:rPr>
          <w:rFonts w:ascii="Verdana" w:eastAsia="Times New Roman" w:hAnsi="Verdana" w:cs="Arial"/>
          <w:color w:val="000000"/>
          <w:sz w:val="18"/>
          <w:szCs w:val="18"/>
          <w:shd w:val="clear" w:color="auto" w:fill="FFFFFF"/>
        </w:rPr>
        <w:t>marginally increased by</w:t>
      </w:r>
      <w:r w:rsidRPr="00371D8C">
        <w:rPr>
          <w:rFonts w:ascii="Verdana" w:eastAsia="Times New Roman" w:hAnsi="Verdana" w:cs="Arial"/>
          <w:color w:val="000000"/>
          <w:sz w:val="18"/>
          <w:szCs w:val="18"/>
          <w:shd w:val="clear" w:color="auto" w:fill="FFFFFF"/>
        </w:rPr>
        <w:t xml:space="preserve"> </w:t>
      </w:r>
      <w:r w:rsidR="001C2CCE">
        <w:rPr>
          <w:rFonts w:ascii="Verdana" w:eastAsia="Times New Roman" w:hAnsi="Verdana" w:cs="Arial"/>
          <w:color w:val="000000"/>
          <w:sz w:val="18"/>
          <w:szCs w:val="18"/>
          <w:shd w:val="clear" w:color="auto" w:fill="FFFFFF"/>
        </w:rPr>
        <w:t>0</w:t>
      </w:r>
      <w:r w:rsidRPr="00371D8C">
        <w:rPr>
          <w:rFonts w:ascii="Verdana" w:eastAsia="Times New Roman" w:hAnsi="Verdana" w:cs="Arial"/>
          <w:color w:val="000000"/>
          <w:sz w:val="18"/>
          <w:szCs w:val="18"/>
          <w:shd w:val="clear" w:color="auto" w:fill="FFFFFF"/>
        </w:rPr>
        <w:t>,</w:t>
      </w:r>
      <w:r w:rsidR="001C2CCE">
        <w:rPr>
          <w:rFonts w:ascii="Verdana" w:eastAsia="Times New Roman" w:hAnsi="Verdana" w:cs="Arial"/>
          <w:color w:val="000000"/>
          <w:sz w:val="18"/>
          <w:szCs w:val="18"/>
          <w:shd w:val="clear" w:color="auto" w:fill="FFFFFF"/>
        </w:rPr>
        <w:t>4</w:t>
      </w:r>
      <w:r w:rsidRPr="00371D8C">
        <w:rPr>
          <w:rFonts w:ascii="Verdana" w:eastAsia="Times New Roman" w:hAnsi="Verdana" w:cs="Arial"/>
          <w:color w:val="000000"/>
          <w:sz w:val="18"/>
          <w:szCs w:val="18"/>
          <w:shd w:val="clear" w:color="auto" w:fill="FFFFFF"/>
        </w:rPr>
        <w:t>% compared to the corresponding period of the previous year.</w:t>
      </w:r>
    </w:p>
    <w:p w14:paraId="2C5CDBC2" w14:textId="037C2F72" w:rsidR="00B66812" w:rsidRDefault="00B66812" w:rsidP="00D26754">
      <w:pPr>
        <w:jc w:val="center"/>
        <w:rPr>
          <w:rFonts w:ascii="Verdana" w:eastAsia="Times New Roman" w:hAnsi="Verdana" w:cs="Arial"/>
          <w:color w:val="000000"/>
          <w:sz w:val="18"/>
          <w:szCs w:val="18"/>
          <w:shd w:val="clear" w:color="auto" w:fill="FFFFFF"/>
        </w:rPr>
      </w:pPr>
    </w:p>
    <w:p w14:paraId="402D5223" w14:textId="0FE6AEA4" w:rsidR="00FD2566" w:rsidRPr="00CE3183" w:rsidRDefault="00CE3183" w:rsidP="00493568">
      <w:pPr>
        <w:jc w:val="center"/>
        <w:rPr>
          <w:rFonts w:ascii="Verdana" w:eastAsia="Times New Roman" w:hAnsi="Verdana" w:cs="Arial"/>
          <w:noProof/>
          <w:color w:val="000000"/>
          <w:sz w:val="18"/>
          <w:szCs w:val="18"/>
          <w:shd w:val="clear" w:color="auto" w:fill="FFFFFF"/>
        </w:rPr>
      </w:pPr>
      <w:r>
        <w:rPr>
          <w:rFonts w:ascii="Verdana" w:eastAsia="Times New Roman" w:hAnsi="Verdana" w:cs="Arial"/>
          <w:noProof/>
          <w:color w:val="000000"/>
          <w:sz w:val="18"/>
          <w:szCs w:val="18"/>
          <w:shd w:val="clear" w:color="auto" w:fill="FFFFFF"/>
        </w:rPr>
        <w:drawing>
          <wp:inline distT="0" distB="0" distL="0" distR="0" wp14:anchorId="483C4E83" wp14:editId="5DD35813">
            <wp:extent cx="6059805" cy="4029710"/>
            <wp:effectExtent l="0" t="0" r="0" b="8890"/>
            <wp:docPr id="2303907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029710"/>
                    </a:xfrm>
                    <a:prstGeom prst="rect">
                      <a:avLst/>
                    </a:prstGeom>
                    <a:noFill/>
                  </pic:spPr>
                </pic:pic>
              </a:graphicData>
            </a:graphic>
          </wp:inline>
        </w:drawing>
      </w:r>
    </w:p>
    <w:p w14:paraId="413FA45A" w14:textId="77777777" w:rsidR="00493568" w:rsidRPr="00E05C8A" w:rsidRDefault="00493568" w:rsidP="00025A73">
      <w:pPr>
        <w:jc w:val="both"/>
        <w:rPr>
          <w:rFonts w:ascii="Verdana" w:eastAsia="Times New Roman" w:hAnsi="Verdana" w:cs="Arial"/>
          <w:noProof/>
          <w:color w:val="000000"/>
          <w:sz w:val="18"/>
          <w:szCs w:val="18"/>
          <w:shd w:val="clear" w:color="auto" w:fill="FFFFFF"/>
          <w:lang w:val="en-GB"/>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E05C8A" w:rsidRPr="00E05C8A" w14:paraId="5BD20F12" w14:textId="77777777" w:rsidTr="00E37FC6">
        <w:trPr>
          <w:trHeight w:val="284"/>
          <w:jc w:val="center"/>
        </w:trPr>
        <w:tc>
          <w:tcPr>
            <w:tcW w:w="2367" w:type="dxa"/>
            <w:tcBorders>
              <w:bottom w:val="single" w:sz="4" w:space="0" w:color="2F5496" w:themeColor="accent1" w:themeShade="BF"/>
            </w:tcBorders>
            <w:vAlign w:val="center"/>
          </w:tcPr>
          <w:p w14:paraId="04DA09A8" w14:textId="6D54F823" w:rsidR="00FD2566" w:rsidRPr="00E05C8A" w:rsidRDefault="00FD2566" w:rsidP="00EB6A33">
            <w:pPr>
              <w:rPr>
                <w:rFonts w:ascii="Verdana" w:hAnsi="Verdana"/>
                <w:b/>
                <w:bCs/>
                <w:noProof/>
                <w:color w:val="366092"/>
                <w:sz w:val="18"/>
                <w:szCs w:val="18"/>
                <w:lang w:val="el-GR"/>
              </w:rPr>
            </w:pPr>
            <w:r w:rsidRPr="00E05C8A">
              <w:rPr>
                <w:rFonts w:ascii="Verdana" w:hAnsi="Verdana"/>
                <w:b/>
                <w:bCs/>
                <w:noProof/>
                <w:color w:val="366092"/>
                <w:sz w:val="18"/>
                <w:szCs w:val="18"/>
              </w:rPr>
              <w:lastRenderedPageBreak/>
              <w:t>Table</w:t>
            </w:r>
            <w:r w:rsidRPr="00E05C8A">
              <w:rPr>
                <w:rFonts w:ascii="Verdana" w:hAnsi="Verdana"/>
                <w:b/>
                <w:bCs/>
                <w:noProof/>
                <w:color w:val="366092"/>
                <w:sz w:val="18"/>
                <w:szCs w:val="18"/>
                <w:lang w:val="el-GR"/>
              </w:rPr>
              <w:t xml:space="preserve"> 1</w:t>
            </w:r>
          </w:p>
        </w:tc>
        <w:tc>
          <w:tcPr>
            <w:tcW w:w="1097" w:type="dxa"/>
            <w:tcBorders>
              <w:bottom w:val="single" w:sz="4" w:space="0" w:color="2F5496" w:themeColor="accent1" w:themeShade="BF"/>
            </w:tcBorders>
          </w:tcPr>
          <w:p w14:paraId="3BB12B5A" w14:textId="77777777" w:rsidR="00FD2566" w:rsidRPr="00E05C8A" w:rsidRDefault="00FD2566" w:rsidP="00EB6A33">
            <w:pPr>
              <w:jc w:val="both"/>
              <w:rPr>
                <w:rFonts w:ascii="Verdana" w:hAnsi="Verdana"/>
                <w:noProof/>
                <w:color w:val="366092"/>
                <w:sz w:val="18"/>
                <w:szCs w:val="18"/>
                <w:lang w:val="el-GR"/>
              </w:rPr>
            </w:pPr>
          </w:p>
        </w:tc>
        <w:tc>
          <w:tcPr>
            <w:tcW w:w="1096" w:type="dxa"/>
            <w:tcBorders>
              <w:bottom w:val="single" w:sz="4" w:space="0" w:color="2F5496" w:themeColor="accent1" w:themeShade="BF"/>
            </w:tcBorders>
          </w:tcPr>
          <w:p w14:paraId="16D8F3D0" w14:textId="77777777" w:rsidR="00FD2566" w:rsidRPr="00E05C8A" w:rsidRDefault="00FD2566" w:rsidP="00EB6A33">
            <w:pPr>
              <w:jc w:val="both"/>
              <w:rPr>
                <w:rFonts w:ascii="Verdana" w:hAnsi="Verdana"/>
                <w:noProof/>
                <w:color w:val="366092"/>
                <w:sz w:val="18"/>
                <w:szCs w:val="18"/>
                <w:lang w:val="el-GR"/>
              </w:rPr>
            </w:pPr>
          </w:p>
        </w:tc>
        <w:tc>
          <w:tcPr>
            <w:tcW w:w="1269" w:type="dxa"/>
            <w:tcBorders>
              <w:bottom w:val="single" w:sz="4" w:space="0" w:color="2F5496" w:themeColor="accent1" w:themeShade="BF"/>
            </w:tcBorders>
          </w:tcPr>
          <w:p w14:paraId="1C0E3D6B" w14:textId="77777777" w:rsidR="00FD2566" w:rsidRPr="00E05C8A" w:rsidRDefault="00FD2566" w:rsidP="00EB6A33">
            <w:pPr>
              <w:jc w:val="both"/>
              <w:rPr>
                <w:rFonts w:ascii="Verdana" w:hAnsi="Verdana"/>
                <w:noProof/>
                <w:color w:val="366092"/>
                <w:sz w:val="18"/>
                <w:szCs w:val="18"/>
                <w:lang w:val="el-GR"/>
              </w:rPr>
            </w:pPr>
          </w:p>
        </w:tc>
        <w:tc>
          <w:tcPr>
            <w:tcW w:w="1269" w:type="dxa"/>
            <w:tcBorders>
              <w:bottom w:val="single" w:sz="4" w:space="0" w:color="2F5496" w:themeColor="accent1" w:themeShade="BF"/>
            </w:tcBorders>
          </w:tcPr>
          <w:p w14:paraId="6956F6F4" w14:textId="77777777" w:rsidR="00FD2566" w:rsidRPr="00E05C8A" w:rsidRDefault="00FD2566" w:rsidP="00EB6A33">
            <w:pPr>
              <w:jc w:val="both"/>
              <w:rPr>
                <w:rFonts w:ascii="Verdana" w:hAnsi="Verdana"/>
                <w:noProof/>
                <w:color w:val="366092"/>
                <w:sz w:val="18"/>
                <w:szCs w:val="18"/>
                <w:lang w:val="el-GR"/>
              </w:rPr>
            </w:pPr>
          </w:p>
        </w:tc>
        <w:tc>
          <w:tcPr>
            <w:tcW w:w="240" w:type="dxa"/>
            <w:tcBorders>
              <w:bottom w:val="single" w:sz="4" w:space="0" w:color="44546A" w:themeColor="text2"/>
            </w:tcBorders>
          </w:tcPr>
          <w:p w14:paraId="484CDA9D" w14:textId="77777777" w:rsidR="00FD2566" w:rsidRPr="00E05C8A" w:rsidRDefault="00FD2566" w:rsidP="00EB6A33">
            <w:pPr>
              <w:jc w:val="both"/>
              <w:rPr>
                <w:rFonts w:ascii="Verdana" w:hAnsi="Verdana"/>
                <w:noProof/>
                <w:color w:val="366092"/>
                <w:sz w:val="18"/>
                <w:szCs w:val="18"/>
                <w:lang w:val="el-GR"/>
              </w:rPr>
            </w:pPr>
          </w:p>
        </w:tc>
        <w:tc>
          <w:tcPr>
            <w:tcW w:w="1400" w:type="dxa"/>
            <w:tcBorders>
              <w:bottom w:val="single" w:sz="4" w:space="0" w:color="2F5496" w:themeColor="accent1" w:themeShade="BF"/>
            </w:tcBorders>
          </w:tcPr>
          <w:p w14:paraId="476B890F" w14:textId="77777777" w:rsidR="00FD2566" w:rsidRPr="00E05C8A" w:rsidRDefault="00FD2566" w:rsidP="00EB6A33">
            <w:pPr>
              <w:jc w:val="both"/>
              <w:rPr>
                <w:rFonts w:ascii="Verdana" w:hAnsi="Verdana"/>
                <w:noProof/>
                <w:color w:val="366092"/>
                <w:sz w:val="18"/>
                <w:szCs w:val="18"/>
                <w:lang w:val="el-GR"/>
              </w:rPr>
            </w:pPr>
          </w:p>
        </w:tc>
        <w:tc>
          <w:tcPr>
            <w:tcW w:w="1400" w:type="dxa"/>
            <w:tcBorders>
              <w:bottom w:val="single" w:sz="4" w:space="0" w:color="2F5496" w:themeColor="accent1" w:themeShade="BF"/>
            </w:tcBorders>
          </w:tcPr>
          <w:p w14:paraId="0375DDFE" w14:textId="77777777" w:rsidR="00FD2566" w:rsidRPr="00E05C8A" w:rsidRDefault="00FD2566" w:rsidP="00EB6A33">
            <w:pPr>
              <w:jc w:val="both"/>
              <w:rPr>
                <w:rFonts w:ascii="Verdana" w:hAnsi="Verdana"/>
                <w:noProof/>
                <w:color w:val="366092"/>
                <w:sz w:val="18"/>
                <w:szCs w:val="18"/>
                <w:lang w:val="el-GR"/>
              </w:rPr>
            </w:pPr>
          </w:p>
        </w:tc>
      </w:tr>
      <w:tr w:rsidR="00E05C8A" w:rsidRPr="00E05C8A" w14:paraId="4F10DCDB" w14:textId="77777777" w:rsidTr="00992EAC">
        <w:trPr>
          <w:trHeight w:val="510"/>
          <w:jc w:val="center"/>
        </w:trPr>
        <w:tc>
          <w:tcPr>
            <w:tcW w:w="2367" w:type="dxa"/>
            <w:vMerge w:val="restart"/>
            <w:tcBorders>
              <w:top w:val="single" w:sz="4" w:space="0" w:color="2F5496" w:themeColor="accent1" w:themeShade="BF"/>
              <w:bottom w:val="single" w:sz="4" w:space="0" w:color="2F5496" w:themeColor="accent1" w:themeShade="BF"/>
            </w:tcBorders>
            <w:vAlign w:val="center"/>
          </w:tcPr>
          <w:p w14:paraId="24990F6A" w14:textId="03DF4809" w:rsidR="00FD2566" w:rsidRPr="00E05C8A" w:rsidRDefault="00FD2566" w:rsidP="00EB6A33">
            <w:pPr>
              <w:jc w:val="center"/>
              <w:rPr>
                <w:rFonts w:ascii="Verdana" w:hAnsi="Verdana"/>
                <w:b/>
                <w:bCs/>
                <w:noProof/>
                <w:color w:val="366092"/>
                <w:sz w:val="18"/>
                <w:szCs w:val="18"/>
                <w:lang w:val="el-GR"/>
              </w:rPr>
            </w:pPr>
            <w:bookmarkStart w:id="1" w:name="_Hlk149300217"/>
            <w:proofErr w:type="spellStart"/>
            <w:r w:rsidRPr="00E05C8A">
              <w:rPr>
                <w:rFonts w:ascii="Verdana" w:eastAsia="Times New Roman" w:hAnsi="Verdana" w:cs="Arial"/>
                <w:b/>
                <w:bCs/>
                <w:color w:val="366092"/>
                <w:sz w:val="18"/>
                <w:szCs w:val="18"/>
                <w:lang w:val="el-GR" w:bidi="he-IL"/>
              </w:rPr>
              <w:t>Products</w:t>
            </w:r>
            <w:proofErr w:type="spellEnd"/>
          </w:p>
        </w:tc>
        <w:tc>
          <w:tcPr>
            <w:tcW w:w="4731" w:type="dxa"/>
            <w:gridSpan w:val="4"/>
            <w:tcBorders>
              <w:top w:val="single" w:sz="4" w:space="0" w:color="2F5496" w:themeColor="accent1" w:themeShade="BF"/>
              <w:bottom w:val="single" w:sz="4" w:space="0" w:color="2F5496" w:themeColor="accent1" w:themeShade="BF"/>
            </w:tcBorders>
            <w:vAlign w:val="center"/>
          </w:tcPr>
          <w:p w14:paraId="1EF1223D" w14:textId="3126AA6E" w:rsidR="00FD2566" w:rsidRPr="00E05C8A" w:rsidRDefault="00FD2566" w:rsidP="00EB6A33">
            <w:pPr>
              <w:jc w:val="center"/>
              <w:rPr>
                <w:rFonts w:ascii="Verdana" w:hAnsi="Verdana"/>
                <w:b/>
                <w:bCs/>
                <w:noProof/>
                <w:color w:val="366092"/>
                <w:sz w:val="18"/>
                <w:szCs w:val="18"/>
                <w:lang w:val="el-GR"/>
              </w:rPr>
            </w:pPr>
            <w:r w:rsidRPr="00E05C8A">
              <w:rPr>
                <w:rFonts w:ascii="Verdana" w:eastAsia="Times New Roman" w:hAnsi="Verdana" w:cs="Arial"/>
                <w:b/>
                <w:bCs/>
                <w:color w:val="366092"/>
                <w:sz w:val="18"/>
                <w:szCs w:val="18"/>
                <w:lang w:val="el-GR" w:bidi="he-IL"/>
              </w:rPr>
              <w:t xml:space="preserve">Total </w:t>
            </w:r>
            <w:proofErr w:type="spellStart"/>
            <w:r w:rsidRPr="00E05C8A">
              <w:rPr>
                <w:rFonts w:ascii="Verdana" w:eastAsia="Times New Roman" w:hAnsi="Verdana" w:cs="Arial"/>
                <w:b/>
                <w:bCs/>
                <w:color w:val="366092"/>
                <w:sz w:val="18"/>
                <w:szCs w:val="18"/>
                <w:lang w:val="el-GR" w:bidi="he-IL"/>
              </w:rPr>
              <w:t>Sales</w:t>
            </w:r>
            <w:proofErr w:type="spellEnd"/>
            <w:r w:rsidRPr="00E05C8A">
              <w:rPr>
                <w:rFonts w:ascii="Verdana" w:eastAsia="Times New Roman" w:hAnsi="Verdana" w:cs="Arial"/>
                <w:b/>
                <w:bCs/>
                <w:color w:val="366092"/>
                <w:sz w:val="18"/>
                <w:szCs w:val="18"/>
                <w:lang w:val="el-GR" w:bidi="he-IL"/>
              </w:rPr>
              <w:t xml:space="preserve"> (tonnes)</w:t>
            </w:r>
          </w:p>
        </w:tc>
        <w:tc>
          <w:tcPr>
            <w:tcW w:w="240" w:type="dxa"/>
            <w:tcBorders>
              <w:top w:val="single" w:sz="4" w:space="0" w:color="44546A" w:themeColor="text2"/>
            </w:tcBorders>
            <w:vAlign w:val="center"/>
          </w:tcPr>
          <w:p w14:paraId="23BB31A3" w14:textId="77777777" w:rsidR="00FD2566" w:rsidRPr="00E05C8A" w:rsidRDefault="00FD2566" w:rsidP="00EB6A33">
            <w:pPr>
              <w:jc w:val="center"/>
              <w:rPr>
                <w:rFonts w:ascii="Verdana" w:hAnsi="Verdana"/>
                <w:b/>
                <w:bCs/>
                <w:noProof/>
                <w:color w:val="366092"/>
                <w:sz w:val="18"/>
                <w:szCs w:val="18"/>
                <w:lang w:val="el-GR"/>
              </w:rPr>
            </w:pPr>
          </w:p>
        </w:tc>
        <w:tc>
          <w:tcPr>
            <w:tcW w:w="2800" w:type="dxa"/>
            <w:gridSpan w:val="2"/>
            <w:tcBorders>
              <w:top w:val="single" w:sz="4" w:space="0" w:color="2F5496" w:themeColor="accent1" w:themeShade="BF"/>
              <w:bottom w:val="single" w:sz="4" w:space="0" w:color="2F5496" w:themeColor="accent1" w:themeShade="BF"/>
            </w:tcBorders>
            <w:vAlign w:val="center"/>
          </w:tcPr>
          <w:p w14:paraId="67A950A0" w14:textId="77777777" w:rsidR="00FD2566" w:rsidRPr="00E05C8A" w:rsidRDefault="00FD2566" w:rsidP="00EB6A33">
            <w:pPr>
              <w:jc w:val="center"/>
              <w:rPr>
                <w:rFonts w:ascii="Verdana" w:hAnsi="Verdana"/>
                <w:b/>
                <w:bCs/>
                <w:noProof/>
                <w:color w:val="366092"/>
                <w:sz w:val="18"/>
                <w:szCs w:val="18"/>
                <w:lang w:val="el-GR"/>
              </w:rPr>
            </w:pPr>
            <w:r w:rsidRPr="00E05C8A">
              <w:rPr>
                <w:rFonts w:ascii="Verdana" w:hAnsi="Verdana"/>
                <w:b/>
                <w:bCs/>
                <w:noProof/>
                <w:color w:val="366092"/>
                <w:sz w:val="18"/>
                <w:szCs w:val="18"/>
                <w:lang w:val="el-GR"/>
              </w:rPr>
              <w:t xml:space="preserve">Percentage Change  </w:t>
            </w:r>
          </w:p>
          <w:p w14:paraId="5F6C0BE3" w14:textId="49BCB645" w:rsidR="00FD2566" w:rsidRPr="00E05C8A" w:rsidRDefault="00FD2566" w:rsidP="00EB6A33">
            <w:pPr>
              <w:jc w:val="center"/>
              <w:rPr>
                <w:rFonts w:ascii="Verdana" w:hAnsi="Verdana"/>
                <w:b/>
                <w:bCs/>
                <w:noProof/>
                <w:color w:val="366092"/>
                <w:sz w:val="18"/>
                <w:szCs w:val="18"/>
                <w:lang w:val="el-GR"/>
              </w:rPr>
            </w:pPr>
            <w:r w:rsidRPr="00E05C8A">
              <w:rPr>
                <w:rFonts w:ascii="Verdana" w:hAnsi="Verdana"/>
                <w:b/>
                <w:bCs/>
                <w:noProof/>
                <w:color w:val="366092"/>
                <w:sz w:val="18"/>
                <w:szCs w:val="18"/>
                <w:lang w:val="el-GR"/>
              </w:rPr>
              <w:t>(%)</w:t>
            </w:r>
          </w:p>
        </w:tc>
      </w:tr>
      <w:bookmarkEnd w:id="1"/>
      <w:tr w:rsidR="00E05C8A" w:rsidRPr="00E05C8A" w14:paraId="70A6DC87" w14:textId="77777777" w:rsidTr="00992EAC">
        <w:trPr>
          <w:trHeight w:val="624"/>
          <w:jc w:val="center"/>
        </w:trPr>
        <w:tc>
          <w:tcPr>
            <w:tcW w:w="2367" w:type="dxa"/>
            <w:vMerge/>
            <w:tcBorders>
              <w:top w:val="single" w:sz="4" w:space="0" w:color="2F5496" w:themeColor="accent1" w:themeShade="BF"/>
              <w:bottom w:val="single" w:sz="4" w:space="0" w:color="2F5496" w:themeColor="accent1" w:themeShade="BF"/>
            </w:tcBorders>
          </w:tcPr>
          <w:p w14:paraId="54F58BC8" w14:textId="77777777" w:rsidR="001B65A5" w:rsidRPr="00E05C8A" w:rsidRDefault="001B65A5" w:rsidP="00B66812">
            <w:pPr>
              <w:jc w:val="both"/>
              <w:rPr>
                <w:rFonts w:ascii="Verdana" w:hAnsi="Verdana"/>
                <w:noProof/>
                <w:color w:val="366092"/>
                <w:sz w:val="18"/>
                <w:szCs w:val="18"/>
                <w:lang w:val="el-GR"/>
              </w:rPr>
            </w:pP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B0069C5" w14:textId="7E3324B5" w:rsidR="001B65A5" w:rsidRPr="00E05C8A" w:rsidRDefault="001B65A5" w:rsidP="00B66812">
            <w:pPr>
              <w:jc w:val="center"/>
              <w:rPr>
                <w:rFonts w:ascii="Verdana" w:hAnsi="Verdana"/>
                <w:b/>
                <w:bCs/>
                <w:noProof/>
                <w:color w:val="366092"/>
                <w:sz w:val="18"/>
                <w:szCs w:val="18"/>
                <w:lang w:val="el-GR"/>
              </w:rPr>
            </w:pPr>
            <w:r w:rsidRPr="00E05C8A">
              <w:rPr>
                <w:rFonts w:ascii="Verdana" w:hAnsi="Verdana" w:cs="Arial"/>
                <w:b/>
                <w:bCs/>
                <w:color w:val="366092"/>
                <w:sz w:val="18"/>
                <w:szCs w:val="18"/>
              </w:rPr>
              <w:t xml:space="preserve"> </w:t>
            </w:r>
            <w:r w:rsidR="007052CB" w:rsidRPr="00E05C8A">
              <w:rPr>
                <w:rFonts w:ascii="Verdana" w:hAnsi="Verdana" w:cs="Arial"/>
                <w:b/>
                <w:bCs/>
                <w:color w:val="366092"/>
                <w:sz w:val="18"/>
                <w:szCs w:val="18"/>
              </w:rPr>
              <w:t>Apr</w:t>
            </w:r>
            <w:r w:rsidRPr="00E05C8A">
              <w:rPr>
                <w:rFonts w:ascii="Verdana" w:hAnsi="Verdana" w:cs="Arial"/>
                <w:b/>
                <w:bCs/>
                <w:color w:val="366092"/>
                <w:sz w:val="18"/>
                <w:szCs w:val="18"/>
              </w:rPr>
              <w:br/>
              <w:t>202</w:t>
            </w:r>
            <w:r w:rsidR="0062498F" w:rsidRPr="00E05C8A">
              <w:rPr>
                <w:rFonts w:ascii="Verdana" w:hAnsi="Verdana" w:cs="Arial"/>
                <w:b/>
                <w:bCs/>
                <w:color w:val="366092"/>
                <w:sz w:val="18"/>
                <w:szCs w:val="18"/>
              </w:rPr>
              <w:t>5</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9E69CE9" w14:textId="25352964" w:rsidR="001B65A5" w:rsidRPr="00E05C8A" w:rsidRDefault="007052CB" w:rsidP="00B66812">
            <w:pPr>
              <w:jc w:val="center"/>
              <w:rPr>
                <w:rFonts w:ascii="Verdana" w:hAnsi="Verdana"/>
                <w:b/>
                <w:bCs/>
                <w:noProof/>
                <w:color w:val="366092"/>
                <w:sz w:val="18"/>
                <w:szCs w:val="18"/>
                <w:lang w:val="el-GR"/>
              </w:rPr>
            </w:pPr>
            <w:r w:rsidRPr="00E05C8A">
              <w:rPr>
                <w:rFonts w:ascii="Verdana" w:hAnsi="Verdana" w:cs="Arial"/>
                <w:b/>
                <w:bCs/>
                <w:color w:val="366092"/>
                <w:sz w:val="18"/>
                <w:szCs w:val="18"/>
              </w:rPr>
              <w:t>Apr</w:t>
            </w:r>
            <w:r w:rsidR="001B65A5" w:rsidRPr="00E05C8A">
              <w:rPr>
                <w:rFonts w:ascii="Verdana" w:hAnsi="Verdana" w:cs="Arial"/>
                <w:b/>
                <w:bCs/>
                <w:color w:val="366092"/>
                <w:sz w:val="18"/>
                <w:szCs w:val="18"/>
              </w:rPr>
              <w:br/>
              <w:t>202</w:t>
            </w:r>
            <w:r w:rsidR="0062498F" w:rsidRPr="00E05C8A">
              <w:rPr>
                <w:rFonts w:ascii="Verdana" w:hAnsi="Verdana" w:cs="Arial"/>
                <w:b/>
                <w:bCs/>
                <w:color w:val="366092"/>
                <w:sz w:val="18"/>
                <w:szCs w:val="18"/>
              </w:rPr>
              <w:t>4</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F1E5150" w14:textId="2E32E8D9" w:rsidR="001B65A5" w:rsidRPr="00E05C8A" w:rsidRDefault="001B65A5" w:rsidP="00B66812">
            <w:pPr>
              <w:jc w:val="center"/>
              <w:rPr>
                <w:rFonts w:ascii="Verdana" w:hAnsi="Verdana"/>
                <w:b/>
                <w:bCs/>
                <w:noProof/>
                <w:color w:val="366092"/>
                <w:sz w:val="18"/>
                <w:szCs w:val="18"/>
                <w:lang w:val="el-GR"/>
              </w:rPr>
            </w:pPr>
            <w:r w:rsidRPr="00E05C8A">
              <w:rPr>
                <w:rFonts w:ascii="Verdana" w:hAnsi="Verdana" w:cs="Arial"/>
                <w:b/>
                <w:bCs/>
                <w:color w:val="366092"/>
                <w:sz w:val="18"/>
                <w:szCs w:val="18"/>
              </w:rPr>
              <w:t xml:space="preserve">Jan - </w:t>
            </w:r>
            <w:r w:rsidR="007052CB" w:rsidRPr="00E05C8A">
              <w:rPr>
                <w:rFonts w:ascii="Verdana" w:hAnsi="Verdana" w:cs="Arial"/>
                <w:b/>
                <w:bCs/>
                <w:color w:val="366092"/>
                <w:sz w:val="18"/>
                <w:szCs w:val="18"/>
              </w:rPr>
              <w:t xml:space="preserve">Apr </w:t>
            </w:r>
            <w:r w:rsidRPr="00E05C8A">
              <w:rPr>
                <w:rFonts w:ascii="Verdana" w:hAnsi="Verdana" w:cs="Arial"/>
                <w:b/>
                <w:bCs/>
                <w:color w:val="366092"/>
                <w:sz w:val="18"/>
                <w:szCs w:val="18"/>
              </w:rPr>
              <w:t>202</w:t>
            </w:r>
            <w:r w:rsidR="0062498F" w:rsidRPr="00E05C8A">
              <w:rPr>
                <w:rFonts w:ascii="Verdana" w:hAnsi="Verdana" w:cs="Arial"/>
                <w:b/>
                <w:bCs/>
                <w:color w:val="366092"/>
                <w:sz w:val="18"/>
                <w:szCs w:val="18"/>
              </w:rPr>
              <w:t>5</w:t>
            </w:r>
            <w:r w:rsidRPr="00E05C8A">
              <w:rPr>
                <w:rFonts w:ascii="Verdana" w:hAnsi="Verdana" w:cs="Arial"/>
                <w:b/>
                <w:bCs/>
                <w:color w:val="366092"/>
                <w:sz w:val="18"/>
                <w:szCs w:val="18"/>
              </w:rPr>
              <w:t xml:space="preserve">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79224C84" w14:textId="47BA7072" w:rsidR="001B65A5" w:rsidRPr="00E05C8A" w:rsidRDefault="001B65A5" w:rsidP="00B66812">
            <w:pPr>
              <w:jc w:val="center"/>
              <w:rPr>
                <w:rFonts w:ascii="Verdana" w:hAnsi="Verdana"/>
                <w:b/>
                <w:bCs/>
                <w:noProof/>
                <w:color w:val="366092"/>
                <w:sz w:val="18"/>
                <w:szCs w:val="18"/>
                <w:lang w:val="el-GR"/>
              </w:rPr>
            </w:pPr>
            <w:r w:rsidRPr="00E05C8A">
              <w:rPr>
                <w:rFonts w:ascii="Verdana" w:hAnsi="Verdana" w:cs="Arial"/>
                <w:b/>
                <w:bCs/>
                <w:color w:val="366092"/>
                <w:sz w:val="18"/>
                <w:szCs w:val="18"/>
              </w:rPr>
              <w:t xml:space="preserve">Jan - </w:t>
            </w:r>
            <w:r w:rsidR="007052CB" w:rsidRPr="00E05C8A">
              <w:rPr>
                <w:rFonts w:ascii="Verdana" w:hAnsi="Verdana" w:cs="Arial"/>
                <w:b/>
                <w:bCs/>
                <w:color w:val="366092"/>
                <w:sz w:val="18"/>
                <w:szCs w:val="18"/>
              </w:rPr>
              <w:t xml:space="preserve">Apr </w:t>
            </w:r>
            <w:r w:rsidRPr="00E05C8A">
              <w:rPr>
                <w:rFonts w:ascii="Verdana" w:hAnsi="Verdana" w:cs="Arial"/>
                <w:b/>
                <w:bCs/>
                <w:color w:val="366092"/>
                <w:sz w:val="18"/>
                <w:szCs w:val="18"/>
              </w:rPr>
              <w:t>202</w:t>
            </w:r>
            <w:r w:rsidR="0062498F" w:rsidRPr="00E05C8A">
              <w:rPr>
                <w:rFonts w:ascii="Verdana" w:hAnsi="Verdana" w:cs="Arial"/>
                <w:b/>
                <w:bCs/>
                <w:color w:val="366092"/>
                <w:sz w:val="18"/>
                <w:szCs w:val="18"/>
              </w:rPr>
              <w:t>4</w:t>
            </w:r>
            <w:r w:rsidRPr="00E05C8A">
              <w:rPr>
                <w:rFonts w:ascii="Verdana" w:hAnsi="Verdana" w:cs="Arial"/>
                <w:b/>
                <w:bCs/>
                <w:color w:val="366092"/>
                <w:sz w:val="18"/>
                <w:szCs w:val="18"/>
              </w:rPr>
              <w:t xml:space="preserve">                    </w:t>
            </w:r>
          </w:p>
        </w:tc>
        <w:tc>
          <w:tcPr>
            <w:tcW w:w="240" w:type="dxa"/>
            <w:vMerge w:val="restart"/>
            <w:vAlign w:val="center"/>
          </w:tcPr>
          <w:p w14:paraId="33DE57DE" w14:textId="77777777" w:rsidR="001B65A5" w:rsidRPr="00E05C8A" w:rsidRDefault="001B65A5" w:rsidP="00B66812">
            <w:pPr>
              <w:jc w:val="center"/>
              <w:rPr>
                <w:rFonts w:ascii="Verdana" w:hAnsi="Verdana"/>
                <w:b/>
                <w:bCs/>
                <w:noProof/>
                <w:color w:val="366092"/>
                <w:sz w:val="18"/>
                <w:szCs w:val="18"/>
                <w:lang w:val="el-GR"/>
              </w:rPr>
            </w:pPr>
          </w:p>
        </w:tc>
        <w:tc>
          <w:tcPr>
            <w:tcW w:w="1400" w:type="dxa"/>
            <w:tcBorders>
              <w:top w:val="single" w:sz="4" w:space="0" w:color="2F5496" w:themeColor="accent1" w:themeShade="BF"/>
              <w:bottom w:val="single" w:sz="4" w:space="0" w:color="2F5496" w:themeColor="accent1" w:themeShade="BF"/>
            </w:tcBorders>
            <w:vAlign w:val="center"/>
          </w:tcPr>
          <w:p w14:paraId="1C21C216" w14:textId="382B7CA3" w:rsidR="001B65A5" w:rsidRPr="00E05C8A" w:rsidRDefault="007052CB" w:rsidP="00B66812">
            <w:pPr>
              <w:jc w:val="center"/>
              <w:rPr>
                <w:rFonts w:ascii="Verdana" w:hAnsi="Verdana"/>
                <w:b/>
                <w:bCs/>
                <w:noProof/>
                <w:color w:val="366092"/>
                <w:sz w:val="18"/>
                <w:szCs w:val="18"/>
              </w:rPr>
            </w:pPr>
            <w:r w:rsidRPr="00E05C8A">
              <w:rPr>
                <w:rFonts w:ascii="Verdana" w:hAnsi="Verdana" w:cs="Arial"/>
                <w:b/>
                <w:bCs/>
                <w:color w:val="366092"/>
                <w:sz w:val="18"/>
                <w:szCs w:val="18"/>
              </w:rPr>
              <w:t>Apr</w:t>
            </w:r>
            <w:r w:rsidRPr="00E05C8A">
              <w:rPr>
                <w:rFonts w:ascii="Verdana" w:hAnsi="Verdana"/>
                <w:b/>
                <w:bCs/>
                <w:noProof/>
                <w:color w:val="366092"/>
                <w:sz w:val="18"/>
                <w:szCs w:val="18"/>
                <w:lang w:val="el-GR"/>
              </w:rPr>
              <w:t xml:space="preserve"> </w:t>
            </w:r>
            <w:r w:rsidR="001B65A5" w:rsidRPr="00E05C8A">
              <w:rPr>
                <w:rFonts w:ascii="Verdana" w:hAnsi="Verdana"/>
                <w:b/>
                <w:bCs/>
                <w:noProof/>
                <w:color w:val="366092"/>
                <w:sz w:val="18"/>
                <w:szCs w:val="18"/>
                <w:lang w:val="el-GR"/>
              </w:rPr>
              <w:t>202</w:t>
            </w:r>
            <w:r w:rsidR="0062498F" w:rsidRPr="00E05C8A">
              <w:rPr>
                <w:rFonts w:ascii="Verdana" w:hAnsi="Verdana"/>
                <w:b/>
                <w:bCs/>
                <w:noProof/>
                <w:color w:val="366092"/>
                <w:sz w:val="18"/>
                <w:szCs w:val="18"/>
              </w:rPr>
              <w:t>5</w:t>
            </w:r>
            <w:r w:rsidR="001B65A5" w:rsidRPr="00E05C8A">
              <w:rPr>
                <w:rFonts w:ascii="Verdana" w:hAnsi="Verdana"/>
                <w:b/>
                <w:bCs/>
                <w:noProof/>
                <w:color w:val="366092"/>
                <w:sz w:val="18"/>
                <w:szCs w:val="18"/>
                <w:lang w:val="el-GR"/>
              </w:rPr>
              <w:t>/202</w:t>
            </w:r>
            <w:r w:rsidR="0062498F" w:rsidRPr="00E05C8A">
              <w:rPr>
                <w:rFonts w:ascii="Verdana" w:hAnsi="Verdana"/>
                <w:b/>
                <w:bCs/>
                <w:noProof/>
                <w:color w:val="366092"/>
                <w:sz w:val="18"/>
                <w:szCs w:val="18"/>
              </w:rPr>
              <w:t>4</w:t>
            </w:r>
          </w:p>
        </w:tc>
        <w:tc>
          <w:tcPr>
            <w:tcW w:w="1400" w:type="dxa"/>
            <w:tcBorders>
              <w:top w:val="single" w:sz="4" w:space="0" w:color="2F5496" w:themeColor="accent1" w:themeShade="BF"/>
              <w:bottom w:val="single" w:sz="4" w:space="0" w:color="2F5496" w:themeColor="accent1" w:themeShade="BF"/>
            </w:tcBorders>
            <w:vAlign w:val="center"/>
          </w:tcPr>
          <w:p w14:paraId="107842C9" w14:textId="1C94E5AD" w:rsidR="00593DA3" w:rsidRPr="00E05C8A" w:rsidRDefault="001B65A5" w:rsidP="00593DA3">
            <w:pPr>
              <w:jc w:val="center"/>
              <w:rPr>
                <w:rFonts w:ascii="Verdana" w:hAnsi="Verdana"/>
                <w:b/>
                <w:bCs/>
                <w:noProof/>
                <w:color w:val="366092"/>
                <w:sz w:val="18"/>
                <w:szCs w:val="18"/>
              </w:rPr>
            </w:pPr>
            <w:r w:rsidRPr="00E05C8A">
              <w:rPr>
                <w:rFonts w:ascii="Verdana" w:hAnsi="Verdana"/>
                <w:b/>
                <w:bCs/>
                <w:noProof/>
                <w:color w:val="366092"/>
                <w:sz w:val="18"/>
                <w:szCs w:val="18"/>
              </w:rPr>
              <w:t>Jan</w:t>
            </w:r>
            <w:r w:rsidRPr="00E05C8A">
              <w:rPr>
                <w:rFonts w:ascii="Verdana" w:hAnsi="Verdana"/>
                <w:b/>
                <w:bCs/>
                <w:noProof/>
                <w:color w:val="366092"/>
                <w:sz w:val="18"/>
                <w:szCs w:val="18"/>
                <w:lang w:val="el-GR"/>
              </w:rPr>
              <w:t xml:space="preserve"> </w:t>
            </w:r>
            <w:r w:rsidRPr="00E05C8A">
              <w:rPr>
                <w:rFonts w:ascii="Verdana" w:hAnsi="Verdana"/>
                <w:b/>
                <w:bCs/>
                <w:noProof/>
                <w:color w:val="366092"/>
                <w:sz w:val="18"/>
                <w:szCs w:val="18"/>
              </w:rPr>
              <w:t>-</w:t>
            </w:r>
            <w:r w:rsidRPr="00E05C8A">
              <w:rPr>
                <w:rFonts w:ascii="Verdana" w:hAnsi="Verdana"/>
                <w:b/>
                <w:bCs/>
                <w:noProof/>
                <w:color w:val="366092"/>
                <w:sz w:val="18"/>
                <w:szCs w:val="18"/>
                <w:lang w:val="el-GR"/>
              </w:rPr>
              <w:t xml:space="preserve"> </w:t>
            </w:r>
            <w:r w:rsidR="007052CB" w:rsidRPr="00E05C8A">
              <w:rPr>
                <w:rFonts w:ascii="Verdana" w:hAnsi="Verdana" w:cs="Arial"/>
                <w:b/>
                <w:bCs/>
                <w:color w:val="366092"/>
                <w:sz w:val="18"/>
                <w:szCs w:val="18"/>
              </w:rPr>
              <w:t>Apr</w:t>
            </w:r>
            <w:r w:rsidR="007052CB" w:rsidRPr="00E05C8A">
              <w:rPr>
                <w:rFonts w:ascii="Verdana" w:hAnsi="Verdana"/>
                <w:b/>
                <w:bCs/>
                <w:noProof/>
                <w:color w:val="366092"/>
                <w:sz w:val="18"/>
                <w:szCs w:val="18"/>
                <w:lang w:val="el-GR"/>
              </w:rPr>
              <w:t xml:space="preserve"> </w:t>
            </w:r>
            <w:r w:rsidRPr="00E05C8A">
              <w:rPr>
                <w:rFonts w:ascii="Verdana" w:hAnsi="Verdana"/>
                <w:b/>
                <w:bCs/>
                <w:noProof/>
                <w:color w:val="366092"/>
                <w:sz w:val="18"/>
                <w:szCs w:val="18"/>
                <w:lang w:val="el-GR"/>
              </w:rPr>
              <w:t>202</w:t>
            </w:r>
            <w:r w:rsidR="0062498F" w:rsidRPr="00E05C8A">
              <w:rPr>
                <w:rFonts w:ascii="Verdana" w:hAnsi="Verdana"/>
                <w:b/>
                <w:bCs/>
                <w:noProof/>
                <w:color w:val="366092"/>
                <w:sz w:val="18"/>
                <w:szCs w:val="18"/>
              </w:rPr>
              <w:t>5</w:t>
            </w:r>
            <w:r w:rsidRPr="00E05C8A">
              <w:rPr>
                <w:rFonts w:ascii="Verdana" w:hAnsi="Verdana"/>
                <w:b/>
                <w:bCs/>
                <w:noProof/>
                <w:color w:val="366092"/>
                <w:sz w:val="18"/>
                <w:szCs w:val="18"/>
                <w:lang w:val="el-GR"/>
              </w:rPr>
              <w:t>/202</w:t>
            </w:r>
            <w:r w:rsidR="0062498F" w:rsidRPr="00E05C8A">
              <w:rPr>
                <w:rFonts w:ascii="Verdana" w:hAnsi="Verdana"/>
                <w:b/>
                <w:bCs/>
                <w:noProof/>
                <w:color w:val="366092"/>
                <w:sz w:val="18"/>
                <w:szCs w:val="18"/>
              </w:rPr>
              <w:t>4</w:t>
            </w:r>
          </w:p>
        </w:tc>
      </w:tr>
      <w:tr w:rsidR="00E05C8A" w:rsidRPr="00E05C8A" w14:paraId="226D846D" w14:textId="77777777" w:rsidTr="00903BD6">
        <w:trPr>
          <w:trHeight w:val="397"/>
          <w:jc w:val="center"/>
        </w:trPr>
        <w:tc>
          <w:tcPr>
            <w:tcW w:w="2367" w:type="dxa"/>
            <w:tcBorders>
              <w:top w:val="nil"/>
              <w:left w:val="nil"/>
              <w:bottom w:val="nil"/>
              <w:right w:val="nil"/>
            </w:tcBorders>
            <w:shd w:val="clear" w:color="auto" w:fill="auto"/>
            <w:vAlign w:val="center"/>
          </w:tcPr>
          <w:p w14:paraId="4C671A22" w14:textId="0D264C2D" w:rsidR="007052CB" w:rsidRPr="00E05C8A" w:rsidRDefault="007052CB" w:rsidP="007052CB">
            <w:pPr>
              <w:rPr>
                <w:rFonts w:ascii="Verdana" w:hAnsi="Verdana"/>
                <w:noProof/>
                <w:color w:val="366092"/>
                <w:sz w:val="18"/>
                <w:szCs w:val="18"/>
                <w:lang w:val="el-GR"/>
              </w:rPr>
            </w:pPr>
            <w:r w:rsidRPr="00E05C8A">
              <w:rPr>
                <w:rFonts w:ascii="Verdana" w:eastAsia="Times New Roman" w:hAnsi="Verdana" w:cs="Arial"/>
                <w:color w:val="366092"/>
                <w:sz w:val="18"/>
                <w:szCs w:val="18"/>
                <w:lang w:bidi="he-IL"/>
              </w:rPr>
              <w:t>Unleaded Motor Gasoline</w:t>
            </w:r>
          </w:p>
        </w:tc>
        <w:tc>
          <w:tcPr>
            <w:tcW w:w="1097" w:type="dxa"/>
            <w:tcBorders>
              <w:top w:val="single" w:sz="4" w:space="0" w:color="2F5496" w:themeColor="accent1" w:themeShade="BF"/>
              <w:left w:val="nil"/>
              <w:bottom w:val="nil"/>
              <w:right w:val="nil"/>
            </w:tcBorders>
            <w:shd w:val="clear" w:color="000000" w:fill="FFFFFF"/>
            <w:vAlign w:val="center"/>
          </w:tcPr>
          <w:p w14:paraId="2A626431" w14:textId="6AC8B56A" w:rsidR="007052CB" w:rsidRPr="00E05C8A" w:rsidRDefault="007052CB" w:rsidP="007052CB">
            <w:pPr>
              <w:jc w:val="right"/>
              <w:rPr>
                <w:rFonts w:ascii="Verdana" w:hAnsi="Verdana"/>
                <w:noProof/>
                <w:color w:val="366092"/>
                <w:sz w:val="18"/>
                <w:szCs w:val="18"/>
                <w:lang w:val="el-GR"/>
              </w:rPr>
            </w:pPr>
            <w:r w:rsidRPr="00E05C8A">
              <w:rPr>
                <w:color w:val="366092"/>
              </w:rPr>
              <w:t xml:space="preserve"> 27.431   </w:t>
            </w:r>
          </w:p>
        </w:tc>
        <w:tc>
          <w:tcPr>
            <w:tcW w:w="1096" w:type="dxa"/>
            <w:tcBorders>
              <w:top w:val="single" w:sz="4" w:space="0" w:color="2F5496" w:themeColor="accent1" w:themeShade="BF"/>
              <w:left w:val="nil"/>
              <w:bottom w:val="nil"/>
              <w:right w:val="nil"/>
            </w:tcBorders>
            <w:shd w:val="clear" w:color="auto" w:fill="auto"/>
            <w:vAlign w:val="center"/>
          </w:tcPr>
          <w:p w14:paraId="1BAA7D7A" w14:textId="4B6CB144" w:rsidR="007052CB" w:rsidRPr="00E05C8A" w:rsidRDefault="007052CB" w:rsidP="007052CB">
            <w:pPr>
              <w:jc w:val="right"/>
              <w:rPr>
                <w:rFonts w:ascii="Verdana" w:hAnsi="Verdana"/>
                <w:noProof/>
                <w:color w:val="366092"/>
                <w:sz w:val="18"/>
                <w:szCs w:val="18"/>
                <w:lang w:val="el-GR"/>
              </w:rPr>
            </w:pPr>
            <w:r w:rsidRPr="00E05C8A">
              <w:rPr>
                <w:color w:val="366092"/>
              </w:rPr>
              <w:t xml:space="preserve"> 26.641   </w:t>
            </w:r>
          </w:p>
        </w:tc>
        <w:tc>
          <w:tcPr>
            <w:tcW w:w="1269" w:type="dxa"/>
            <w:tcBorders>
              <w:top w:val="single" w:sz="4" w:space="0" w:color="2F5496" w:themeColor="accent1" w:themeShade="BF"/>
              <w:left w:val="nil"/>
              <w:bottom w:val="nil"/>
              <w:right w:val="nil"/>
            </w:tcBorders>
            <w:shd w:val="clear" w:color="auto" w:fill="auto"/>
            <w:vAlign w:val="center"/>
          </w:tcPr>
          <w:p w14:paraId="769C6458" w14:textId="6287B21C" w:rsidR="007052CB" w:rsidRPr="00E05C8A" w:rsidRDefault="007052CB" w:rsidP="007052CB">
            <w:pPr>
              <w:jc w:val="right"/>
              <w:rPr>
                <w:rFonts w:ascii="Verdana" w:hAnsi="Verdana"/>
                <w:noProof/>
                <w:color w:val="366092"/>
                <w:sz w:val="18"/>
                <w:szCs w:val="18"/>
                <w:lang w:val="el-GR"/>
              </w:rPr>
            </w:pPr>
            <w:r w:rsidRPr="00E05C8A">
              <w:rPr>
                <w:color w:val="366092"/>
              </w:rPr>
              <w:t xml:space="preserve"> 104.895   </w:t>
            </w:r>
          </w:p>
        </w:tc>
        <w:tc>
          <w:tcPr>
            <w:tcW w:w="1269" w:type="dxa"/>
            <w:tcBorders>
              <w:top w:val="single" w:sz="4" w:space="0" w:color="2F5496" w:themeColor="accent1" w:themeShade="BF"/>
              <w:left w:val="nil"/>
              <w:bottom w:val="nil"/>
              <w:right w:val="nil"/>
            </w:tcBorders>
            <w:shd w:val="clear" w:color="auto" w:fill="auto"/>
            <w:vAlign w:val="center"/>
          </w:tcPr>
          <w:p w14:paraId="68C2788E" w14:textId="51547EC0" w:rsidR="007052CB" w:rsidRPr="00E05C8A" w:rsidRDefault="007052CB" w:rsidP="007052CB">
            <w:pPr>
              <w:jc w:val="right"/>
              <w:rPr>
                <w:rFonts w:ascii="Verdana" w:hAnsi="Verdana"/>
                <w:noProof/>
                <w:color w:val="366092"/>
                <w:sz w:val="18"/>
                <w:szCs w:val="18"/>
                <w:lang w:val="el-GR"/>
              </w:rPr>
            </w:pPr>
            <w:r w:rsidRPr="00E05C8A">
              <w:rPr>
                <w:color w:val="366092"/>
              </w:rPr>
              <w:t xml:space="preserve"> 103.634   </w:t>
            </w:r>
          </w:p>
        </w:tc>
        <w:tc>
          <w:tcPr>
            <w:tcW w:w="240" w:type="dxa"/>
            <w:vMerge/>
            <w:tcBorders>
              <w:top w:val="single" w:sz="4" w:space="0" w:color="2F5496" w:themeColor="accent1" w:themeShade="BF"/>
            </w:tcBorders>
            <w:vAlign w:val="center"/>
          </w:tcPr>
          <w:p w14:paraId="0797D1B5" w14:textId="77777777" w:rsidR="007052CB" w:rsidRPr="00E05C8A" w:rsidRDefault="007052CB" w:rsidP="007052CB">
            <w:pPr>
              <w:jc w:val="right"/>
              <w:rPr>
                <w:rFonts w:ascii="Verdana" w:hAnsi="Verdana"/>
                <w:noProof/>
                <w:color w:val="366092"/>
                <w:sz w:val="18"/>
                <w:szCs w:val="18"/>
                <w:lang w:val="el-GR"/>
              </w:rPr>
            </w:pPr>
          </w:p>
        </w:tc>
        <w:tc>
          <w:tcPr>
            <w:tcW w:w="1400" w:type="dxa"/>
            <w:tcBorders>
              <w:top w:val="single" w:sz="4" w:space="0" w:color="2F5496" w:themeColor="accent1" w:themeShade="BF"/>
              <w:left w:val="nil"/>
              <w:bottom w:val="nil"/>
              <w:right w:val="nil"/>
            </w:tcBorders>
            <w:shd w:val="clear" w:color="auto" w:fill="auto"/>
            <w:vAlign w:val="center"/>
          </w:tcPr>
          <w:p w14:paraId="6654B25E" w14:textId="536DA27C"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3,0</w:t>
            </w:r>
          </w:p>
        </w:tc>
        <w:tc>
          <w:tcPr>
            <w:tcW w:w="1400" w:type="dxa"/>
            <w:tcBorders>
              <w:top w:val="single" w:sz="4" w:space="0" w:color="2F5496" w:themeColor="accent1" w:themeShade="BF"/>
              <w:left w:val="nil"/>
              <w:bottom w:val="nil"/>
              <w:right w:val="nil"/>
            </w:tcBorders>
            <w:shd w:val="clear" w:color="auto" w:fill="auto"/>
            <w:vAlign w:val="center"/>
          </w:tcPr>
          <w:p w14:paraId="5A4BA108" w14:textId="6FF7F9FF"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1,2</w:t>
            </w:r>
          </w:p>
        </w:tc>
      </w:tr>
      <w:tr w:rsidR="00E05C8A" w:rsidRPr="00E05C8A" w14:paraId="5A2F9963" w14:textId="77777777" w:rsidTr="00903BD6">
        <w:trPr>
          <w:trHeight w:val="397"/>
          <w:jc w:val="center"/>
        </w:trPr>
        <w:tc>
          <w:tcPr>
            <w:tcW w:w="2367" w:type="dxa"/>
            <w:tcBorders>
              <w:top w:val="nil"/>
              <w:left w:val="nil"/>
              <w:bottom w:val="nil"/>
              <w:right w:val="nil"/>
            </w:tcBorders>
            <w:shd w:val="clear" w:color="auto" w:fill="auto"/>
            <w:vAlign w:val="center"/>
          </w:tcPr>
          <w:p w14:paraId="5E7E1F3D" w14:textId="22B717BD" w:rsidR="007052CB" w:rsidRPr="00E05C8A" w:rsidRDefault="007052CB" w:rsidP="007052CB">
            <w:pPr>
              <w:rPr>
                <w:rFonts w:ascii="Verdana" w:hAnsi="Verdana"/>
                <w:noProof/>
                <w:color w:val="366092"/>
                <w:sz w:val="18"/>
                <w:szCs w:val="18"/>
                <w:lang w:val="el-GR"/>
              </w:rPr>
            </w:pPr>
            <w:r w:rsidRPr="00E05C8A">
              <w:rPr>
                <w:rFonts w:ascii="Verdana" w:eastAsia="Times New Roman" w:hAnsi="Verdana" w:cs="Arial"/>
                <w:color w:val="366092"/>
                <w:sz w:val="18"/>
                <w:szCs w:val="18"/>
                <w:lang w:bidi="he-IL"/>
              </w:rPr>
              <w:t>Aviation Gasoline</w:t>
            </w:r>
          </w:p>
        </w:tc>
        <w:tc>
          <w:tcPr>
            <w:tcW w:w="1097" w:type="dxa"/>
            <w:tcBorders>
              <w:top w:val="nil"/>
              <w:left w:val="nil"/>
              <w:bottom w:val="nil"/>
              <w:right w:val="nil"/>
            </w:tcBorders>
            <w:shd w:val="clear" w:color="000000" w:fill="FFFFFF"/>
            <w:vAlign w:val="center"/>
          </w:tcPr>
          <w:p w14:paraId="2781589A" w14:textId="6901D7F1" w:rsidR="007052CB" w:rsidRPr="00E05C8A" w:rsidRDefault="007052CB" w:rsidP="007052CB">
            <w:pPr>
              <w:jc w:val="right"/>
              <w:rPr>
                <w:rFonts w:ascii="Verdana" w:hAnsi="Verdana"/>
                <w:noProof/>
                <w:color w:val="366092"/>
                <w:sz w:val="18"/>
                <w:szCs w:val="18"/>
                <w:lang w:val="el-GR"/>
              </w:rPr>
            </w:pPr>
            <w:r w:rsidRPr="00E05C8A">
              <w:rPr>
                <w:color w:val="366092"/>
              </w:rPr>
              <w:t xml:space="preserve"> 1   </w:t>
            </w:r>
          </w:p>
        </w:tc>
        <w:tc>
          <w:tcPr>
            <w:tcW w:w="1096" w:type="dxa"/>
            <w:tcBorders>
              <w:top w:val="nil"/>
              <w:left w:val="nil"/>
              <w:bottom w:val="nil"/>
              <w:right w:val="nil"/>
            </w:tcBorders>
            <w:shd w:val="clear" w:color="auto" w:fill="auto"/>
            <w:vAlign w:val="center"/>
          </w:tcPr>
          <w:p w14:paraId="2830E5F0" w14:textId="7C42C3E1" w:rsidR="007052CB" w:rsidRPr="00E05C8A" w:rsidRDefault="007052CB" w:rsidP="007052CB">
            <w:pPr>
              <w:jc w:val="right"/>
              <w:rPr>
                <w:rFonts w:ascii="Verdana" w:hAnsi="Verdana"/>
                <w:noProof/>
                <w:color w:val="366092"/>
                <w:sz w:val="18"/>
                <w:szCs w:val="18"/>
                <w:lang w:val="el-GR"/>
              </w:rPr>
            </w:pPr>
            <w:r w:rsidRPr="00E05C8A">
              <w:rPr>
                <w:color w:val="366092"/>
              </w:rPr>
              <w:t xml:space="preserve"> 1   </w:t>
            </w:r>
          </w:p>
        </w:tc>
        <w:tc>
          <w:tcPr>
            <w:tcW w:w="1269" w:type="dxa"/>
            <w:tcBorders>
              <w:top w:val="nil"/>
              <w:left w:val="nil"/>
              <w:bottom w:val="nil"/>
              <w:right w:val="nil"/>
            </w:tcBorders>
            <w:shd w:val="clear" w:color="auto" w:fill="auto"/>
            <w:vAlign w:val="center"/>
          </w:tcPr>
          <w:p w14:paraId="76F1E16E" w14:textId="3FF7F945" w:rsidR="007052CB" w:rsidRPr="00E05C8A" w:rsidRDefault="007052CB" w:rsidP="007052CB">
            <w:pPr>
              <w:jc w:val="right"/>
              <w:rPr>
                <w:rFonts w:ascii="Verdana" w:hAnsi="Verdana"/>
                <w:noProof/>
                <w:color w:val="366092"/>
                <w:sz w:val="18"/>
                <w:szCs w:val="18"/>
                <w:lang w:val="el-GR"/>
              </w:rPr>
            </w:pPr>
            <w:r w:rsidRPr="00E05C8A">
              <w:rPr>
                <w:color w:val="366092"/>
              </w:rPr>
              <w:t xml:space="preserve"> 6   </w:t>
            </w:r>
          </w:p>
        </w:tc>
        <w:tc>
          <w:tcPr>
            <w:tcW w:w="1269" w:type="dxa"/>
            <w:tcBorders>
              <w:top w:val="nil"/>
              <w:left w:val="nil"/>
              <w:bottom w:val="nil"/>
              <w:right w:val="nil"/>
            </w:tcBorders>
            <w:shd w:val="clear" w:color="auto" w:fill="auto"/>
            <w:vAlign w:val="center"/>
          </w:tcPr>
          <w:p w14:paraId="38623079" w14:textId="752FBEE0" w:rsidR="007052CB" w:rsidRPr="00E05C8A" w:rsidRDefault="007052CB" w:rsidP="007052CB">
            <w:pPr>
              <w:jc w:val="right"/>
              <w:rPr>
                <w:rFonts w:ascii="Verdana" w:hAnsi="Verdana"/>
                <w:noProof/>
                <w:color w:val="366092"/>
                <w:sz w:val="18"/>
                <w:szCs w:val="18"/>
                <w:lang w:val="el-GR"/>
              </w:rPr>
            </w:pPr>
            <w:r w:rsidRPr="00E05C8A">
              <w:rPr>
                <w:color w:val="366092"/>
              </w:rPr>
              <w:t xml:space="preserve"> 5   </w:t>
            </w:r>
          </w:p>
        </w:tc>
        <w:tc>
          <w:tcPr>
            <w:tcW w:w="240" w:type="dxa"/>
            <w:vAlign w:val="center"/>
          </w:tcPr>
          <w:p w14:paraId="29EA6102" w14:textId="77777777" w:rsidR="007052CB" w:rsidRPr="00E05C8A" w:rsidRDefault="007052CB" w:rsidP="007052CB">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1F985568" w14:textId="57BE0699"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0,0</w:t>
            </w:r>
          </w:p>
        </w:tc>
        <w:tc>
          <w:tcPr>
            <w:tcW w:w="1400" w:type="dxa"/>
            <w:tcBorders>
              <w:top w:val="nil"/>
              <w:left w:val="nil"/>
              <w:bottom w:val="nil"/>
              <w:right w:val="nil"/>
            </w:tcBorders>
            <w:shd w:val="clear" w:color="auto" w:fill="auto"/>
            <w:vAlign w:val="center"/>
          </w:tcPr>
          <w:p w14:paraId="32113BCB" w14:textId="6E91EA0D"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20,0</w:t>
            </w:r>
          </w:p>
        </w:tc>
      </w:tr>
      <w:tr w:rsidR="00E05C8A" w:rsidRPr="00E05C8A" w14:paraId="32A5DBBF" w14:textId="77777777" w:rsidTr="00903BD6">
        <w:trPr>
          <w:trHeight w:val="397"/>
          <w:jc w:val="center"/>
        </w:trPr>
        <w:tc>
          <w:tcPr>
            <w:tcW w:w="2367" w:type="dxa"/>
            <w:tcBorders>
              <w:top w:val="nil"/>
              <w:left w:val="nil"/>
              <w:bottom w:val="nil"/>
              <w:right w:val="nil"/>
            </w:tcBorders>
            <w:shd w:val="clear" w:color="auto" w:fill="auto"/>
            <w:vAlign w:val="center"/>
          </w:tcPr>
          <w:p w14:paraId="6F1C3F1B" w14:textId="28C6F44D" w:rsidR="007052CB" w:rsidRPr="00E05C8A" w:rsidRDefault="007052CB" w:rsidP="007052CB">
            <w:pPr>
              <w:rPr>
                <w:rFonts w:ascii="Verdana" w:hAnsi="Verdana"/>
                <w:noProof/>
                <w:color w:val="366092"/>
                <w:sz w:val="18"/>
                <w:szCs w:val="18"/>
                <w:lang w:val="el-GR"/>
              </w:rPr>
            </w:pPr>
            <w:r w:rsidRPr="00E05C8A">
              <w:rPr>
                <w:rFonts w:ascii="Verdana" w:eastAsia="Times New Roman" w:hAnsi="Verdana" w:cs="Arial"/>
                <w:color w:val="366092"/>
                <w:sz w:val="18"/>
                <w:szCs w:val="18"/>
                <w:lang w:bidi="he-IL"/>
              </w:rPr>
              <w:t>Aviation Kerosene</w:t>
            </w:r>
          </w:p>
        </w:tc>
        <w:tc>
          <w:tcPr>
            <w:tcW w:w="1097" w:type="dxa"/>
            <w:tcBorders>
              <w:top w:val="nil"/>
              <w:left w:val="nil"/>
              <w:bottom w:val="nil"/>
              <w:right w:val="nil"/>
            </w:tcBorders>
            <w:shd w:val="clear" w:color="000000" w:fill="FFFFFF"/>
            <w:vAlign w:val="center"/>
          </w:tcPr>
          <w:p w14:paraId="29ADEE57" w14:textId="6789C39E" w:rsidR="007052CB" w:rsidRPr="00E05C8A" w:rsidRDefault="007052CB" w:rsidP="007052CB">
            <w:pPr>
              <w:jc w:val="right"/>
              <w:rPr>
                <w:rFonts w:ascii="Verdana" w:hAnsi="Verdana"/>
                <w:noProof/>
                <w:color w:val="366092"/>
                <w:sz w:val="18"/>
                <w:szCs w:val="18"/>
                <w:lang w:val="el-GR"/>
              </w:rPr>
            </w:pPr>
            <w:r w:rsidRPr="00E05C8A">
              <w:rPr>
                <w:color w:val="366092"/>
              </w:rPr>
              <w:t xml:space="preserve"> 28.611   </w:t>
            </w:r>
          </w:p>
        </w:tc>
        <w:tc>
          <w:tcPr>
            <w:tcW w:w="1096" w:type="dxa"/>
            <w:tcBorders>
              <w:top w:val="nil"/>
              <w:left w:val="nil"/>
              <w:bottom w:val="nil"/>
              <w:right w:val="nil"/>
            </w:tcBorders>
            <w:shd w:val="clear" w:color="auto" w:fill="auto"/>
            <w:vAlign w:val="center"/>
          </w:tcPr>
          <w:p w14:paraId="109D3914" w14:textId="640F9318" w:rsidR="007052CB" w:rsidRPr="00E05C8A" w:rsidRDefault="007052CB" w:rsidP="007052CB">
            <w:pPr>
              <w:jc w:val="right"/>
              <w:rPr>
                <w:rFonts w:ascii="Verdana" w:hAnsi="Verdana"/>
                <w:noProof/>
                <w:color w:val="366092"/>
                <w:sz w:val="18"/>
                <w:szCs w:val="18"/>
                <w:lang w:val="el-GR"/>
              </w:rPr>
            </w:pPr>
            <w:r w:rsidRPr="00E05C8A">
              <w:rPr>
                <w:color w:val="366092"/>
              </w:rPr>
              <w:t xml:space="preserve"> 25.386   </w:t>
            </w:r>
          </w:p>
        </w:tc>
        <w:tc>
          <w:tcPr>
            <w:tcW w:w="1269" w:type="dxa"/>
            <w:tcBorders>
              <w:top w:val="nil"/>
              <w:left w:val="nil"/>
              <w:bottom w:val="nil"/>
              <w:right w:val="nil"/>
            </w:tcBorders>
            <w:shd w:val="clear" w:color="auto" w:fill="auto"/>
            <w:vAlign w:val="center"/>
          </w:tcPr>
          <w:p w14:paraId="7AA373F4" w14:textId="1EA66AAA" w:rsidR="007052CB" w:rsidRPr="00E05C8A" w:rsidRDefault="007052CB" w:rsidP="007052CB">
            <w:pPr>
              <w:jc w:val="right"/>
              <w:rPr>
                <w:rFonts w:ascii="Verdana" w:hAnsi="Verdana"/>
                <w:noProof/>
                <w:color w:val="366092"/>
                <w:sz w:val="18"/>
                <w:szCs w:val="18"/>
                <w:lang w:val="el-GR"/>
              </w:rPr>
            </w:pPr>
            <w:r w:rsidRPr="00E05C8A">
              <w:rPr>
                <w:color w:val="366092"/>
              </w:rPr>
              <w:t xml:space="preserve"> 71.644   </w:t>
            </w:r>
          </w:p>
        </w:tc>
        <w:tc>
          <w:tcPr>
            <w:tcW w:w="1269" w:type="dxa"/>
            <w:tcBorders>
              <w:top w:val="nil"/>
              <w:left w:val="nil"/>
              <w:bottom w:val="nil"/>
              <w:right w:val="nil"/>
            </w:tcBorders>
            <w:shd w:val="clear" w:color="auto" w:fill="auto"/>
            <w:vAlign w:val="center"/>
          </w:tcPr>
          <w:p w14:paraId="6BA4409D" w14:textId="29AC5302" w:rsidR="007052CB" w:rsidRPr="00E05C8A" w:rsidRDefault="007052CB" w:rsidP="007052CB">
            <w:pPr>
              <w:jc w:val="right"/>
              <w:rPr>
                <w:rFonts w:ascii="Verdana" w:hAnsi="Verdana"/>
                <w:noProof/>
                <w:color w:val="366092"/>
                <w:sz w:val="18"/>
                <w:szCs w:val="18"/>
                <w:lang w:val="el-GR"/>
              </w:rPr>
            </w:pPr>
            <w:r w:rsidRPr="00E05C8A">
              <w:rPr>
                <w:color w:val="366092"/>
              </w:rPr>
              <w:t xml:space="preserve"> 69.612   </w:t>
            </w:r>
          </w:p>
        </w:tc>
        <w:tc>
          <w:tcPr>
            <w:tcW w:w="240" w:type="dxa"/>
            <w:vAlign w:val="center"/>
          </w:tcPr>
          <w:p w14:paraId="174FB34F" w14:textId="77777777" w:rsidR="007052CB" w:rsidRPr="00E05C8A" w:rsidRDefault="007052CB" w:rsidP="007052CB">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679EA34E" w14:textId="4675AA16"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12,7</w:t>
            </w:r>
          </w:p>
        </w:tc>
        <w:tc>
          <w:tcPr>
            <w:tcW w:w="1400" w:type="dxa"/>
            <w:tcBorders>
              <w:top w:val="nil"/>
              <w:left w:val="nil"/>
              <w:bottom w:val="nil"/>
              <w:right w:val="nil"/>
            </w:tcBorders>
            <w:shd w:val="clear" w:color="auto" w:fill="auto"/>
            <w:vAlign w:val="center"/>
          </w:tcPr>
          <w:p w14:paraId="4BEBDDB9" w14:textId="5B2AB689"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2,9</w:t>
            </w:r>
          </w:p>
        </w:tc>
      </w:tr>
      <w:tr w:rsidR="00E05C8A" w:rsidRPr="00E05C8A" w14:paraId="7DD6B4B4" w14:textId="77777777" w:rsidTr="00903BD6">
        <w:trPr>
          <w:trHeight w:val="397"/>
          <w:jc w:val="center"/>
        </w:trPr>
        <w:tc>
          <w:tcPr>
            <w:tcW w:w="2367" w:type="dxa"/>
            <w:tcBorders>
              <w:top w:val="nil"/>
              <w:left w:val="nil"/>
              <w:bottom w:val="nil"/>
              <w:right w:val="nil"/>
            </w:tcBorders>
            <w:shd w:val="clear" w:color="auto" w:fill="auto"/>
            <w:vAlign w:val="center"/>
          </w:tcPr>
          <w:p w14:paraId="1FEC0A8D" w14:textId="7F2E409E" w:rsidR="007052CB" w:rsidRPr="00E05C8A" w:rsidRDefault="007052CB" w:rsidP="007052CB">
            <w:pPr>
              <w:rPr>
                <w:rFonts w:ascii="Verdana" w:hAnsi="Verdana"/>
                <w:noProof/>
                <w:color w:val="366092"/>
                <w:sz w:val="18"/>
                <w:szCs w:val="18"/>
                <w:lang w:val="el-GR"/>
              </w:rPr>
            </w:pPr>
            <w:r w:rsidRPr="00E05C8A">
              <w:rPr>
                <w:rFonts w:ascii="Verdana" w:eastAsia="Times New Roman" w:hAnsi="Verdana" w:cs="Arial"/>
                <w:color w:val="366092"/>
                <w:sz w:val="18"/>
                <w:szCs w:val="18"/>
                <w:lang w:bidi="he-IL"/>
              </w:rPr>
              <w:t>Kerosene</w:t>
            </w:r>
          </w:p>
        </w:tc>
        <w:tc>
          <w:tcPr>
            <w:tcW w:w="1097" w:type="dxa"/>
            <w:tcBorders>
              <w:top w:val="nil"/>
              <w:left w:val="nil"/>
              <w:bottom w:val="nil"/>
              <w:right w:val="nil"/>
            </w:tcBorders>
            <w:shd w:val="clear" w:color="000000" w:fill="FFFFFF"/>
            <w:vAlign w:val="center"/>
          </w:tcPr>
          <w:p w14:paraId="3D5D86BC" w14:textId="3EA3620F" w:rsidR="007052CB" w:rsidRPr="00E05C8A" w:rsidRDefault="007052CB" w:rsidP="007052CB">
            <w:pPr>
              <w:jc w:val="right"/>
              <w:rPr>
                <w:rFonts w:ascii="Verdana" w:hAnsi="Verdana"/>
                <w:noProof/>
                <w:color w:val="366092"/>
                <w:sz w:val="18"/>
                <w:szCs w:val="18"/>
                <w:lang w:val="el-GR"/>
              </w:rPr>
            </w:pPr>
            <w:r w:rsidRPr="00E05C8A">
              <w:rPr>
                <w:color w:val="366092"/>
              </w:rPr>
              <w:t xml:space="preserve"> 256   </w:t>
            </w:r>
          </w:p>
        </w:tc>
        <w:tc>
          <w:tcPr>
            <w:tcW w:w="1096" w:type="dxa"/>
            <w:tcBorders>
              <w:top w:val="nil"/>
              <w:left w:val="nil"/>
              <w:bottom w:val="nil"/>
              <w:right w:val="nil"/>
            </w:tcBorders>
            <w:shd w:val="clear" w:color="auto" w:fill="auto"/>
            <w:vAlign w:val="center"/>
          </w:tcPr>
          <w:p w14:paraId="4806A706" w14:textId="17FA7A6C" w:rsidR="007052CB" w:rsidRPr="00E05C8A" w:rsidRDefault="007052CB" w:rsidP="007052CB">
            <w:pPr>
              <w:jc w:val="right"/>
              <w:rPr>
                <w:rFonts w:ascii="Verdana" w:hAnsi="Verdana"/>
                <w:noProof/>
                <w:color w:val="366092"/>
                <w:sz w:val="18"/>
                <w:szCs w:val="18"/>
                <w:lang w:val="el-GR"/>
              </w:rPr>
            </w:pPr>
            <w:r w:rsidRPr="00E05C8A">
              <w:rPr>
                <w:color w:val="366092"/>
              </w:rPr>
              <w:t xml:space="preserve"> 140   </w:t>
            </w:r>
          </w:p>
        </w:tc>
        <w:tc>
          <w:tcPr>
            <w:tcW w:w="1269" w:type="dxa"/>
            <w:tcBorders>
              <w:top w:val="nil"/>
              <w:left w:val="nil"/>
              <w:bottom w:val="nil"/>
              <w:right w:val="nil"/>
            </w:tcBorders>
            <w:shd w:val="clear" w:color="auto" w:fill="auto"/>
            <w:vAlign w:val="center"/>
          </w:tcPr>
          <w:p w14:paraId="42426B05" w14:textId="03FF3B04" w:rsidR="007052CB" w:rsidRPr="00E05C8A" w:rsidRDefault="007052CB" w:rsidP="007052CB">
            <w:pPr>
              <w:jc w:val="right"/>
              <w:rPr>
                <w:rFonts w:ascii="Verdana" w:hAnsi="Verdana"/>
                <w:noProof/>
                <w:color w:val="366092"/>
                <w:sz w:val="18"/>
                <w:szCs w:val="18"/>
                <w:lang w:val="el-GR"/>
              </w:rPr>
            </w:pPr>
            <w:r w:rsidRPr="00E05C8A">
              <w:rPr>
                <w:color w:val="366092"/>
              </w:rPr>
              <w:t xml:space="preserve"> 5.794   </w:t>
            </w:r>
          </w:p>
        </w:tc>
        <w:tc>
          <w:tcPr>
            <w:tcW w:w="1269" w:type="dxa"/>
            <w:tcBorders>
              <w:top w:val="nil"/>
              <w:left w:val="nil"/>
              <w:bottom w:val="nil"/>
              <w:right w:val="nil"/>
            </w:tcBorders>
            <w:shd w:val="clear" w:color="auto" w:fill="auto"/>
            <w:vAlign w:val="center"/>
          </w:tcPr>
          <w:p w14:paraId="0910707E" w14:textId="013B5460" w:rsidR="007052CB" w:rsidRPr="00E05C8A" w:rsidRDefault="007052CB" w:rsidP="007052CB">
            <w:pPr>
              <w:jc w:val="right"/>
              <w:rPr>
                <w:rFonts w:ascii="Verdana" w:hAnsi="Verdana"/>
                <w:noProof/>
                <w:color w:val="366092"/>
                <w:sz w:val="18"/>
                <w:szCs w:val="18"/>
                <w:lang w:val="el-GR"/>
              </w:rPr>
            </w:pPr>
            <w:r w:rsidRPr="00E05C8A">
              <w:rPr>
                <w:color w:val="366092"/>
              </w:rPr>
              <w:t xml:space="preserve"> 4.948   </w:t>
            </w:r>
          </w:p>
        </w:tc>
        <w:tc>
          <w:tcPr>
            <w:tcW w:w="240" w:type="dxa"/>
            <w:vAlign w:val="center"/>
          </w:tcPr>
          <w:p w14:paraId="56B844CC" w14:textId="77777777" w:rsidR="007052CB" w:rsidRPr="00E05C8A" w:rsidRDefault="007052CB" w:rsidP="007052CB">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76343AB2" w14:textId="51AE140D"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82,9</w:t>
            </w:r>
          </w:p>
        </w:tc>
        <w:tc>
          <w:tcPr>
            <w:tcW w:w="1400" w:type="dxa"/>
            <w:tcBorders>
              <w:top w:val="nil"/>
              <w:left w:val="nil"/>
              <w:bottom w:val="nil"/>
              <w:right w:val="nil"/>
            </w:tcBorders>
            <w:shd w:val="clear" w:color="auto" w:fill="auto"/>
            <w:vAlign w:val="center"/>
          </w:tcPr>
          <w:p w14:paraId="4CBCB0C8" w14:textId="33BDBBAD"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17,1</w:t>
            </w:r>
          </w:p>
        </w:tc>
      </w:tr>
      <w:tr w:rsidR="00E05C8A" w:rsidRPr="00E05C8A" w14:paraId="7F6366B8" w14:textId="77777777" w:rsidTr="00903BD6">
        <w:trPr>
          <w:trHeight w:val="397"/>
          <w:jc w:val="center"/>
        </w:trPr>
        <w:tc>
          <w:tcPr>
            <w:tcW w:w="2367" w:type="dxa"/>
            <w:tcBorders>
              <w:top w:val="nil"/>
              <w:left w:val="nil"/>
              <w:bottom w:val="nil"/>
              <w:right w:val="nil"/>
            </w:tcBorders>
            <w:shd w:val="clear" w:color="auto" w:fill="auto"/>
            <w:vAlign w:val="center"/>
          </w:tcPr>
          <w:p w14:paraId="30DF6B9B" w14:textId="28B80A13" w:rsidR="007052CB" w:rsidRPr="00E05C8A" w:rsidRDefault="007052CB" w:rsidP="007052CB">
            <w:pPr>
              <w:rPr>
                <w:rFonts w:ascii="Verdana" w:hAnsi="Verdana"/>
                <w:noProof/>
                <w:color w:val="366092"/>
                <w:sz w:val="18"/>
                <w:szCs w:val="18"/>
                <w:lang w:val="el-GR"/>
              </w:rPr>
            </w:pPr>
            <w:r w:rsidRPr="00E05C8A">
              <w:rPr>
                <w:rFonts w:ascii="Verdana" w:eastAsia="Times New Roman" w:hAnsi="Verdana" w:cs="Arial"/>
                <w:color w:val="366092"/>
                <w:sz w:val="18"/>
                <w:szCs w:val="18"/>
                <w:lang w:bidi="he-IL"/>
              </w:rPr>
              <w:t>Road Diesel</w:t>
            </w:r>
          </w:p>
        </w:tc>
        <w:tc>
          <w:tcPr>
            <w:tcW w:w="1097" w:type="dxa"/>
            <w:tcBorders>
              <w:top w:val="nil"/>
              <w:left w:val="nil"/>
              <w:bottom w:val="nil"/>
              <w:right w:val="nil"/>
            </w:tcBorders>
            <w:shd w:val="clear" w:color="000000" w:fill="FFFFFF"/>
            <w:vAlign w:val="center"/>
          </w:tcPr>
          <w:p w14:paraId="062FE9DC" w14:textId="6A4CBAAD" w:rsidR="007052CB" w:rsidRPr="00E05C8A" w:rsidRDefault="007052CB" w:rsidP="007052CB">
            <w:pPr>
              <w:jc w:val="right"/>
              <w:rPr>
                <w:rFonts w:ascii="Verdana" w:hAnsi="Verdana"/>
                <w:noProof/>
                <w:color w:val="366092"/>
                <w:sz w:val="18"/>
                <w:szCs w:val="18"/>
                <w:lang w:val="el-GR"/>
              </w:rPr>
            </w:pPr>
            <w:r w:rsidRPr="00E05C8A">
              <w:rPr>
                <w:color w:val="366092"/>
              </w:rPr>
              <w:t xml:space="preserve"> 28.547   </w:t>
            </w:r>
          </w:p>
        </w:tc>
        <w:tc>
          <w:tcPr>
            <w:tcW w:w="1096" w:type="dxa"/>
            <w:tcBorders>
              <w:top w:val="nil"/>
              <w:left w:val="nil"/>
              <w:bottom w:val="nil"/>
              <w:right w:val="nil"/>
            </w:tcBorders>
            <w:shd w:val="clear" w:color="auto" w:fill="auto"/>
            <w:vAlign w:val="center"/>
          </w:tcPr>
          <w:p w14:paraId="772B5A83" w14:textId="1E6A247F" w:rsidR="007052CB" w:rsidRPr="00E05C8A" w:rsidRDefault="007052CB" w:rsidP="007052CB">
            <w:pPr>
              <w:jc w:val="right"/>
              <w:rPr>
                <w:rFonts w:ascii="Verdana" w:hAnsi="Verdana"/>
                <w:noProof/>
                <w:color w:val="366092"/>
                <w:sz w:val="18"/>
                <w:szCs w:val="18"/>
                <w:lang w:val="el-GR"/>
              </w:rPr>
            </w:pPr>
            <w:r w:rsidRPr="00E05C8A">
              <w:rPr>
                <w:color w:val="366092"/>
              </w:rPr>
              <w:t xml:space="preserve"> 27.782   </w:t>
            </w:r>
          </w:p>
        </w:tc>
        <w:tc>
          <w:tcPr>
            <w:tcW w:w="1269" w:type="dxa"/>
            <w:tcBorders>
              <w:top w:val="nil"/>
              <w:left w:val="nil"/>
              <w:right w:val="nil"/>
            </w:tcBorders>
            <w:shd w:val="clear" w:color="auto" w:fill="auto"/>
            <w:vAlign w:val="center"/>
          </w:tcPr>
          <w:p w14:paraId="553C3944" w14:textId="4640613B" w:rsidR="007052CB" w:rsidRPr="00E05C8A" w:rsidRDefault="007052CB" w:rsidP="007052CB">
            <w:pPr>
              <w:jc w:val="right"/>
              <w:rPr>
                <w:rFonts w:ascii="Verdana" w:hAnsi="Verdana"/>
                <w:noProof/>
                <w:color w:val="366092"/>
                <w:sz w:val="18"/>
                <w:szCs w:val="18"/>
                <w:lang w:val="el-GR"/>
              </w:rPr>
            </w:pPr>
            <w:r w:rsidRPr="00E05C8A">
              <w:rPr>
                <w:color w:val="366092"/>
              </w:rPr>
              <w:t xml:space="preserve"> 109.926   </w:t>
            </w:r>
          </w:p>
        </w:tc>
        <w:tc>
          <w:tcPr>
            <w:tcW w:w="1269" w:type="dxa"/>
            <w:tcBorders>
              <w:top w:val="nil"/>
              <w:left w:val="nil"/>
              <w:bottom w:val="nil"/>
              <w:right w:val="nil"/>
            </w:tcBorders>
            <w:shd w:val="clear" w:color="auto" w:fill="auto"/>
            <w:vAlign w:val="center"/>
          </w:tcPr>
          <w:p w14:paraId="026DD247" w14:textId="3B0E5217" w:rsidR="007052CB" w:rsidRPr="00E05C8A" w:rsidRDefault="007052CB" w:rsidP="007052CB">
            <w:pPr>
              <w:jc w:val="right"/>
              <w:rPr>
                <w:rFonts w:ascii="Verdana" w:hAnsi="Verdana"/>
                <w:noProof/>
                <w:color w:val="366092"/>
                <w:sz w:val="18"/>
                <w:szCs w:val="18"/>
                <w:lang w:val="el-GR"/>
              </w:rPr>
            </w:pPr>
            <w:r w:rsidRPr="00E05C8A">
              <w:rPr>
                <w:color w:val="366092"/>
              </w:rPr>
              <w:t xml:space="preserve"> 110.662   </w:t>
            </w:r>
          </w:p>
        </w:tc>
        <w:tc>
          <w:tcPr>
            <w:tcW w:w="240" w:type="dxa"/>
            <w:vAlign w:val="center"/>
          </w:tcPr>
          <w:p w14:paraId="4A28A8D6" w14:textId="77777777" w:rsidR="007052CB" w:rsidRPr="00E05C8A" w:rsidRDefault="007052CB" w:rsidP="007052CB">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14E1F8AE" w14:textId="7004457D"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2,8</w:t>
            </w:r>
          </w:p>
        </w:tc>
        <w:tc>
          <w:tcPr>
            <w:tcW w:w="1400" w:type="dxa"/>
            <w:tcBorders>
              <w:top w:val="nil"/>
              <w:left w:val="nil"/>
              <w:bottom w:val="nil"/>
              <w:right w:val="nil"/>
            </w:tcBorders>
            <w:shd w:val="clear" w:color="auto" w:fill="auto"/>
            <w:vAlign w:val="center"/>
          </w:tcPr>
          <w:p w14:paraId="3C0DFB03" w14:textId="3ED58A82"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-0,7</w:t>
            </w:r>
          </w:p>
        </w:tc>
      </w:tr>
      <w:tr w:rsidR="00E05C8A" w:rsidRPr="00E05C8A" w14:paraId="2D87C434" w14:textId="77777777" w:rsidTr="00903BD6">
        <w:trPr>
          <w:trHeight w:val="397"/>
          <w:jc w:val="center"/>
        </w:trPr>
        <w:tc>
          <w:tcPr>
            <w:tcW w:w="2367" w:type="dxa"/>
            <w:tcBorders>
              <w:top w:val="nil"/>
              <w:left w:val="nil"/>
              <w:bottom w:val="nil"/>
              <w:right w:val="nil"/>
            </w:tcBorders>
            <w:shd w:val="clear" w:color="auto" w:fill="auto"/>
            <w:vAlign w:val="center"/>
          </w:tcPr>
          <w:p w14:paraId="2368AFBC" w14:textId="100007A9" w:rsidR="007052CB" w:rsidRPr="00E05C8A" w:rsidRDefault="007052CB" w:rsidP="007052CB">
            <w:pPr>
              <w:rPr>
                <w:rFonts w:ascii="Verdana" w:hAnsi="Verdana"/>
                <w:noProof/>
                <w:color w:val="366092"/>
                <w:sz w:val="18"/>
                <w:szCs w:val="18"/>
                <w:lang w:val="el-GR"/>
              </w:rPr>
            </w:pPr>
            <w:r w:rsidRPr="00E05C8A">
              <w:rPr>
                <w:rFonts w:ascii="Verdana" w:eastAsia="Times New Roman" w:hAnsi="Verdana" w:cs="Arial"/>
                <w:color w:val="366092"/>
                <w:sz w:val="18"/>
                <w:szCs w:val="18"/>
                <w:lang w:bidi="he-IL"/>
              </w:rPr>
              <w:t>Gasoil for Agriculture Use</w:t>
            </w:r>
          </w:p>
        </w:tc>
        <w:tc>
          <w:tcPr>
            <w:tcW w:w="1097" w:type="dxa"/>
            <w:tcBorders>
              <w:top w:val="nil"/>
              <w:left w:val="nil"/>
              <w:bottom w:val="nil"/>
              <w:right w:val="nil"/>
            </w:tcBorders>
            <w:shd w:val="clear" w:color="000000" w:fill="FFFFFF"/>
            <w:vAlign w:val="center"/>
          </w:tcPr>
          <w:p w14:paraId="022A81C3" w14:textId="7B32A0C5" w:rsidR="007052CB" w:rsidRPr="00E05C8A" w:rsidRDefault="007052CB" w:rsidP="007052CB">
            <w:pPr>
              <w:jc w:val="right"/>
              <w:rPr>
                <w:rFonts w:ascii="Verdana" w:hAnsi="Verdana"/>
                <w:noProof/>
                <w:color w:val="366092"/>
                <w:sz w:val="18"/>
                <w:szCs w:val="18"/>
                <w:lang w:val="el-GR"/>
              </w:rPr>
            </w:pPr>
            <w:r w:rsidRPr="00E05C8A">
              <w:rPr>
                <w:color w:val="366092"/>
              </w:rPr>
              <w:t xml:space="preserve"> 2.035   </w:t>
            </w:r>
          </w:p>
        </w:tc>
        <w:tc>
          <w:tcPr>
            <w:tcW w:w="1096" w:type="dxa"/>
            <w:tcBorders>
              <w:top w:val="nil"/>
              <w:left w:val="nil"/>
              <w:bottom w:val="nil"/>
              <w:right w:val="nil"/>
            </w:tcBorders>
            <w:shd w:val="clear" w:color="auto" w:fill="auto"/>
            <w:vAlign w:val="center"/>
          </w:tcPr>
          <w:p w14:paraId="33C0CDBD" w14:textId="45065F35" w:rsidR="007052CB" w:rsidRPr="00E05C8A" w:rsidRDefault="007052CB" w:rsidP="007052CB">
            <w:pPr>
              <w:jc w:val="right"/>
              <w:rPr>
                <w:rFonts w:ascii="Verdana" w:hAnsi="Verdana"/>
                <w:noProof/>
                <w:color w:val="366092"/>
                <w:sz w:val="18"/>
                <w:szCs w:val="18"/>
                <w:lang w:val="el-GR"/>
              </w:rPr>
            </w:pPr>
            <w:r w:rsidRPr="00E05C8A">
              <w:rPr>
                <w:color w:val="366092"/>
              </w:rPr>
              <w:t xml:space="preserve"> 2.264   </w:t>
            </w:r>
          </w:p>
        </w:tc>
        <w:tc>
          <w:tcPr>
            <w:tcW w:w="1269" w:type="dxa"/>
            <w:tcBorders>
              <w:top w:val="nil"/>
              <w:left w:val="nil"/>
              <w:bottom w:val="nil"/>
              <w:right w:val="nil"/>
            </w:tcBorders>
            <w:shd w:val="clear" w:color="auto" w:fill="auto"/>
            <w:vAlign w:val="center"/>
          </w:tcPr>
          <w:p w14:paraId="06A19279" w14:textId="4D4E72A0" w:rsidR="007052CB" w:rsidRPr="00E05C8A" w:rsidRDefault="007052CB" w:rsidP="007052CB">
            <w:pPr>
              <w:jc w:val="right"/>
              <w:rPr>
                <w:rFonts w:ascii="Verdana" w:hAnsi="Verdana"/>
                <w:noProof/>
                <w:color w:val="366092"/>
                <w:sz w:val="18"/>
                <w:szCs w:val="18"/>
                <w:lang w:val="el-GR"/>
              </w:rPr>
            </w:pPr>
            <w:r w:rsidRPr="00E05C8A">
              <w:rPr>
                <w:color w:val="366092"/>
              </w:rPr>
              <w:t xml:space="preserve"> 7.812   </w:t>
            </w:r>
          </w:p>
        </w:tc>
        <w:tc>
          <w:tcPr>
            <w:tcW w:w="1269" w:type="dxa"/>
            <w:tcBorders>
              <w:top w:val="nil"/>
              <w:left w:val="nil"/>
              <w:bottom w:val="nil"/>
              <w:right w:val="nil"/>
            </w:tcBorders>
            <w:shd w:val="clear" w:color="auto" w:fill="auto"/>
            <w:vAlign w:val="center"/>
          </w:tcPr>
          <w:p w14:paraId="7F7CE905" w14:textId="1A6C557B" w:rsidR="007052CB" w:rsidRPr="00E05C8A" w:rsidRDefault="007052CB" w:rsidP="007052CB">
            <w:pPr>
              <w:jc w:val="right"/>
              <w:rPr>
                <w:rFonts w:ascii="Verdana" w:hAnsi="Verdana"/>
                <w:noProof/>
                <w:color w:val="366092"/>
                <w:sz w:val="18"/>
                <w:szCs w:val="18"/>
                <w:lang w:val="el-GR"/>
              </w:rPr>
            </w:pPr>
            <w:r w:rsidRPr="00E05C8A">
              <w:rPr>
                <w:color w:val="366092"/>
              </w:rPr>
              <w:t xml:space="preserve"> 7.105   </w:t>
            </w:r>
          </w:p>
        </w:tc>
        <w:tc>
          <w:tcPr>
            <w:tcW w:w="240" w:type="dxa"/>
            <w:vAlign w:val="center"/>
          </w:tcPr>
          <w:p w14:paraId="76046670" w14:textId="77777777" w:rsidR="007052CB" w:rsidRPr="00E05C8A" w:rsidRDefault="007052CB" w:rsidP="007052CB">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21DAE02F" w14:textId="36398A5D"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-10,1</w:t>
            </w:r>
          </w:p>
        </w:tc>
        <w:tc>
          <w:tcPr>
            <w:tcW w:w="1400" w:type="dxa"/>
            <w:tcBorders>
              <w:top w:val="nil"/>
              <w:left w:val="nil"/>
              <w:bottom w:val="nil"/>
              <w:right w:val="nil"/>
            </w:tcBorders>
            <w:shd w:val="clear" w:color="auto" w:fill="auto"/>
            <w:vAlign w:val="center"/>
          </w:tcPr>
          <w:p w14:paraId="64D72A89" w14:textId="7185EDA4"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10,0</w:t>
            </w:r>
          </w:p>
        </w:tc>
      </w:tr>
      <w:tr w:rsidR="00E05C8A" w:rsidRPr="00E05C8A" w14:paraId="437CCD2C" w14:textId="77777777" w:rsidTr="00903BD6">
        <w:trPr>
          <w:trHeight w:val="397"/>
          <w:jc w:val="center"/>
        </w:trPr>
        <w:tc>
          <w:tcPr>
            <w:tcW w:w="2367" w:type="dxa"/>
            <w:tcBorders>
              <w:top w:val="nil"/>
              <w:left w:val="nil"/>
              <w:bottom w:val="nil"/>
              <w:right w:val="nil"/>
            </w:tcBorders>
            <w:shd w:val="clear" w:color="auto" w:fill="auto"/>
            <w:vAlign w:val="center"/>
          </w:tcPr>
          <w:p w14:paraId="4C7ED116" w14:textId="6977DC2D" w:rsidR="007052CB" w:rsidRPr="00E05C8A" w:rsidRDefault="007052CB" w:rsidP="007052CB">
            <w:pPr>
              <w:rPr>
                <w:rFonts w:ascii="Verdana" w:hAnsi="Verdana"/>
                <w:noProof/>
                <w:color w:val="366092"/>
                <w:sz w:val="18"/>
                <w:szCs w:val="18"/>
                <w:lang w:val="el-GR"/>
              </w:rPr>
            </w:pPr>
            <w:r w:rsidRPr="00E05C8A">
              <w:rPr>
                <w:rFonts w:ascii="Verdana" w:eastAsia="Times New Roman" w:hAnsi="Verdana" w:cs="Arial"/>
                <w:color w:val="366092"/>
                <w:sz w:val="18"/>
                <w:szCs w:val="18"/>
                <w:lang w:bidi="he-IL"/>
              </w:rPr>
              <w:t>Heating Gasoil</w:t>
            </w:r>
          </w:p>
        </w:tc>
        <w:tc>
          <w:tcPr>
            <w:tcW w:w="1097" w:type="dxa"/>
            <w:tcBorders>
              <w:top w:val="nil"/>
              <w:left w:val="nil"/>
              <w:bottom w:val="nil"/>
              <w:right w:val="nil"/>
            </w:tcBorders>
            <w:shd w:val="clear" w:color="000000" w:fill="FFFFFF"/>
            <w:vAlign w:val="center"/>
          </w:tcPr>
          <w:p w14:paraId="38281CCC" w14:textId="3C8E076A" w:rsidR="007052CB" w:rsidRPr="00E05C8A" w:rsidRDefault="007052CB" w:rsidP="007052CB">
            <w:pPr>
              <w:jc w:val="right"/>
              <w:rPr>
                <w:rFonts w:ascii="Verdana" w:hAnsi="Verdana"/>
                <w:noProof/>
                <w:color w:val="366092"/>
                <w:sz w:val="18"/>
                <w:szCs w:val="18"/>
                <w:lang w:val="el-GR"/>
              </w:rPr>
            </w:pPr>
            <w:r w:rsidRPr="00E05C8A">
              <w:rPr>
                <w:color w:val="366092"/>
              </w:rPr>
              <w:t xml:space="preserve"> 5.496   </w:t>
            </w:r>
          </w:p>
        </w:tc>
        <w:tc>
          <w:tcPr>
            <w:tcW w:w="1096" w:type="dxa"/>
            <w:tcBorders>
              <w:top w:val="nil"/>
              <w:left w:val="nil"/>
              <w:bottom w:val="nil"/>
              <w:right w:val="nil"/>
            </w:tcBorders>
            <w:shd w:val="clear" w:color="auto" w:fill="auto"/>
            <w:vAlign w:val="center"/>
          </w:tcPr>
          <w:p w14:paraId="75E595D9" w14:textId="59D8BF37" w:rsidR="007052CB" w:rsidRPr="00E05C8A" w:rsidRDefault="007052CB" w:rsidP="007052CB">
            <w:pPr>
              <w:jc w:val="right"/>
              <w:rPr>
                <w:rFonts w:ascii="Verdana" w:hAnsi="Verdana"/>
                <w:noProof/>
                <w:color w:val="366092"/>
                <w:sz w:val="18"/>
                <w:szCs w:val="18"/>
                <w:lang w:val="el-GR"/>
              </w:rPr>
            </w:pPr>
            <w:r w:rsidRPr="00E05C8A">
              <w:rPr>
                <w:color w:val="366092"/>
              </w:rPr>
              <w:t xml:space="preserve"> 4.074   </w:t>
            </w:r>
          </w:p>
        </w:tc>
        <w:tc>
          <w:tcPr>
            <w:tcW w:w="1269" w:type="dxa"/>
            <w:tcBorders>
              <w:top w:val="nil"/>
              <w:left w:val="nil"/>
              <w:bottom w:val="nil"/>
              <w:right w:val="nil"/>
            </w:tcBorders>
            <w:shd w:val="clear" w:color="auto" w:fill="auto"/>
            <w:vAlign w:val="center"/>
          </w:tcPr>
          <w:p w14:paraId="03B29A93" w14:textId="279E175D" w:rsidR="007052CB" w:rsidRPr="00E05C8A" w:rsidRDefault="007052CB" w:rsidP="007052CB">
            <w:pPr>
              <w:jc w:val="right"/>
              <w:rPr>
                <w:rFonts w:ascii="Verdana" w:hAnsi="Verdana"/>
                <w:noProof/>
                <w:color w:val="366092"/>
                <w:sz w:val="18"/>
                <w:szCs w:val="18"/>
                <w:lang w:val="el-GR"/>
              </w:rPr>
            </w:pPr>
            <w:r w:rsidRPr="00E05C8A">
              <w:rPr>
                <w:color w:val="366092"/>
              </w:rPr>
              <w:t xml:space="preserve"> 36.945   </w:t>
            </w:r>
          </w:p>
        </w:tc>
        <w:tc>
          <w:tcPr>
            <w:tcW w:w="1269" w:type="dxa"/>
            <w:tcBorders>
              <w:top w:val="nil"/>
              <w:left w:val="nil"/>
              <w:bottom w:val="nil"/>
              <w:right w:val="nil"/>
            </w:tcBorders>
            <w:shd w:val="clear" w:color="auto" w:fill="auto"/>
            <w:vAlign w:val="center"/>
          </w:tcPr>
          <w:p w14:paraId="75E0ACE0" w14:textId="66753AF4" w:rsidR="007052CB" w:rsidRPr="00E05C8A" w:rsidRDefault="007052CB" w:rsidP="007052CB">
            <w:pPr>
              <w:jc w:val="right"/>
              <w:rPr>
                <w:rFonts w:ascii="Verdana" w:hAnsi="Verdana"/>
                <w:noProof/>
                <w:color w:val="366092"/>
                <w:sz w:val="18"/>
                <w:szCs w:val="18"/>
                <w:lang w:val="el-GR"/>
              </w:rPr>
            </w:pPr>
            <w:r w:rsidRPr="00E05C8A">
              <w:rPr>
                <w:color w:val="366092"/>
              </w:rPr>
              <w:t xml:space="preserve"> 33.428   </w:t>
            </w:r>
          </w:p>
        </w:tc>
        <w:tc>
          <w:tcPr>
            <w:tcW w:w="240" w:type="dxa"/>
            <w:vAlign w:val="center"/>
          </w:tcPr>
          <w:p w14:paraId="47550569" w14:textId="77777777" w:rsidR="007052CB" w:rsidRPr="00E05C8A" w:rsidRDefault="007052CB" w:rsidP="007052CB">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23BD66B0" w14:textId="5D08F156"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34,9</w:t>
            </w:r>
          </w:p>
        </w:tc>
        <w:tc>
          <w:tcPr>
            <w:tcW w:w="1400" w:type="dxa"/>
            <w:tcBorders>
              <w:top w:val="nil"/>
              <w:left w:val="nil"/>
              <w:bottom w:val="nil"/>
              <w:right w:val="nil"/>
            </w:tcBorders>
            <w:shd w:val="clear" w:color="auto" w:fill="auto"/>
            <w:vAlign w:val="center"/>
          </w:tcPr>
          <w:p w14:paraId="341923BD" w14:textId="3F354214"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10,5</w:t>
            </w:r>
          </w:p>
        </w:tc>
      </w:tr>
      <w:tr w:rsidR="00E05C8A" w:rsidRPr="00E05C8A" w14:paraId="71D16480" w14:textId="77777777" w:rsidTr="00903BD6">
        <w:trPr>
          <w:trHeight w:val="397"/>
          <w:jc w:val="center"/>
        </w:trPr>
        <w:tc>
          <w:tcPr>
            <w:tcW w:w="2367" w:type="dxa"/>
            <w:tcBorders>
              <w:top w:val="nil"/>
              <w:left w:val="nil"/>
              <w:bottom w:val="nil"/>
              <w:right w:val="nil"/>
            </w:tcBorders>
            <w:shd w:val="clear" w:color="auto" w:fill="auto"/>
            <w:vAlign w:val="center"/>
          </w:tcPr>
          <w:p w14:paraId="25D7DDB6" w14:textId="4C4F5FD5" w:rsidR="007052CB" w:rsidRPr="00E05C8A" w:rsidRDefault="007052CB" w:rsidP="007052CB">
            <w:pPr>
              <w:rPr>
                <w:rFonts w:ascii="Verdana" w:hAnsi="Verdana"/>
                <w:noProof/>
                <w:color w:val="366092"/>
                <w:sz w:val="18"/>
                <w:szCs w:val="18"/>
                <w:lang w:val="el-GR"/>
              </w:rPr>
            </w:pPr>
            <w:r w:rsidRPr="00E05C8A">
              <w:rPr>
                <w:rFonts w:ascii="Verdana" w:eastAsia="Times New Roman" w:hAnsi="Verdana" w:cs="Arial"/>
                <w:color w:val="366092"/>
                <w:sz w:val="18"/>
                <w:szCs w:val="18"/>
                <w:lang w:bidi="he-IL"/>
              </w:rPr>
              <w:t>Gasoil for Marine use</w:t>
            </w:r>
          </w:p>
        </w:tc>
        <w:tc>
          <w:tcPr>
            <w:tcW w:w="1097" w:type="dxa"/>
            <w:tcBorders>
              <w:top w:val="nil"/>
              <w:left w:val="nil"/>
              <w:bottom w:val="nil"/>
              <w:right w:val="nil"/>
            </w:tcBorders>
            <w:shd w:val="clear" w:color="000000" w:fill="FFFFFF"/>
            <w:vAlign w:val="center"/>
          </w:tcPr>
          <w:p w14:paraId="656168F4" w14:textId="18D02826" w:rsidR="007052CB" w:rsidRPr="00E05C8A" w:rsidRDefault="007052CB" w:rsidP="007052CB">
            <w:pPr>
              <w:jc w:val="right"/>
              <w:rPr>
                <w:rFonts w:ascii="Verdana" w:hAnsi="Verdana"/>
                <w:noProof/>
                <w:color w:val="366092"/>
                <w:sz w:val="18"/>
                <w:szCs w:val="18"/>
                <w:lang w:val="el-GR"/>
              </w:rPr>
            </w:pPr>
            <w:r w:rsidRPr="00E05C8A">
              <w:rPr>
                <w:color w:val="366092"/>
              </w:rPr>
              <w:t xml:space="preserve"> 16.785   </w:t>
            </w:r>
          </w:p>
        </w:tc>
        <w:tc>
          <w:tcPr>
            <w:tcW w:w="1096" w:type="dxa"/>
            <w:tcBorders>
              <w:top w:val="nil"/>
              <w:left w:val="nil"/>
              <w:bottom w:val="nil"/>
              <w:right w:val="nil"/>
            </w:tcBorders>
            <w:shd w:val="clear" w:color="auto" w:fill="auto"/>
            <w:vAlign w:val="center"/>
          </w:tcPr>
          <w:p w14:paraId="650450AC" w14:textId="2C377AC7" w:rsidR="007052CB" w:rsidRPr="00E05C8A" w:rsidRDefault="007052CB" w:rsidP="007052CB">
            <w:pPr>
              <w:jc w:val="right"/>
              <w:rPr>
                <w:rFonts w:ascii="Verdana" w:hAnsi="Verdana"/>
                <w:noProof/>
                <w:color w:val="366092"/>
                <w:sz w:val="18"/>
                <w:szCs w:val="18"/>
                <w:lang w:val="el-GR"/>
              </w:rPr>
            </w:pPr>
            <w:r w:rsidRPr="00E05C8A">
              <w:rPr>
                <w:color w:val="366092"/>
              </w:rPr>
              <w:t xml:space="preserve"> 7.094   </w:t>
            </w:r>
          </w:p>
        </w:tc>
        <w:tc>
          <w:tcPr>
            <w:tcW w:w="1269" w:type="dxa"/>
            <w:tcBorders>
              <w:top w:val="nil"/>
              <w:left w:val="nil"/>
              <w:bottom w:val="nil"/>
              <w:right w:val="nil"/>
            </w:tcBorders>
            <w:shd w:val="clear" w:color="auto" w:fill="auto"/>
            <w:vAlign w:val="center"/>
          </w:tcPr>
          <w:p w14:paraId="7197D63C" w14:textId="0153B4AF" w:rsidR="007052CB" w:rsidRPr="00E05C8A" w:rsidRDefault="007052CB" w:rsidP="007052CB">
            <w:pPr>
              <w:jc w:val="right"/>
              <w:rPr>
                <w:rFonts w:ascii="Verdana" w:hAnsi="Verdana"/>
                <w:noProof/>
                <w:color w:val="366092"/>
                <w:sz w:val="18"/>
                <w:szCs w:val="18"/>
                <w:lang w:val="el-GR"/>
              </w:rPr>
            </w:pPr>
            <w:r w:rsidRPr="00E05C8A">
              <w:rPr>
                <w:color w:val="366092"/>
              </w:rPr>
              <w:t xml:space="preserve"> 36.380   </w:t>
            </w:r>
          </w:p>
        </w:tc>
        <w:tc>
          <w:tcPr>
            <w:tcW w:w="1269" w:type="dxa"/>
            <w:tcBorders>
              <w:top w:val="nil"/>
              <w:left w:val="nil"/>
              <w:bottom w:val="nil"/>
              <w:right w:val="nil"/>
            </w:tcBorders>
            <w:shd w:val="clear" w:color="auto" w:fill="auto"/>
            <w:vAlign w:val="center"/>
          </w:tcPr>
          <w:p w14:paraId="6902B062" w14:textId="61287AF7" w:rsidR="007052CB" w:rsidRPr="00E05C8A" w:rsidRDefault="007052CB" w:rsidP="007052CB">
            <w:pPr>
              <w:jc w:val="right"/>
              <w:rPr>
                <w:rFonts w:ascii="Verdana" w:hAnsi="Verdana"/>
                <w:noProof/>
                <w:color w:val="366092"/>
                <w:sz w:val="18"/>
                <w:szCs w:val="18"/>
                <w:lang w:val="el-GR"/>
              </w:rPr>
            </w:pPr>
            <w:r w:rsidRPr="00E05C8A">
              <w:rPr>
                <w:color w:val="366092"/>
              </w:rPr>
              <w:t xml:space="preserve"> 28.977   </w:t>
            </w:r>
          </w:p>
        </w:tc>
        <w:tc>
          <w:tcPr>
            <w:tcW w:w="240" w:type="dxa"/>
            <w:vAlign w:val="center"/>
          </w:tcPr>
          <w:p w14:paraId="273591B8" w14:textId="77777777" w:rsidR="007052CB" w:rsidRPr="00E05C8A" w:rsidRDefault="007052CB" w:rsidP="007052CB">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4D240BD2" w14:textId="7B42DC97"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136,6</w:t>
            </w:r>
          </w:p>
        </w:tc>
        <w:tc>
          <w:tcPr>
            <w:tcW w:w="1400" w:type="dxa"/>
            <w:tcBorders>
              <w:top w:val="nil"/>
              <w:left w:val="nil"/>
              <w:bottom w:val="nil"/>
              <w:right w:val="nil"/>
            </w:tcBorders>
            <w:shd w:val="clear" w:color="auto" w:fill="auto"/>
            <w:vAlign w:val="center"/>
          </w:tcPr>
          <w:p w14:paraId="7AE6582B" w14:textId="05956F72"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25,5</w:t>
            </w:r>
          </w:p>
        </w:tc>
      </w:tr>
      <w:tr w:rsidR="00E05C8A" w:rsidRPr="00E05C8A" w14:paraId="44E889B5" w14:textId="77777777" w:rsidTr="00903BD6">
        <w:trPr>
          <w:trHeight w:val="397"/>
          <w:jc w:val="center"/>
        </w:trPr>
        <w:tc>
          <w:tcPr>
            <w:tcW w:w="2367" w:type="dxa"/>
            <w:tcBorders>
              <w:top w:val="nil"/>
              <w:left w:val="nil"/>
              <w:bottom w:val="nil"/>
              <w:right w:val="nil"/>
            </w:tcBorders>
            <w:shd w:val="clear" w:color="auto" w:fill="auto"/>
            <w:vAlign w:val="center"/>
          </w:tcPr>
          <w:p w14:paraId="09097E83" w14:textId="020BB50A" w:rsidR="007052CB" w:rsidRPr="00E05C8A" w:rsidRDefault="007052CB" w:rsidP="007052CB">
            <w:pPr>
              <w:rPr>
                <w:rFonts w:ascii="Verdana" w:hAnsi="Verdana"/>
                <w:noProof/>
                <w:color w:val="366092"/>
                <w:sz w:val="18"/>
                <w:szCs w:val="18"/>
                <w:lang w:val="el-GR"/>
              </w:rPr>
            </w:pPr>
            <w:r w:rsidRPr="00E05C8A">
              <w:rPr>
                <w:rFonts w:ascii="Verdana" w:eastAsia="Times New Roman" w:hAnsi="Verdana" w:cs="Arial"/>
                <w:color w:val="366092"/>
                <w:sz w:val="18"/>
                <w:szCs w:val="18"/>
                <w:lang w:bidi="he-IL"/>
              </w:rPr>
              <w:t>Light Fuel Oil</w:t>
            </w:r>
          </w:p>
        </w:tc>
        <w:tc>
          <w:tcPr>
            <w:tcW w:w="1097" w:type="dxa"/>
            <w:tcBorders>
              <w:top w:val="nil"/>
              <w:left w:val="nil"/>
              <w:bottom w:val="nil"/>
              <w:right w:val="nil"/>
            </w:tcBorders>
            <w:shd w:val="clear" w:color="000000" w:fill="FFFFFF"/>
            <w:vAlign w:val="center"/>
          </w:tcPr>
          <w:p w14:paraId="4C470C61" w14:textId="1544EF09" w:rsidR="007052CB" w:rsidRPr="00E05C8A" w:rsidRDefault="007052CB" w:rsidP="007052CB">
            <w:pPr>
              <w:jc w:val="right"/>
              <w:rPr>
                <w:rFonts w:ascii="Verdana" w:hAnsi="Verdana"/>
                <w:noProof/>
                <w:color w:val="366092"/>
                <w:sz w:val="18"/>
                <w:szCs w:val="18"/>
                <w:lang w:val="el-GR"/>
              </w:rPr>
            </w:pPr>
            <w:r w:rsidRPr="00E05C8A">
              <w:rPr>
                <w:color w:val="366092"/>
              </w:rPr>
              <w:t xml:space="preserve"> 5.453   </w:t>
            </w:r>
          </w:p>
        </w:tc>
        <w:tc>
          <w:tcPr>
            <w:tcW w:w="1096" w:type="dxa"/>
            <w:tcBorders>
              <w:top w:val="nil"/>
              <w:left w:val="nil"/>
              <w:bottom w:val="nil"/>
              <w:right w:val="nil"/>
            </w:tcBorders>
            <w:shd w:val="clear" w:color="auto" w:fill="auto"/>
            <w:vAlign w:val="center"/>
          </w:tcPr>
          <w:p w14:paraId="5CB2C632" w14:textId="6F228299" w:rsidR="007052CB" w:rsidRPr="00E05C8A" w:rsidRDefault="007052CB" w:rsidP="007052CB">
            <w:pPr>
              <w:jc w:val="right"/>
              <w:rPr>
                <w:rFonts w:ascii="Verdana" w:hAnsi="Verdana"/>
                <w:noProof/>
                <w:color w:val="366092"/>
                <w:sz w:val="18"/>
                <w:szCs w:val="18"/>
                <w:lang w:val="el-GR"/>
              </w:rPr>
            </w:pPr>
            <w:r w:rsidRPr="00E05C8A">
              <w:rPr>
                <w:color w:val="366092"/>
              </w:rPr>
              <w:t xml:space="preserve"> 12.649   </w:t>
            </w:r>
          </w:p>
        </w:tc>
        <w:tc>
          <w:tcPr>
            <w:tcW w:w="1269" w:type="dxa"/>
            <w:tcBorders>
              <w:top w:val="nil"/>
              <w:left w:val="nil"/>
              <w:bottom w:val="nil"/>
              <w:right w:val="nil"/>
            </w:tcBorders>
            <w:shd w:val="clear" w:color="auto" w:fill="auto"/>
            <w:vAlign w:val="center"/>
          </w:tcPr>
          <w:p w14:paraId="516A47A7" w14:textId="03841DB5" w:rsidR="007052CB" w:rsidRPr="00E05C8A" w:rsidRDefault="007052CB" w:rsidP="007052CB">
            <w:pPr>
              <w:jc w:val="right"/>
              <w:rPr>
                <w:rFonts w:ascii="Verdana" w:hAnsi="Verdana"/>
                <w:noProof/>
                <w:color w:val="366092"/>
                <w:sz w:val="18"/>
                <w:szCs w:val="18"/>
                <w:lang w:val="el-GR"/>
              </w:rPr>
            </w:pPr>
            <w:r w:rsidRPr="00E05C8A">
              <w:rPr>
                <w:color w:val="366092"/>
              </w:rPr>
              <w:t xml:space="preserve"> 35.319   </w:t>
            </w:r>
          </w:p>
        </w:tc>
        <w:tc>
          <w:tcPr>
            <w:tcW w:w="1269" w:type="dxa"/>
            <w:tcBorders>
              <w:top w:val="nil"/>
              <w:left w:val="nil"/>
              <w:bottom w:val="nil"/>
              <w:right w:val="nil"/>
            </w:tcBorders>
            <w:shd w:val="clear" w:color="auto" w:fill="auto"/>
            <w:vAlign w:val="center"/>
          </w:tcPr>
          <w:p w14:paraId="754BA330" w14:textId="5264A533" w:rsidR="007052CB" w:rsidRPr="00E05C8A" w:rsidRDefault="007052CB" w:rsidP="007052CB">
            <w:pPr>
              <w:jc w:val="right"/>
              <w:rPr>
                <w:rFonts w:ascii="Verdana" w:hAnsi="Verdana"/>
                <w:noProof/>
                <w:color w:val="366092"/>
                <w:sz w:val="18"/>
                <w:szCs w:val="18"/>
                <w:lang w:val="el-GR"/>
              </w:rPr>
            </w:pPr>
            <w:r w:rsidRPr="00E05C8A">
              <w:rPr>
                <w:color w:val="366092"/>
              </w:rPr>
              <w:t xml:space="preserve"> 50.666   </w:t>
            </w:r>
          </w:p>
        </w:tc>
        <w:tc>
          <w:tcPr>
            <w:tcW w:w="240" w:type="dxa"/>
            <w:vAlign w:val="center"/>
          </w:tcPr>
          <w:p w14:paraId="71C05A40" w14:textId="77777777" w:rsidR="007052CB" w:rsidRPr="00E05C8A" w:rsidRDefault="007052CB" w:rsidP="007052CB">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7B534627" w14:textId="6795E463"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-56,9</w:t>
            </w:r>
          </w:p>
        </w:tc>
        <w:tc>
          <w:tcPr>
            <w:tcW w:w="1400" w:type="dxa"/>
            <w:tcBorders>
              <w:top w:val="nil"/>
              <w:left w:val="nil"/>
              <w:bottom w:val="nil"/>
              <w:right w:val="nil"/>
            </w:tcBorders>
            <w:shd w:val="clear" w:color="auto" w:fill="auto"/>
            <w:vAlign w:val="center"/>
          </w:tcPr>
          <w:p w14:paraId="44B73E94" w14:textId="2AAE2235"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-30,3</w:t>
            </w:r>
          </w:p>
        </w:tc>
      </w:tr>
      <w:tr w:rsidR="00E05C8A" w:rsidRPr="00E05C8A" w14:paraId="6C02F8A3" w14:textId="77777777" w:rsidTr="00903BD6">
        <w:trPr>
          <w:trHeight w:val="397"/>
          <w:jc w:val="center"/>
        </w:trPr>
        <w:tc>
          <w:tcPr>
            <w:tcW w:w="2367" w:type="dxa"/>
            <w:tcBorders>
              <w:top w:val="nil"/>
              <w:left w:val="nil"/>
              <w:bottom w:val="nil"/>
              <w:right w:val="nil"/>
            </w:tcBorders>
            <w:shd w:val="clear" w:color="auto" w:fill="auto"/>
            <w:vAlign w:val="center"/>
          </w:tcPr>
          <w:p w14:paraId="27F7CBB5" w14:textId="563EA09A" w:rsidR="007052CB" w:rsidRPr="00E05C8A" w:rsidRDefault="007052CB" w:rsidP="007052CB">
            <w:pPr>
              <w:rPr>
                <w:rFonts w:ascii="Verdana" w:hAnsi="Verdana"/>
                <w:noProof/>
                <w:color w:val="366092"/>
                <w:sz w:val="18"/>
                <w:szCs w:val="18"/>
                <w:lang w:val="el-GR"/>
              </w:rPr>
            </w:pPr>
            <w:r w:rsidRPr="00E05C8A">
              <w:rPr>
                <w:rFonts w:ascii="Verdana" w:eastAsia="Times New Roman" w:hAnsi="Verdana" w:cs="Arial"/>
                <w:color w:val="366092"/>
                <w:sz w:val="18"/>
                <w:szCs w:val="18"/>
                <w:lang w:bidi="he-IL"/>
              </w:rPr>
              <w:t>Heavy Fuel Oil</w:t>
            </w:r>
          </w:p>
        </w:tc>
        <w:tc>
          <w:tcPr>
            <w:tcW w:w="1097" w:type="dxa"/>
            <w:tcBorders>
              <w:top w:val="nil"/>
              <w:left w:val="nil"/>
              <w:bottom w:val="nil"/>
              <w:right w:val="nil"/>
            </w:tcBorders>
            <w:shd w:val="clear" w:color="000000" w:fill="FFFFFF"/>
            <w:vAlign w:val="center"/>
          </w:tcPr>
          <w:p w14:paraId="684EA842" w14:textId="14CF8991" w:rsidR="007052CB" w:rsidRPr="00E05C8A" w:rsidRDefault="007052CB" w:rsidP="007052CB">
            <w:pPr>
              <w:jc w:val="right"/>
              <w:rPr>
                <w:rFonts w:ascii="Verdana" w:hAnsi="Verdana"/>
                <w:noProof/>
                <w:color w:val="366092"/>
                <w:sz w:val="18"/>
                <w:szCs w:val="18"/>
                <w:lang w:val="el-GR"/>
              </w:rPr>
            </w:pPr>
            <w:r w:rsidRPr="00E05C8A">
              <w:rPr>
                <w:color w:val="366092"/>
              </w:rPr>
              <w:t xml:space="preserve"> 2.482   </w:t>
            </w:r>
          </w:p>
        </w:tc>
        <w:tc>
          <w:tcPr>
            <w:tcW w:w="1096" w:type="dxa"/>
            <w:tcBorders>
              <w:top w:val="nil"/>
              <w:left w:val="nil"/>
              <w:bottom w:val="nil"/>
              <w:right w:val="nil"/>
            </w:tcBorders>
            <w:shd w:val="clear" w:color="auto" w:fill="auto"/>
            <w:vAlign w:val="center"/>
          </w:tcPr>
          <w:p w14:paraId="2C99CD16" w14:textId="5A592152" w:rsidR="007052CB" w:rsidRPr="00E05C8A" w:rsidRDefault="007052CB" w:rsidP="007052CB">
            <w:pPr>
              <w:jc w:val="right"/>
              <w:rPr>
                <w:rFonts w:ascii="Verdana" w:hAnsi="Verdana"/>
                <w:noProof/>
                <w:color w:val="366092"/>
                <w:sz w:val="18"/>
                <w:szCs w:val="18"/>
                <w:lang w:val="el-GR"/>
              </w:rPr>
            </w:pPr>
            <w:r w:rsidRPr="00E05C8A">
              <w:rPr>
                <w:color w:val="366092"/>
              </w:rPr>
              <w:t xml:space="preserve"> 1.569   </w:t>
            </w:r>
          </w:p>
        </w:tc>
        <w:tc>
          <w:tcPr>
            <w:tcW w:w="1269" w:type="dxa"/>
            <w:tcBorders>
              <w:top w:val="nil"/>
              <w:left w:val="nil"/>
              <w:bottom w:val="nil"/>
              <w:right w:val="nil"/>
            </w:tcBorders>
            <w:shd w:val="clear" w:color="auto" w:fill="auto"/>
            <w:vAlign w:val="center"/>
          </w:tcPr>
          <w:p w14:paraId="235D880E" w14:textId="0B660B70" w:rsidR="007052CB" w:rsidRPr="00E05C8A" w:rsidRDefault="007052CB" w:rsidP="007052CB">
            <w:pPr>
              <w:jc w:val="right"/>
              <w:rPr>
                <w:rFonts w:ascii="Verdana" w:hAnsi="Verdana"/>
                <w:noProof/>
                <w:color w:val="366092"/>
                <w:sz w:val="18"/>
                <w:szCs w:val="18"/>
                <w:lang w:val="el-GR"/>
              </w:rPr>
            </w:pPr>
            <w:r w:rsidRPr="00E05C8A">
              <w:rPr>
                <w:color w:val="366092"/>
              </w:rPr>
              <w:t xml:space="preserve"> 6.244   </w:t>
            </w:r>
          </w:p>
        </w:tc>
        <w:tc>
          <w:tcPr>
            <w:tcW w:w="1269" w:type="dxa"/>
            <w:tcBorders>
              <w:top w:val="nil"/>
              <w:left w:val="nil"/>
              <w:bottom w:val="nil"/>
              <w:right w:val="nil"/>
            </w:tcBorders>
            <w:shd w:val="clear" w:color="auto" w:fill="auto"/>
            <w:vAlign w:val="center"/>
          </w:tcPr>
          <w:p w14:paraId="56394A5D" w14:textId="55BEF14A" w:rsidR="007052CB" w:rsidRPr="00E05C8A" w:rsidRDefault="007052CB" w:rsidP="007052CB">
            <w:pPr>
              <w:jc w:val="right"/>
              <w:rPr>
                <w:rFonts w:ascii="Verdana" w:hAnsi="Verdana"/>
                <w:noProof/>
                <w:color w:val="366092"/>
                <w:sz w:val="18"/>
                <w:szCs w:val="18"/>
                <w:lang w:val="el-GR"/>
              </w:rPr>
            </w:pPr>
            <w:r w:rsidRPr="00E05C8A">
              <w:rPr>
                <w:color w:val="366092"/>
              </w:rPr>
              <w:t xml:space="preserve"> 5.273   </w:t>
            </w:r>
          </w:p>
        </w:tc>
        <w:tc>
          <w:tcPr>
            <w:tcW w:w="240" w:type="dxa"/>
            <w:vAlign w:val="center"/>
          </w:tcPr>
          <w:p w14:paraId="6EE6C459" w14:textId="77777777" w:rsidR="007052CB" w:rsidRPr="00E05C8A" w:rsidRDefault="007052CB" w:rsidP="007052CB">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2607801F" w14:textId="753176CE"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58,2</w:t>
            </w:r>
          </w:p>
        </w:tc>
        <w:tc>
          <w:tcPr>
            <w:tcW w:w="1400" w:type="dxa"/>
            <w:tcBorders>
              <w:top w:val="nil"/>
              <w:left w:val="nil"/>
              <w:bottom w:val="nil"/>
              <w:right w:val="nil"/>
            </w:tcBorders>
            <w:shd w:val="clear" w:color="auto" w:fill="auto"/>
            <w:vAlign w:val="center"/>
          </w:tcPr>
          <w:p w14:paraId="08CAED6C" w14:textId="0DB309E7"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18,4</w:t>
            </w:r>
          </w:p>
        </w:tc>
      </w:tr>
      <w:tr w:rsidR="00E05C8A" w:rsidRPr="00E05C8A" w14:paraId="5D3539F9" w14:textId="77777777" w:rsidTr="00903BD6">
        <w:trPr>
          <w:trHeight w:val="397"/>
          <w:jc w:val="center"/>
        </w:trPr>
        <w:tc>
          <w:tcPr>
            <w:tcW w:w="2367" w:type="dxa"/>
            <w:tcBorders>
              <w:top w:val="nil"/>
              <w:left w:val="nil"/>
              <w:bottom w:val="nil"/>
              <w:right w:val="nil"/>
            </w:tcBorders>
            <w:shd w:val="clear" w:color="auto" w:fill="auto"/>
            <w:vAlign w:val="center"/>
          </w:tcPr>
          <w:p w14:paraId="49096C17" w14:textId="22FBE3CD" w:rsidR="007052CB" w:rsidRPr="00E05C8A" w:rsidRDefault="007052CB" w:rsidP="007052CB">
            <w:pPr>
              <w:rPr>
                <w:rFonts w:ascii="Verdana" w:hAnsi="Verdana"/>
                <w:noProof/>
                <w:color w:val="366092"/>
                <w:sz w:val="18"/>
                <w:szCs w:val="18"/>
                <w:lang w:val="el-GR"/>
              </w:rPr>
            </w:pPr>
            <w:r w:rsidRPr="00E05C8A">
              <w:rPr>
                <w:rFonts w:ascii="Verdana" w:eastAsia="Times New Roman" w:hAnsi="Verdana" w:cs="Arial"/>
                <w:color w:val="366092"/>
                <w:sz w:val="18"/>
                <w:szCs w:val="18"/>
                <w:lang w:bidi="he-IL"/>
              </w:rPr>
              <w:t>Lubricants</w:t>
            </w:r>
          </w:p>
        </w:tc>
        <w:tc>
          <w:tcPr>
            <w:tcW w:w="1097" w:type="dxa"/>
            <w:tcBorders>
              <w:top w:val="nil"/>
              <w:left w:val="nil"/>
              <w:bottom w:val="nil"/>
              <w:right w:val="nil"/>
            </w:tcBorders>
            <w:shd w:val="clear" w:color="000000" w:fill="FFFFFF"/>
            <w:vAlign w:val="center"/>
          </w:tcPr>
          <w:p w14:paraId="09849755" w14:textId="1983FD31" w:rsidR="007052CB" w:rsidRPr="00E05C8A" w:rsidRDefault="007052CB" w:rsidP="007052CB">
            <w:pPr>
              <w:jc w:val="right"/>
              <w:rPr>
                <w:rFonts w:ascii="Verdana" w:hAnsi="Verdana"/>
                <w:noProof/>
                <w:color w:val="366092"/>
                <w:sz w:val="18"/>
                <w:szCs w:val="18"/>
                <w:lang w:val="el-GR"/>
              </w:rPr>
            </w:pPr>
            <w:r w:rsidRPr="00E05C8A">
              <w:rPr>
                <w:color w:val="366092"/>
              </w:rPr>
              <w:t xml:space="preserve"> 279   </w:t>
            </w:r>
          </w:p>
        </w:tc>
        <w:tc>
          <w:tcPr>
            <w:tcW w:w="1096" w:type="dxa"/>
            <w:tcBorders>
              <w:top w:val="nil"/>
              <w:left w:val="nil"/>
              <w:bottom w:val="nil"/>
              <w:right w:val="nil"/>
            </w:tcBorders>
            <w:shd w:val="clear" w:color="auto" w:fill="auto"/>
            <w:vAlign w:val="center"/>
          </w:tcPr>
          <w:p w14:paraId="3EAE5DB6" w14:textId="2C93A99E" w:rsidR="007052CB" w:rsidRPr="00E05C8A" w:rsidRDefault="007052CB" w:rsidP="007052CB">
            <w:pPr>
              <w:jc w:val="right"/>
              <w:rPr>
                <w:rFonts w:ascii="Verdana" w:hAnsi="Verdana"/>
                <w:noProof/>
                <w:color w:val="366092"/>
                <w:sz w:val="18"/>
                <w:szCs w:val="18"/>
                <w:lang w:val="el-GR"/>
              </w:rPr>
            </w:pPr>
            <w:r w:rsidRPr="00E05C8A">
              <w:rPr>
                <w:color w:val="366092"/>
              </w:rPr>
              <w:t xml:space="preserve"> 288   </w:t>
            </w:r>
          </w:p>
        </w:tc>
        <w:tc>
          <w:tcPr>
            <w:tcW w:w="1269" w:type="dxa"/>
            <w:tcBorders>
              <w:top w:val="nil"/>
              <w:left w:val="nil"/>
              <w:bottom w:val="nil"/>
              <w:right w:val="nil"/>
            </w:tcBorders>
            <w:shd w:val="clear" w:color="auto" w:fill="auto"/>
            <w:vAlign w:val="center"/>
          </w:tcPr>
          <w:p w14:paraId="424DF40C" w14:textId="79BE6402" w:rsidR="007052CB" w:rsidRPr="00E05C8A" w:rsidRDefault="007052CB" w:rsidP="007052CB">
            <w:pPr>
              <w:jc w:val="right"/>
              <w:rPr>
                <w:rFonts w:ascii="Verdana" w:hAnsi="Verdana"/>
                <w:noProof/>
                <w:color w:val="366092"/>
                <w:sz w:val="18"/>
                <w:szCs w:val="18"/>
                <w:lang w:val="el-GR"/>
              </w:rPr>
            </w:pPr>
            <w:r w:rsidRPr="00E05C8A">
              <w:rPr>
                <w:color w:val="366092"/>
              </w:rPr>
              <w:t xml:space="preserve"> 1.047   </w:t>
            </w:r>
          </w:p>
        </w:tc>
        <w:tc>
          <w:tcPr>
            <w:tcW w:w="1269" w:type="dxa"/>
            <w:tcBorders>
              <w:top w:val="nil"/>
              <w:left w:val="nil"/>
              <w:bottom w:val="nil"/>
              <w:right w:val="nil"/>
            </w:tcBorders>
            <w:shd w:val="clear" w:color="auto" w:fill="auto"/>
            <w:vAlign w:val="center"/>
          </w:tcPr>
          <w:p w14:paraId="43983D89" w14:textId="28B4F232" w:rsidR="007052CB" w:rsidRPr="00E05C8A" w:rsidRDefault="007052CB" w:rsidP="007052CB">
            <w:pPr>
              <w:jc w:val="right"/>
              <w:rPr>
                <w:rFonts w:ascii="Verdana" w:hAnsi="Verdana"/>
                <w:noProof/>
                <w:color w:val="366092"/>
                <w:sz w:val="18"/>
                <w:szCs w:val="18"/>
                <w:lang w:val="el-GR"/>
              </w:rPr>
            </w:pPr>
            <w:r w:rsidRPr="00E05C8A">
              <w:rPr>
                <w:color w:val="366092"/>
              </w:rPr>
              <w:t xml:space="preserve"> 978   </w:t>
            </w:r>
          </w:p>
        </w:tc>
        <w:tc>
          <w:tcPr>
            <w:tcW w:w="240" w:type="dxa"/>
            <w:vAlign w:val="center"/>
          </w:tcPr>
          <w:p w14:paraId="427D8E0E" w14:textId="77777777" w:rsidR="007052CB" w:rsidRPr="00E05C8A" w:rsidRDefault="007052CB" w:rsidP="007052CB">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65BF8E65" w14:textId="27E28E5B"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-3,1</w:t>
            </w:r>
          </w:p>
        </w:tc>
        <w:tc>
          <w:tcPr>
            <w:tcW w:w="1400" w:type="dxa"/>
            <w:tcBorders>
              <w:top w:val="nil"/>
              <w:left w:val="nil"/>
              <w:bottom w:val="nil"/>
              <w:right w:val="nil"/>
            </w:tcBorders>
            <w:shd w:val="clear" w:color="auto" w:fill="auto"/>
            <w:vAlign w:val="center"/>
          </w:tcPr>
          <w:p w14:paraId="00C69455" w14:textId="65F6C9DB"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7,1</w:t>
            </w:r>
          </w:p>
        </w:tc>
      </w:tr>
      <w:tr w:rsidR="00E05C8A" w:rsidRPr="00E05C8A" w14:paraId="6D1B2E13" w14:textId="77777777" w:rsidTr="00903BD6">
        <w:trPr>
          <w:trHeight w:val="397"/>
          <w:jc w:val="center"/>
        </w:trPr>
        <w:tc>
          <w:tcPr>
            <w:tcW w:w="2367" w:type="dxa"/>
            <w:tcBorders>
              <w:top w:val="nil"/>
              <w:left w:val="nil"/>
              <w:bottom w:val="nil"/>
              <w:right w:val="nil"/>
            </w:tcBorders>
            <w:shd w:val="clear" w:color="auto" w:fill="auto"/>
            <w:vAlign w:val="center"/>
          </w:tcPr>
          <w:p w14:paraId="5DFDEF08" w14:textId="3A2953F0" w:rsidR="007052CB" w:rsidRPr="00E05C8A" w:rsidRDefault="007052CB" w:rsidP="007052CB">
            <w:pPr>
              <w:rPr>
                <w:rFonts w:ascii="Verdana" w:hAnsi="Verdana"/>
                <w:noProof/>
                <w:color w:val="366092"/>
                <w:sz w:val="18"/>
                <w:szCs w:val="18"/>
                <w:lang w:val="el-GR"/>
              </w:rPr>
            </w:pPr>
            <w:r w:rsidRPr="00E05C8A">
              <w:rPr>
                <w:rFonts w:ascii="Verdana" w:eastAsia="Times New Roman" w:hAnsi="Verdana" w:cs="Arial"/>
                <w:color w:val="366092"/>
                <w:sz w:val="18"/>
                <w:szCs w:val="18"/>
                <w:lang w:bidi="he-IL"/>
              </w:rPr>
              <w:t>Asphalt</w:t>
            </w:r>
          </w:p>
        </w:tc>
        <w:tc>
          <w:tcPr>
            <w:tcW w:w="1097" w:type="dxa"/>
            <w:tcBorders>
              <w:top w:val="nil"/>
              <w:left w:val="nil"/>
              <w:bottom w:val="nil"/>
              <w:right w:val="nil"/>
            </w:tcBorders>
            <w:shd w:val="clear" w:color="000000" w:fill="FFFFFF"/>
            <w:vAlign w:val="center"/>
          </w:tcPr>
          <w:p w14:paraId="71C7E896" w14:textId="0DF877AC" w:rsidR="007052CB" w:rsidRPr="00E05C8A" w:rsidRDefault="007052CB" w:rsidP="007052CB">
            <w:pPr>
              <w:jc w:val="right"/>
              <w:rPr>
                <w:rFonts w:ascii="Verdana" w:hAnsi="Verdana"/>
                <w:noProof/>
                <w:color w:val="366092"/>
                <w:sz w:val="18"/>
                <w:szCs w:val="18"/>
                <w:lang w:val="el-GR"/>
              </w:rPr>
            </w:pPr>
            <w:r w:rsidRPr="00E05C8A">
              <w:rPr>
                <w:color w:val="366092"/>
              </w:rPr>
              <w:t xml:space="preserve"> 2.886   </w:t>
            </w:r>
          </w:p>
        </w:tc>
        <w:tc>
          <w:tcPr>
            <w:tcW w:w="1096" w:type="dxa"/>
            <w:tcBorders>
              <w:top w:val="nil"/>
              <w:left w:val="nil"/>
              <w:bottom w:val="nil"/>
              <w:right w:val="nil"/>
            </w:tcBorders>
            <w:shd w:val="clear" w:color="auto" w:fill="auto"/>
            <w:vAlign w:val="center"/>
          </w:tcPr>
          <w:p w14:paraId="1D32A4CD" w14:textId="607F229D" w:rsidR="007052CB" w:rsidRPr="00E05C8A" w:rsidRDefault="007052CB" w:rsidP="007052CB">
            <w:pPr>
              <w:jc w:val="right"/>
              <w:rPr>
                <w:rFonts w:ascii="Verdana" w:hAnsi="Verdana"/>
                <w:noProof/>
                <w:color w:val="366092"/>
                <w:sz w:val="18"/>
                <w:szCs w:val="18"/>
                <w:lang w:val="el-GR"/>
              </w:rPr>
            </w:pPr>
            <w:r w:rsidRPr="00E05C8A">
              <w:rPr>
                <w:color w:val="366092"/>
              </w:rPr>
              <w:t xml:space="preserve"> 3.112   </w:t>
            </w:r>
          </w:p>
        </w:tc>
        <w:tc>
          <w:tcPr>
            <w:tcW w:w="1269" w:type="dxa"/>
            <w:tcBorders>
              <w:top w:val="nil"/>
              <w:left w:val="nil"/>
              <w:bottom w:val="nil"/>
              <w:right w:val="nil"/>
            </w:tcBorders>
            <w:shd w:val="clear" w:color="auto" w:fill="auto"/>
            <w:vAlign w:val="center"/>
          </w:tcPr>
          <w:p w14:paraId="3AE90BF0" w14:textId="5D8DBE28" w:rsidR="007052CB" w:rsidRPr="00E05C8A" w:rsidRDefault="007052CB" w:rsidP="007052CB">
            <w:pPr>
              <w:jc w:val="right"/>
              <w:rPr>
                <w:rFonts w:ascii="Verdana" w:hAnsi="Verdana"/>
                <w:noProof/>
                <w:color w:val="366092"/>
                <w:sz w:val="18"/>
                <w:szCs w:val="18"/>
                <w:lang w:val="el-GR"/>
              </w:rPr>
            </w:pPr>
            <w:r w:rsidRPr="00E05C8A">
              <w:rPr>
                <w:color w:val="366092"/>
              </w:rPr>
              <w:t xml:space="preserve"> 10.722   </w:t>
            </w:r>
          </w:p>
        </w:tc>
        <w:tc>
          <w:tcPr>
            <w:tcW w:w="1269" w:type="dxa"/>
            <w:tcBorders>
              <w:top w:val="nil"/>
              <w:left w:val="nil"/>
              <w:bottom w:val="nil"/>
              <w:right w:val="nil"/>
            </w:tcBorders>
            <w:shd w:val="clear" w:color="auto" w:fill="auto"/>
            <w:vAlign w:val="center"/>
          </w:tcPr>
          <w:p w14:paraId="197BCA42" w14:textId="186E55DE" w:rsidR="007052CB" w:rsidRPr="00E05C8A" w:rsidRDefault="007052CB" w:rsidP="007052CB">
            <w:pPr>
              <w:jc w:val="right"/>
              <w:rPr>
                <w:rFonts w:ascii="Verdana" w:hAnsi="Verdana"/>
                <w:noProof/>
                <w:color w:val="366092"/>
                <w:sz w:val="18"/>
                <w:szCs w:val="18"/>
                <w:lang w:val="el-GR"/>
              </w:rPr>
            </w:pPr>
            <w:r w:rsidRPr="00E05C8A">
              <w:rPr>
                <w:color w:val="366092"/>
              </w:rPr>
              <w:t xml:space="preserve"> 11.432   </w:t>
            </w:r>
          </w:p>
        </w:tc>
        <w:tc>
          <w:tcPr>
            <w:tcW w:w="240" w:type="dxa"/>
            <w:vAlign w:val="center"/>
          </w:tcPr>
          <w:p w14:paraId="3D0B182C" w14:textId="77777777" w:rsidR="007052CB" w:rsidRPr="00E05C8A" w:rsidRDefault="007052CB" w:rsidP="007052CB">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6DAB33C9" w14:textId="7EC4769B"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-7,3</w:t>
            </w:r>
          </w:p>
        </w:tc>
        <w:tc>
          <w:tcPr>
            <w:tcW w:w="1400" w:type="dxa"/>
            <w:tcBorders>
              <w:top w:val="nil"/>
              <w:left w:val="nil"/>
              <w:bottom w:val="nil"/>
              <w:right w:val="nil"/>
            </w:tcBorders>
            <w:shd w:val="clear" w:color="auto" w:fill="auto"/>
            <w:vAlign w:val="center"/>
          </w:tcPr>
          <w:p w14:paraId="5BEEA41F" w14:textId="73869F4E"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-6,2</w:t>
            </w:r>
          </w:p>
        </w:tc>
      </w:tr>
      <w:tr w:rsidR="00E05C8A" w:rsidRPr="00E05C8A" w14:paraId="7A82FD70" w14:textId="77777777" w:rsidTr="00903BD6">
        <w:trPr>
          <w:trHeight w:val="397"/>
          <w:jc w:val="center"/>
        </w:trPr>
        <w:tc>
          <w:tcPr>
            <w:tcW w:w="2367" w:type="dxa"/>
            <w:tcBorders>
              <w:top w:val="nil"/>
              <w:left w:val="nil"/>
              <w:bottom w:val="single" w:sz="4" w:space="0" w:color="2F5496" w:themeColor="accent1" w:themeShade="BF"/>
              <w:right w:val="nil"/>
            </w:tcBorders>
            <w:shd w:val="clear" w:color="auto" w:fill="auto"/>
            <w:vAlign w:val="center"/>
          </w:tcPr>
          <w:p w14:paraId="46C36F8F" w14:textId="5304E7AC" w:rsidR="007052CB" w:rsidRPr="00E05C8A" w:rsidRDefault="007052CB" w:rsidP="007052CB">
            <w:pPr>
              <w:rPr>
                <w:rFonts w:ascii="Verdana" w:hAnsi="Verdana"/>
                <w:noProof/>
                <w:color w:val="366092"/>
                <w:sz w:val="18"/>
                <w:szCs w:val="18"/>
                <w:lang w:val="el-GR"/>
              </w:rPr>
            </w:pPr>
            <w:r w:rsidRPr="00E05C8A">
              <w:rPr>
                <w:rFonts w:ascii="Verdana" w:eastAsia="Times New Roman" w:hAnsi="Verdana" w:cs="Arial"/>
                <w:color w:val="366092"/>
                <w:sz w:val="18"/>
                <w:szCs w:val="18"/>
                <w:lang w:bidi="he-IL"/>
              </w:rPr>
              <w:t>Liquefied Petroleum Gases</w:t>
            </w:r>
          </w:p>
        </w:tc>
        <w:tc>
          <w:tcPr>
            <w:tcW w:w="1097" w:type="dxa"/>
            <w:tcBorders>
              <w:top w:val="nil"/>
              <w:left w:val="nil"/>
              <w:bottom w:val="single" w:sz="4" w:space="0" w:color="2F5496" w:themeColor="accent1" w:themeShade="BF"/>
              <w:right w:val="nil"/>
            </w:tcBorders>
            <w:shd w:val="clear" w:color="000000" w:fill="FFFFFF"/>
            <w:vAlign w:val="center"/>
          </w:tcPr>
          <w:p w14:paraId="529BA713" w14:textId="5E2CB8D1" w:rsidR="007052CB" w:rsidRPr="00E05C8A" w:rsidRDefault="007052CB" w:rsidP="007052CB">
            <w:pPr>
              <w:jc w:val="right"/>
              <w:rPr>
                <w:rFonts w:ascii="Verdana" w:hAnsi="Verdana"/>
                <w:noProof/>
                <w:color w:val="366092"/>
                <w:sz w:val="18"/>
                <w:szCs w:val="18"/>
                <w:lang w:val="el-GR"/>
              </w:rPr>
            </w:pPr>
            <w:r w:rsidRPr="00E05C8A">
              <w:rPr>
                <w:color w:val="366092"/>
              </w:rPr>
              <w:t xml:space="preserve"> 4.385   </w:t>
            </w:r>
          </w:p>
        </w:tc>
        <w:tc>
          <w:tcPr>
            <w:tcW w:w="1096" w:type="dxa"/>
            <w:tcBorders>
              <w:top w:val="nil"/>
              <w:left w:val="nil"/>
              <w:bottom w:val="single" w:sz="4" w:space="0" w:color="2F5496" w:themeColor="accent1" w:themeShade="BF"/>
              <w:right w:val="nil"/>
            </w:tcBorders>
            <w:shd w:val="clear" w:color="auto" w:fill="auto"/>
            <w:vAlign w:val="center"/>
          </w:tcPr>
          <w:p w14:paraId="386573D9" w14:textId="4A4C312B" w:rsidR="007052CB" w:rsidRPr="00E05C8A" w:rsidRDefault="007052CB" w:rsidP="007052CB">
            <w:pPr>
              <w:jc w:val="right"/>
              <w:rPr>
                <w:rFonts w:ascii="Verdana" w:hAnsi="Verdana"/>
                <w:noProof/>
                <w:color w:val="366092"/>
                <w:sz w:val="18"/>
                <w:szCs w:val="18"/>
                <w:lang w:val="el-GR"/>
              </w:rPr>
            </w:pPr>
            <w:r w:rsidRPr="00E05C8A">
              <w:rPr>
                <w:color w:val="366092"/>
              </w:rPr>
              <w:t xml:space="preserve"> 4.028   </w:t>
            </w:r>
          </w:p>
        </w:tc>
        <w:tc>
          <w:tcPr>
            <w:tcW w:w="1269" w:type="dxa"/>
            <w:tcBorders>
              <w:top w:val="nil"/>
              <w:left w:val="nil"/>
              <w:bottom w:val="single" w:sz="4" w:space="0" w:color="2F5496" w:themeColor="accent1" w:themeShade="BF"/>
              <w:right w:val="nil"/>
            </w:tcBorders>
            <w:shd w:val="clear" w:color="auto" w:fill="auto"/>
            <w:vAlign w:val="center"/>
          </w:tcPr>
          <w:p w14:paraId="271A0D8C" w14:textId="766CD411" w:rsidR="007052CB" w:rsidRPr="00E05C8A" w:rsidRDefault="007052CB" w:rsidP="007052CB">
            <w:pPr>
              <w:jc w:val="right"/>
              <w:rPr>
                <w:rFonts w:ascii="Verdana" w:hAnsi="Verdana"/>
                <w:noProof/>
                <w:color w:val="366092"/>
                <w:sz w:val="18"/>
                <w:szCs w:val="18"/>
                <w:lang w:val="el-GR"/>
              </w:rPr>
            </w:pPr>
            <w:r w:rsidRPr="00E05C8A">
              <w:rPr>
                <w:color w:val="366092"/>
              </w:rPr>
              <w:t xml:space="preserve"> 23.516   </w:t>
            </w:r>
          </w:p>
        </w:tc>
        <w:tc>
          <w:tcPr>
            <w:tcW w:w="1269" w:type="dxa"/>
            <w:tcBorders>
              <w:top w:val="nil"/>
              <w:left w:val="nil"/>
              <w:bottom w:val="single" w:sz="4" w:space="0" w:color="2F5496" w:themeColor="accent1" w:themeShade="BF"/>
              <w:right w:val="nil"/>
            </w:tcBorders>
            <w:shd w:val="clear" w:color="auto" w:fill="auto"/>
            <w:vAlign w:val="center"/>
          </w:tcPr>
          <w:p w14:paraId="2D8672CD" w14:textId="3CBF3F29" w:rsidR="007052CB" w:rsidRPr="00E05C8A" w:rsidRDefault="007052CB" w:rsidP="007052CB">
            <w:pPr>
              <w:jc w:val="right"/>
              <w:rPr>
                <w:rFonts w:ascii="Verdana" w:hAnsi="Verdana"/>
                <w:noProof/>
                <w:color w:val="366092"/>
                <w:sz w:val="18"/>
                <w:szCs w:val="18"/>
                <w:lang w:val="el-GR"/>
              </w:rPr>
            </w:pPr>
            <w:r w:rsidRPr="00E05C8A">
              <w:rPr>
                <w:color w:val="366092"/>
              </w:rPr>
              <w:t xml:space="preserve"> 21.639   </w:t>
            </w:r>
          </w:p>
        </w:tc>
        <w:tc>
          <w:tcPr>
            <w:tcW w:w="240" w:type="dxa"/>
            <w:vMerge w:val="restart"/>
            <w:tcBorders>
              <w:bottom w:val="single" w:sz="4" w:space="0" w:color="2F5496" w:themeColor="accent1" w:themeShade="BF"/>
            </w:tcBorders>
            <w:vAlign w:val="center"/>
          </w:tcPr>
          <w:p w14:paraId="19EEEC21" w14:textId="77777777" w:rsidR="007052CB" w:rsidRPr="00E05C8A" w:rsidRDefault="007052CB" w:rsidP="007052CB">
            <w:pPr>
              <w:jc w:val="right"/>
              <w:rPr>
                <w:rFonts w:ascii="Verdana" w:hAnsi="Verdana"/>
                <w:noProof/>
                <w:color w:val="366092"/>
                <w:sz w:val="18"/>
                <w:szCs w:val="18"/>
                <w:lang w:val="el-GR"/>
              </w:rPr>
            </w:pPr>
          </w:p>
        </w:tc>
        <w:tc>
          <w:tcPr>
            <w:tcW w:w="1400" w:type="dxa"/>
            <w:tcBorders>
              <w:top w:val="nil"/>
              <w:left w:val="nil"/>
              <w:bottom w:val="single" w:sz="4" w:space="0" w:color="2F5496" w:themeColor="accent1" w:themeShade="BF"/>
              <w:right w:val="nil"/>
            </w:tcBorders>
            <w:shd w:val="clear" w:color="auto" w:fill="auto"/>
            <w:vAlign w:val="center"/>
          </w:tcPr>
          <w:p w14:paraId="7DE576AA" w14:textId="543B7EE1"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8,9</w:t>
            </w:r>
          </w:p>
        </w:tc>
        <w:tc>
          <w:tcPr>
            <w:tcW w:w="1400" w:type="dxa"/>
            <w:tcBorders>
              <w:top w:val="nil"/>
              <w:left w:val="nil"/>
              <w:bottom w:val="single" w:sz="4" w:space="0" w:color="2F5496" w:themeColor="accent1" w:themeShade="BF"/>
              <w:right w:val="nil"/>
            </w:tcBorders>
            <w:shd w:val="clear" w:color="auto" w:fill="auto"/>
            <w:vAlign w:val="center"/>
          </w:tcPr>
          <w:p w14:paraId="67065F4D" w14:textId="769A2B90"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8,7</w:t>
            </w:r>
          </w:p>
        </w:tc>
      </w:tr>
      <w:tr w:rsidR="00E05C8A" w:rsidRPr="00E05C8A" w14:paraId="5D4FBFD0" w14:textId="77777777" w:rsidTr="007052CB">
        <w:trPr>
          <w:trHeight w:val="542"/>
          <w:jc w:val="center"/>
        </w:trPr>
        <w:tc>
          <w:tcPr>
            <w:tcW w:w="236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E41A42E" w14:textId="3B0F517C" w:rsidR="007052CB" w:rsidRPr="00E05C8A" w:rsidRDefault="007052CB" w:rsidP="007052CB">
            <w:pPr>
              <w:rPr>
                <w:rFonts w:ascii="Verdana" w:hAnsi="Verdana"/>
                <w:b/>
                <w:bCs/>
                <w:color w:val="366092"/>
                <w:sz w:val="18"/>
                <w:szCs w:val="18"/>
              </w:rPr>
            </w:pPr>
            <w:r w:rsidRPr="00E05C8A">
              <w:rPr>
                <w:rFonts w:ascii="Verdana" w:hAnsi="Verdana"/>
                <w:b/>
                <w:bCs/>
                <w:color w:val="366092"/>
                <w:sz w:val="18"/>
                <w:szCs w:val="18"/>
              </w:rPr>
              <w:t>Total</w:t>
            </w: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744412C" w14:textId="1E6D4874" w:rsidR="007052CB" w:rsidRPr="00E05C8A" w:rsidRDefault="007052CB" w:rsidP="007052CB">
            <w:pPr>
              <w:jc w:val="right"/>
              <w:rPr>
                <w:rFonts w:ascii="Verdana" w:hAnsi="Verdana"/>
                <w:b/>
                <w:bCs/>
                <w:color w:val="366092"/>
                <w:sz w:val="18"/>
                <w:szCs w:val="18"/>
              </w:rPr>
            </w:pPr>
            <w:r w:rsidRPr="00E05C8A">
              <w:rPr>
                <w:rFonts w:ascii="Verdana" w:eastAsia="Malgun Gothic" w:hAnsi="Verdana" w:cs="Arial"/>
                <w:b/>
                <w:color w:val="366092"/>
                <w:sz w:val="18"/>
                <w:szCs w:val="18"/>
                <w:lang w:val="el-GR"/>
              </w:rPr>
              <w:t xml:space="preserve">124.647   </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084DAE5" w14:textId="3AAC13F4" w:rsidR="007052CB" w:rsidRPr="00E05C8A" w:rsidRDefault="007052CB" w:rsidP="007052CB">
            <w:pPr>
              <w:jc w:val="right"/>
              <w:rPr>
                <w:rFonts w:ascii="Verdana" w:hAnsi="Verdana"/>
                <w:b/>
                <w:bCs/>
                <w:color w:val="366092"/>
                <w:sz w:val="18"/>
                <w:szCs w:val="18"/>
              </w:rPr>
            </w:pPr>
            <w:r w:rsidRPr="00E05C8A">
              <w:rPr>
                <w:rFonts w:ascii="Verdana" w:eastAsia="Malgun Gothic" w:hAnsi="Verdana" w:cs="Arial"/>
                <w:b/>
                <w:color w:val="366092"/>
                <w:sz w:val="18"/>
                <w:szCs w:val="18"/>
                <w:lang w:val="el-GR"/>
              </w:rPr>
              <w:t xml:space="preserve">115.028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3CE7FF2" w14:textId="18332167" w:rsidR="007052CB" w:rsidRPr="00E05C8A" w:rsidRDefault="007052CB" w:rsidP="007052CB">
            <w:pPr>
              <w:jc w:val="right"/>
              <w:rPr>
                <w:rFonts w:ascii="Verdana" w:hAnsi="Verdana"/>
                <w:b/>
                <w:bCs/>
                <w:color w:val="366092"/>
                <w:sz w:val="18"/>
                <w:szCs w:val="18"/>
              </w:rPr>
            </w:pPr>
            <w:r w:rsidRPr="00E05C8A">
              <w:rPr>
                <w:rFonts w:ascii="Verdana" w:eastAsia="Malgun Gothic" w:hAnsi="Verdana" w:cs="Arial"/>
                <w:b/>
                <w:color w:val="366092"/>
                <w:sz w:val="18"/>
                <w:szCs w:val="18"/>
                <w:lang w:val="el-GR"/>
              </w:rPr>
              <w:t xml:space="preserve"> 450.250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040F5151" w14:textId="03A43B73" w:rsidR="007052CB" w:rsidRPr="00E05C8A" w:rsidRDefault="007052CB" w:rsidP="007052CB">
            <w:pPr>
              <w:jc w:val="right"/>
              <w:rPr>
                <w:rFonts w:ascii="Verdana" w:hAnsi="Verdana"/>
                <w:b/>
                <w:bCs/>
                <w:color w:val="366092"/>
                <w:sz w:val="18"/>
                <w:szCs w:val="18"/>
              </w:rPr>
            </w:pPr>
            <w:r w:rsidRPr="00E05C8A">
              <w:rPr>
                <w:rFonts w:ascii="Verdana" w:eastAsia="Malgun Gothic" w:hAnsi="Verdana" w:cs="Arial"/>
                <w:b/>
                <w:color w:val="366092"/>
                <w:sz w:val="18"/>
                <w:szCs w:val="18"/>
                <w:lang w:val="el-GR"/>
              </w:rPr>
              <w:t xml:space="preserve"> 448.359   </w:t>
            </w:r>
          </w:p>
        </w:tc>
        <w:tc>
          <w:tcPr>
            <w:tcW w:w="240" w:type="dxa"/>
            <w:vMerge/>
            <w:tcBorders>
              <w:top w:val="single" w:sz="4" w:space="0" w:color="2F5496" w:themeColor="accent1" w:themeShade="BF"/>
              <w:bottom w:val="single" w:sz="4" w:space="0" w:color="2F5496" w:themeColor="accent1" w:themeShade="BF"/>
            </w:tcBorders>
            <w:vAlign w:val="center"/>
          </w:tcPr>
          <w:p w14:paraId="5AAF4134" w14:textId="77777777" w:rsidR="007052CB" w:rsidRPr="00E05C8A" w:rsidRDefault="007052CB" w:rsidP="007052CB">
            <w:pPr>
              <w:jc w:val="center"/>
              <w:rPr>
                <w:rFonts w:ascii="Verdana" w:hAnsi="Verdana"/>
                <w:b/>
                <w:bCs/>
                <w:color w:val="366092"/>
                <w:sz w:val="18"/>
                <w:szCs w:val="18"/>
              </w:rPr>
            </w:pP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0654B40" w14:textId="4E1E1702" w:rsidR="007052CB" w:rsidRPr="00E05C8A" w:rsidRDefault="007052CB" w:rsidP="007052CB">
            <w:pPr>
              <w:jc w:val="center"/>
              <w:rPr>
                <w:rFonts w:ascii="Verdana" w:hAnsi="Verdana"/>
                <w:b/>
                <w:bCs/>
                <w:color w:val="366092"/>
                <w:sz w:val="18"/>
                <w:szCs w:val="18"/>
              </w:rPr>
            </w:pPr>
            <w:r w:rsidRPr="00E05C8A">
              <w:rPr>
                <w:rFonts w:ascii="Verdana" w:eastAsia="Malgun Gothic" w:hAnsi="Verdana" w:cs="Arial"/>
                <w:b/>
                <w:color w:val="366092"/>
                <w:sz w:val="18"/>
                <w:szCs w:val="18"/>
                <w:lang w:val="el-GR"/>
              </w:rPr>
              <w:t>8,4</w:t>
            </w: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904842F" w14:textId="1989F971" w:rsidR="007052CB" w:rsidRPr="00E05C8A" w:rsidRDefault="007052CB" w:rsidP="007052CB">
            <w:pPr>
              <w:jc w:val="center"/>
              <w:rPr>
                <w:rFonts w:ascii="Verdana" w:hAnsi="Verdana"/>
                <w:b/>
                <w:bCs/>
                <w:color w:val="366092"/>
                <w:sz w:val="18"/>
                <w:szCs w:val="18"/>
              </w:rPr>
            </w:pPr>
            <w:r w:rsidRPr="00E05C8A">
              <w:rPr>
                <w:rFonts w:ascii="Verdana" w:eastAsia="Malgun Gothic" w:hAnsi="Verdana" w:cs="Arial"/>
                <w:b/>
                <w:color w:val="366092"/>
                <w:sz w:val="18"/>
                <w:szCs w:val="18"/>
                <w:lang w:val="el-GR"/>
              </w:rPr>
              <w:t>0,4</w:t>
            </w:r>
          </w:p>
        </w:tc>
      </w:tr>
    </w:tbl>
    <w:p w14:paraId="243C779A" w14:textId="77777777" w:rsidR="00FD2566" w:rsidRDefault="00FD2566" w:rsidP="00DB1D54">
      <w:pPr>
        <w:jc w:val="both"/>
        <w:rPr>
          <w:rFonts w:ascii="Verdana" w:eastAsia="Times New Roman" w:hAnsi="Verdana" w:cs="Arial"/>
          <w:noProof/>
          <w:color w:val="000000"/>
          <w:sz w:val="18"/>
          <w:szCs w:val="18"/>
          <w:shd w:val="clear" w:color="auto" w:fill="FFFFFF"/>
        </w:rPr>
      </w:pPr>
    </w:p>
    <w:p w14:paraId="70B1F714" w14:textId="77777777" w:rsidR="00FD2566" w:rsidRDefault="00FD2566" w:rsidP="00DB1D54">
      <w:pPr>
        <w:jc w:val="both"/>
        <w:rPr>
          <w:rFonts w:ascii="Verdana" w:eastAsia="Times New Roman" w:hAnsi="Verdana" w:cs="Arial"/>
          <w:noProof/>
          <w:color w:val="000000"/>
          <w:sz w:val="18"/>
          <w:szCs w:val="18"/>
          <w:shd w:val="clear" w:color="auto" w:fill="FFFFFF"/>
        </w:rPr>
      </w:pPr>
    </w:p>
    <w:p w14:paraId="75E47619" w14:textId="77777777" w:rsidR="00FD2566" w:rsidRDefault="00FD2566" w:rsidP="00DB1D54">
      <w:pPr>
        <w:jc w:val="both"/>
        <w:rPr>
          <w:rFonts w:ascii="Verdana" w:eastAsia="Times New Roman" w:hAnsi="Verdana" w:cs="Arial"/>
          <w:noProof/>
          <w:color w:val="000000"/>
          <w:sz w:val="18"/>
          <w:szCs w:val="18"/>
          <w:shd w:val="clear" w:color="auto" w:fill="FFFFFF"/>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7"/>
        <w:gridCol w:w="1097"/>
        <w:gridCol w:w="1096"/>
        <w:gridCol w:w="1269"/>
        <w:gridCol w:w="1269"/>
        <w:gridCol w:w="240"/>
        <w:gridCol w:w="1400"/>
        <w:gridCol w:w="1400"/>
      </w:tblGrid>
      <w:tr w:rsidR="00E05C8A" w:rsidRPr="00E05C8A" w14:paraId="7CA81C56" w14:textId="77777777" w:rsidTr="00E37FC6">
        <w:trPr>
          <w:trHeight w:val="284"/>
          <w:jc w:val="center"/>
        </w:trPr>
        <w:tc>
          <w:tcPr>
            <w:tcW w:w="2367" w:type="dxa"/>
            <w:tcBorders>
              <w:bottom w:val="single" w:sz="4" w:space="0" w:color="2F5496" w:themeColor="accent1" w:themeShade="BF"/>
            </w:tcBorders>
            <w:vAlign w:val="center"/>
          </w:tcPr>
          <w:p w14:paraId="2B5F84E9" w14:textId="5F09F33E" w:rsidR="00FD2566" w:rsidRPr="00E05C8A" w:rsidRDefault="00FD2566" w:rsidP="00EB6A33">
            <w:pPr>
              <w:rPr>
                <w:rFonts w:ascii="Verdana" w:hAnsi="Verdana"/>
                <w:b/>
                <w:bCs/>
                <w:noProof/>
                <w:color w:val="366092"/>
                <w:sz w:val="18"/>
                <w:szCs w:val="18"/>
                <w:lang w:val="el-GR"/>
              </w:rPr>
            </w:pPr>
            <w:r w:rsidRPr="00E05C8A">
              <w:rPr>
                <w:rFonts w:ascii="Verdana" w:hAnsi="Verdana"/>
                <w:b/>
                <w:bCs/>
                <w:noProof/>
                <w:color w:val="366092"/>
                <w:sz w:val="18"/>
                <w:szCs w:val="18"/>
              </w:rPr>
              <w:t>Table</w:t>
            </w:r>
            <w:r w:rsidRPr="00E05C8A">
              <w:rPr>
                <w:rFonts w:ascii="Verdana" w:hAnsi="Verdana"/>
                <w:b/>
                <w:bCs/>
                <w:noProof/>
                <w:color w:val="366092"/>
                <w:sz w:val="18"/>
                <w:szCs w:val="18"/>
                <w:lang w:val="el-GR"/>
              </w:rPr>
              <w:t xml:space="preserve"> 2</w:t>
            </w:r>
          </w:p>
        </w:tc>
        <w:tc>
          <w:tcPr>
            <w:tcW w:w="1097" w:type="dxa"/>
            <w:tcBorders>
              <w:bottom w:val="single" w:sz="4" w:space="0" w:color="2F5496" w:themeColor="accent1" w:themeShade="BF"/>
            </w:tcBorders>
          </w:tcPr>
          <w:p w14:paraId="0A7AB9D6" w14:textId="77777777" w:rsidR="00FD2566" w:rsidRPr="00E05C8A" w:rsidRDefault="00FD2566" w:rsidP="00EB6A33">
            <w:pPr>
              <w:jc w:val="both"/>
              <w:rPr>
                <w:rFonts w:ascii="Verdana" w:hAnsi="Verdana"/>
                <w:noProof/>
                <w:color w:val="366092"/>
                <w:sz w:val="18"/>
                <w:szCs w:val="18"/>
                <w:lang w:val="el-GR"/>
              </w:rPr>
            </w:pPr>
          </w:p>
        </w:tc>
        <w:tc>
          <w:tcPr>
            <w:tcW w:w="1096" w:type="dxa"/>
            <w:tcBorders>
              <w:bottom w:val="single" w:sz="4" w:space="0" w:color="2F5496" w:themeColor="accent1" w:themeShade="BF"/>
            </w:tcBorders>
          </w:tcPr>
          <w:p w14:paraId="2137FC65" w14:textId="77777777" w:rsidR="00FD2566" w:rsidRPr="00E05C8A" w:rsidRDefault="00FD2566" w:rsidP="00EB6A33">
            <w:pPr>
              <w:jc w:val="both"/>
              <w:rPr>
                <w:rFonts w:ascii="Verdana" w:hAnsi="Verdana"/>
                <w:noProof/>
                <w:color w:val="366092"/>
                <w:sz w:val="18"/>
                <w:szCs w:val="18"/>
                <w:lang w:val="el-GR"/>
              </w:rPr>
            </w:pPr>
          </w:p>
        </w:tc>
        <w:tc>
          <w:tcPr>
            <w:tcW w:w="1269" w:type="dxa"/>
            <w:tcBorders>
              <w:bottom w:val="single" w:sz="4" w:space="0" w:color="2F5496" w:themeColor="accent1" w:themeShade="BF"/>
            </w:tcBorders>
          </w:tcPr>
          <w:p w14:paraId="7BDA6443" w14:textId="77777777" w:rsidR="00FD2566" w:rsidRPr="00E05C8A" w:rsidRDefault="00FD2566" w:rsidP="00EB6A33">
            <w:pPr>
              <w:jc w:val="both"/>
              <w:rPr>
                <w:rFonts w:ascii="Verdana" w:hAnsi="Verdana"/>
                <w:noProof/>
                <w:color w:val="366092"/>
                <w:sz w:val="18"/>
                <w:szCs w:val="18"/>
                <w:lang w:val="el-GR"/>
              </w:rPr>
            </w:pPr>
          </w:p>
        </w:tc>
        <w:tc>
          <w:tcPr>
            <w:tcW w:w="1269" w:type="dxa"/>
            <w:tcBorders>
              <w:bottom w:val="single" w:sz="4" w:space="0" w:color="2F5496" w:themeColor="accent1" w:themeShade="BF"/>
            </w:tcBorders>
          </w:tcPr>
          <w:p w14:paraId="044559AD" w14:textId="77777777" w:rsidR="00FD2566" w:rsidRPr="00E05C8A" w:rsidRDefault="00FD2566" w:rsidP="00EB6A33">
            <w:pPr>
              <w:jc w:val="both"/>
              <w:rPr>
                <w:rFonts w:ascii="Verdana" w:hAnsi="Verdana"/>
                <w:noProof/>
                <w:color w:val="366092"/>
                <w:sz w:val="18"/>
                <w:szCs w:val="18"/>
                <w:lang w:val="el-GR"/>
              </w:rPr>
            </w:pPr>
          </w:p>
        </w:tc>
        <w:tc>
          <w:tcPr>
            <w:tcW w:w="240" w:type="dxa"/>
            <w:tcBorders>
              <w:bottom w:val="single" w:sz="4" w:space="0" w:color="44546A" w:themeColor="text2"/>
            </w:tcBorders>
          </w:tcPr>
          <w:p w14:paraId="738DF4B9" w14:textId="77777777" w:rsidR="00FD2566" w:rsidRPr="00E05C8A" w:rsidRDefault="00FD2566" w:rsidP="00EB6A33">
            <w:pPr>
              <w:jc w:val="both"/>
              <w:rPr>
                <w:rFonts w:ascii="Verdana" w:hAnsi="Verdana"/>
                <w:noProof/>
                <w:color w:val="366092"/>
                <w:sz w:val="18"/>
                <w:szCs w:val="18"/>
                <w:lang w:val="el-GR"/>
              </w:rPr>
            </w:pPr>
          </w:p>
        </w:tc>
        <w:tc>
          <w:tcPr>
            <w:tcW w:w="1400" w:type="dxa"/>
            <w:tcBorders>
              <w:bottom w:val="single" w:sz="4" w:space="0" w:color="2F5496" w:themeColor="accent1" w:themeShade="BF"/>
            </w:tcBorders>
          </w:tcPr>
          <w:p w14:paraId="27F243DC" w14:textId="77777777" w:rsidR="00FD2566" w:rsidRPr="00E05C8A" w:rsidRDefault="00FD2566" w:rsidP="00EB6A33">
            <w:pPr>
              <w:jc w:val="both"/>
              <w:rPr>
                <w:rFonts w:ascii="Verdana" w:hAnsi="Verdana"/>
                <w:noProof/>
                <w:color w:val="366092"/>
                <w:sz w:val="18"/>
                <w:szCs w:val="18"/>
                <w:lang w:val="el-GR"/>
              </w:rPr>
            </w:pPr>
          </w:p>
        </w:tc>
        <w:tc>
          <w:tcPr>
            <w:tcW w:w="1400" w:type="dxa"/>
            <w:tcBorders>
              <w:bottom w:val="single" w:sz="4" w:space="0" w:color="2F5496" w:themeColor="accent1" w:themeShade="BF"/>
            </w:tcBorders>
          </w:tcPr>
          <w:p w14:paraId="14222312" w14:textId="77777777" w:rsidR="00FD2566" w:rsidRPr="00E05C8A" w:rsidRDefault="00FD2566" w:rsidP="00EB6A33">
            <w:pPr>
              <w:jc w:val="both"/>
              <w:rPr>
                <w:rFonts w:ascii="Verdana" w:hAnsi="Verdana"/>
                <w:noProof/>
                <w:color w:val="366092"/>
                <w:sz w:val="18"/>
                <w:szCs w:val="18"/>
                <w:lang w:val="el-GR"/>
              </w:rPr>
            </w:pPr>
          </w:p>
        </w:tc>
      </w:tr>
      <w:tr w:rsidR="00E05C8A" w:rsidRPr="00E05C8A" w14:paraId="6EB9B7C0" w14:textId="77777777" w:rsidTr="00992EAC">
        <w:trPr>
          <w:trHeight w:val="510"/>
          <w:jc w:val="center"/>
        </w:trPr>
        <w:tc>
          <w:tcPr>
            <w:tcW w:w="2367" w:type="dxa"/>
            <w:vMerge w:val="restart"/>
            <w:tcBorders>
              <w:top w:val="single" w:sz="4" w:space="0" w:color="2F5496" w:themeColor="accent1" w:themeShade="BF"/>
              <w:bottom w:val="single" w:sz="4" w:space="0" w:color="2F5496" w:themeColor="accent1" w:themeShade="BF"/>
            </w:tcBorders>
            <w:vAlign w:val="center"/>
          </w:tcPr>
          <w:p w14:paraId="5854154A" w14:textId="12053B63" w:rsidR="00FD2566" w:rsidRPr="00E05C8A" w:rsidRDefault="00FD2566" w:rsidP="00EB6A33">
            <w:pPr>
              <w:jc w:val="center"/>
              <w:rPr>
                <w:rFonts w:ascii="Verdana" w:hAnsi="Verdana"/>
                <w:b/>
                <w:bCs/>
                <w:noProof/>
                <w:color w:val="366092"/>
                <w:sz w:val="18"/>
                <w:szCs w:val="18"/>
                <w:lang w:val="el-GR"/>
              </w:rPr>
            </w:pPr>
            <w:proofErr w:type="spellStart"/>
            <w:r w:rsidRPr="00E05C8A">
              <w:rPr>
                <w:rFonts w:ascii="Verdana" w:eastAsia="Times New Roman" w:hAnsi="Verdana" w:cs="Arial"/>
                <w:b/>
                <w:bCs/>
                <w:color w:val="366092"/>
                <w:sz w:val="18"/>
                <w:szCs w:val="18"/>
                <w:lang w:val="el-GR" w:bidi="he-IL"/>
              </w:rPr>
              <w:t>Products</w:t>
            </w:r>
            <w:proofErr w:type="spellEnd"/>
          </w:p>
        </w:tc>
        <w:tc>
          <w:tcPr>
            <w:tcW w:w="4731" w:type="dxa"/>
            <w:gridSpan w:val="4"/>
            <w:tcBorders>
              <w:top w:val="single" w:sz="4" w:space="0" w:color="2F5496" w:themeColor="accent1" w:themeShade="BF"/>
              <w:bottom w:val="single" w:sz="4" w:space="0" w:color="2F5496" w:themeColor="accent1" w:themeShade="BF"/>
            </w:tcBorders>
            <w:vAlign w:val="center"/>
          </w:tcPr>
          <w:p w14:paraId="2CC19013" w14:textId="7AF5A2C6" w:rsidR="00FD2566" w:rsidRPr="00E05C8A" w:rsidRDefault="00FD2566" w:rsidP="00EB6A33">
            <w:pPr>
              <w:jc w:val="center"/>
              <w:rPr>
                <w:rFonts w:ascii="Verdana" w:hAnsi="Verdana"/>
                <w:b/>
                <w:bCs/>
                <w:noProof/>
                <w:color w:val="366092"/>
                <w:sz w:val="18"/>
                <w:szCs w:val="18"/>
              </w:rPr>
            </w:pPr>
            <w:r w:rsidRPr="00E05C8A">
              <w:rPr>
                <w:rFonts w:ascii="Verdana" w:eastAsia="Malgun Gothic" w:hAnsi="Verdana" w:cs="Arial"/>
                <w:b/>
                <w:bCs/>
                <w:color w:val="366092"/>
                <w:sz w:val="18"/>
                <w:szCs w:val="18"/>
              </w:rPr>
              <w:t xml:space="preserve">Sales from Filling Stations </w:t>
            </w:r>
            <w:r w:rsidRPr="00E05C8A">
              <w:rPr>
                <w:rFonts w:ascii="Verdana" w:hAnsi="Verdana"/>
                <w:b/>
                <w:bCs/>
                <w:noProof/>
                <w:color w:val="366092"/>
                <w:sz w:val="18"/>
                <w:szCs w:val="18"/>
              </w:rPr>
              <w:t>(</w:t>
            </w:r>
            <w:r w:rsidR="001B65A5" w:rsidRPr="00E05C8A">
              <w:rPr>
                <w:rFonts w:ascii="Verdana" w:hAnsi="Verdana"/>
                <w:b/>
                <w:bCs/>
                <w:noProof/>
                <w:color w:val="366092"/>
                <w:sz w:val="18"/>
                <w:szCs w:val="18"/>
              </w:rPr>
              <w:t>tonnes</w:t>
            </w:r>
            <w:r w:rsidRPr="00E05C8A">
              <w:rPr>
                <w:rFonts w:ascii="Verdana" w:hAnsi="Verdana"/>
                <w:b/>
                <w:bCs/>
                <w:noProof/>
                <w:color w:val="366092"/>
                <w:sz w:val="18"/>
                <w:szCs w:val="18"/>
              </w:rPr>
              <w:t>)</w:t>
            </w:r>
          </w:p>
        </w:tc>
        <w:tc>
          <w:tcPr>
            <w:tcW w:w="240" w:type="dxa"/>
            <w:tcBorders>
              <w:top w:val="single" w:sz="4" w:space="0" w:color="44546A" w:themeColor="text2"/>
            </w:tcBorders>
            <w:vAlign w:val="center"/>
          </w:tcPr>
          <w:p w14:paraId="18C0FABA" w14:textId="77777777" w:rsidR="00FD2566" w:rsidRPr="00E05C8A" w:rsidRDefault="00FD2566" w:rsidP="00EB6A33">
            <w:pPr>
              <w:jc w:val="center"/>
              <w:rPr>
                <w:rFonts w:ascii="Verdana" w:hAnsi="Verdana"/>
                <w:b/>
                <w:bCs/>
                <w:noProof/>
                <w:color w:val="366092"/>
                <w:sz w:val="18"/>
                <w:szCs w:val="18"/>
              </w:rPr>
            </w:pPr>
          </w:p>
        </w:tc>
        <w:tc>
          <w:tcPr>
            <w:tcW w:w="2800" w:type="dxa"/>
            <w:gridSpan w:val="2"/>
            <w:tcBorders>
              <w:top w:val="single" w:sz="4" w:space="0" w:color="2F5496" w:themeColor="accent1" w:themeShade="BF"/>
              <w:bottom w:val="single" w:sz="4" w:space="0" w:color="2F5496" w:themeColor="accent1" w:themeShade="BF"/>
            </w:tcBorders>
            <w:vAlign w:val="center"/>
          </w:tcPr>
          <w:p w14:paraId="7FEA0E19" w14:textId="77777777" w:rsidR="00FD2566" w:rsidRPr="00E05C8A" w:rsidRDefault="00FD2566" w:rsidP="00EB6A33">
            <w:pPr>
              <w:jc w:val="center"/>
              <w:rPr>
                <w:rFonts w:ascii="Verdana" w:eastAsia="Times New Roman" w:hAnsi="Verdana" w:cs="Arial"/>
                <w:b/>
                <w:bCs/>
                <w:color w:val="366092"/>
                <w:sz w:val="18"/>
                <w:szCs w:val="18"/>
                <w:lang w:bidi="he-IL"/>
              </w:rPr>
            </w:pPr>
            <w:r w:rsidRPr="00E05C8A">
              <w:rPr>
                <w:rFonts w:ascii="Verdana" w:eastAsia="Times New Roman" w:hAnsi="Verdana" w:cs="Arial"/>
                <w:b/>
                <w:bCs/>
                <w:color w:val="366092"/>
                <w:sz w:val="18"/>
                <w:szCs w:val="18"/>
                <w:lang w:val="el-GR" w:bidi="he-IL"/>
              </w:rPr>
              <w:t xml:space="preserve">Percentage Change </w:t>
            </w:r>
            <w:r w:rsidRPr="00E05C8A">
              <w:rPr>
                <w:rFonts w:ascii="Verdana" w:eastAsia="Times New Roman" w:hAnsi="Verdana" w:cs="Arial"/>
                <w:b/>
                <w:bCs/>
                <w:color w:val="366092"/>
                <w:sz w:val="18"/>
                <w:szCs w:val="18"/>
                <w:lang w:bidi="he-IL"/>
              </w:rPr>
              <w:t xml:space="preserve"> </w:t>
            </w:r>
          </w:p>
          <w:p w14:paraId="3E5F7289" w14:textId="696918D2" w:rsidR="00FD2566" w:rsidRPr="00E05C8A" w:rsidRDefault="00FD2566" w:rsidP="00EB6A33">
            <w:pPr>
              <w:jc w:val="center"/>
              <w:rPr>
                <w:rFonts w:ascii="Verdana" w:hAnsi="Verdana"/>
                <w:b/>
                <w:bCs/>
                <w:noProof/>
                <w:color w:val="366092"/>
                <w:sz w:val="18"/>
                <w:szCs w:val="18"/>
                <w:lang w:val="el-GR"/>
              </w:rPr>
            </w:pPr>
            <w:r w:rsidRPr="00E05C8A">
              <w:rPr>
                <w:rFonts w:ascii="Verdana" w:hAnsi="Verdana"/>
                <w:b/>
                <w:bCs/>
                <w:noProof/>
                <w:color w:val="366092"/>
                <w:sz w:val="18"/>
                <w:szCs w:val="18"/>
                <w:lang w:val="el-GR"/>
              </w:rPr>
              <w:t>(%)</w:t>
            </w:r>
          </w:p>
        </w:tc>
      </w:tr>
      <w:tr w:rsidR="00E05C8A" w:rsidRPr="00E05C8A" w14:paraId="6AB0745F" w14:textId="77777777" w:rsidTr="00992EAC">
        <w:trPr>
          <w:trHeight w:val="624"/>
          <w:jc w:val="center"/>
        </w:trPr>
        <w:tc>
          <w:tcPr>
            <w:tcW w:w="2367" w:type="dxa"/>
            <w:vMerge/>
            <w:tcBorders>
              <w:top w:val="single" w:sz="4" w:space="0" w:color="2F5496" w:themeColor="accent1" w:themeShade="BF"/>
              <w:bottom w:val="single" w:sz="4" w:space="0" w:color="2F5496" w:themeColor="accent1" w:themeShade="BF"/>
            </w:tcBorders>
          </w:tcPr>
          <w:p w14:paraId="65CB339D" w14:textId="77777777" w:rsidR="007052CB" w:rsidRPr="00E05C8A" w:rsidRDefault="007052CB" w:rsidP="007052CB">
            <w:pPr>
              <w:jc w:val="both"/>
              <w:rPr>
                <w:rFonts w:ascii="Verdana" w:hAnsi="Verdana"/>
                <w:noProof/>
                <w:color w:val="366092"/>
                <w:sz w:val="18"/>
                <w:szCs w:val="18"/>
                <w:lang w:val="el-GR"/>
              </w:rPr>
            </w:pP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F87F968" w14:textId="128400AC" w:rsidR="007052CB" w:rsidRPr="00E05C8A" w:rsidRDefault="007052CB" w:rsidP="007052CB">
            <w:pPr>
              <w:jc w:val="center"/>
              <w:rPr>
                <w:rFonts w:ascii="Verdana" w:hAnsi="Verdana"/>
                <w:b/>
                <w:bCs/>
                <w:noProof/>
                <w:color w:val="366092"/>
                <w:sz w:val="18"/>
                <w:szCs w:val="18"/>
                <w:lang w:val="el-GR"/>
              </w:rPr>
            </w:pPr>
            <w:r w:rsidRPr="00E05C8A">
              <w:rPr>
                <w:rFonts w:ascii="Verdana" w:hAnsi="Verdana" w:cs="Arial"/>
                <w:b/>
                <w:bCs/>
                <w:color w:val="366092"/>
                <w:sz w:val="18"/>
                <w:szCs w:val="18"/>
              </w:rPr>
              <w:t xml:space="preserve"> Apr</w:t>
            </w:r>
            <w:r w:rsidRPr="00E05C8A">
              <w:rPr>
                <w:rFonts w:ascii="Verdana" w:hAnsi="Verdana" w:cs="Arial"/>
                <w:b/>
                <w:bCs/>
                <w:color w:val="366092"/>
                <w:sz w:val="18"/>
                <w:szCs w:val="18"/>
              </w:rPr>
              <w:br/>
              <w:t>2025</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5E77EFC8" w14:textId="2DCB0CC3" w:rsidR="007052CB" w:rsidRPr="00E05C8A" w:rsidRDefault="007052CB" w:rsidP="007052CB">
            <w:pPr>
              <w:jc w:val="center"/>
              <w:rPr>
                <w:rFonts w:ascii="Verdana" w:hAnsi="Verdana"/>
                <w:b/>
                <w:bCs/>
                <w:noProof/>
                <w:color w:val="366092"/>
                <w:sz w:val="18"/>
                <w:szCs w:val="18"/>
                <w:lang w:val="el-GR"/>
              </w:rPr>
            </w:pPr>
            <w:r w:rsidRPr="00E05C8A">
              <w:rPr>
                <w:rFonts w:ascii="Verdana" w:hAnsi="Verdana" w:cs="Arial"/>
                <w:b/>
                <w:bCs/>
                <w:color w:val="366092"/>
                <w:sz w:val="18"/>
                <w:szCs w:val="18"/>
              </w:rPr>
              <w:t>Apr</w:t>
            </w:r>
            <w:r w:rsidRPr="00E05C8A">
              <w:rPr>
                <w:rFonts w:ascii="Verdana" w:hAnsi="Verdana" w:cs="Arial"/>
                <w:b/>
                <w:bCs/>
                <w:color w:val="366092"/>
                <w:sz w:val="18"/>
                <w:szCs w:val="18"/>
              </w:rPr>
              <w:br/>
              <w:t>2024</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A36C62A" w14:textId="0669F1A6" w:rsidR="007052CB" w:rsidRPr="00E05C8A" w:rsidRDefault="007052CB" w:rsidP="007052CB">
            <w:pPr>
              <w:jc w:val="center"/>
              <w:rPr>
                <w:rFonts w:ascii="Verdana" w:hAnsi="Verdana"/>
                <w:b/>
                <w:bCs/>
                <w:noProof/>
                <w:color w:val="366092"/>
                <w:sz w:val="18"/>
                <w:szCs w:val="18"/>
                <w:lang w:val="el-GR"/>
              </w:rPr>
            </w:pPr>
            <w:r w:rsidRPr="00E05C8A">
              <w:rPr>
                <w:rFonts w:ascii="Verdana" w:hAnsi="Verdana" w:cs="Arial"/>
                <w:b/>
                <w:bCs/>
                <w:color w:val="366092"/>
                <w:sz w:val="18"/>
                <w:szCs w:val="18"/>
              </w:rPr>
              <w:t xml:space="preserve">Jan - Apr 2025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25D126C" w14:textId="1A233150" w:rsidR="007052CB" w:rsidRPr="00E05C8A" w:rsidRDefault="007052CB" w:rsidP="007052CB">
            <w:pPr>
              <w:jc w:val="center"/>
              <w:rPr>
                <w:rFonts w:ascii="Verdana" w:hAnsi="Verdana"/>
                <w:b/>
                <w:bCs/>
                <w:noProof/>
                <w:color w:val="366092"/>
                <w:sz w:val="18"/>
                <w:szCs w:val="18"/>
                <w:lang w:val="el-GR"/>
              </w:rPr>
            </w:pPr>
            <w:r w:rsidRPr="00E05C8A">
              <w:rPr>
                <w:rFonts w:ascii="Verdana" w:hAnsi="Verdana" w:cs="Arial"/>
                <w:b/>
                <w:bCs/>
                <w:color w:val="366092"/>
                <w:sz w:val="18"/>
                <w:szCs w:val="18"/>
              </w:rPr>
              <w:t xml:space="preserve">Jan - Apr 2024                    </w:t>
            </w:r>
          </w:p>
        </w:tc>
        <w:tc>
          <w:tcPr>
            <w:tcW w:w="240" w:type="dxa"/>
            <w:vMerge w:val="restart"/>
            <w:vAlign w:val="center"/>
          </w:tcPr>
          <w:p w14:paraId="279898EB" w14:textId="77777777" w:rsidR="007052CB" w:rsidRPr="00E05C8A" w:rsidRDefault="007052CB" w:rsidP="007052CB">
            <w:pPr>
              <w:jc w:val="center"/>
              <w:rPr>
                <w:rFonts w:ascii="Verdana" w:hAnsi="Verdana"/>
                <w:b/>
                <w:bCs/>
                <w:noProof/>
                <w:color w:val="366092"/>
                <w:sz w:val="18"/>
                <w:szCs w:val="18"/>
                <w:lang w:val="el-GR"/>
              </w:rPr>
            </w:pPr>
          </w:p>
        </w:tc>
        <w:tc>
          <w:tcPr>
            <w:tcW w:w="1400" w:type="dxa"/>
            <w:tcBorders>
              <w:top w:val="single" w:sz="4" w:space="0" w:color="2F5496" w:themeColor="accent1" w:themeShade="BF"/>
              <w:bottom w:val="single" w:sz="4" w:space="0" w:color="2F5496" w:themeColor="accent1" w:themeShade="BF"/>
            </w:tcBorders>
            <w:vAlign w:val="center"/>
          </w:tcPr>
          <w:p w14:paraId="44D65143" w14:textId="3191348F" w:rsidR="007052CB" w:rsidRPr="00E05C8A" w:rsidRDefault="007052CB" w:rsidP="007052CB">
            <w:pPr>
              <w:jc w:val="center"/>
              <w:rPr>
                <w:rFonts w:ascii="Verdana" w:hAnsi="Verdana"/>
                <w:b/>
                <w:bCs/>
                <w:noProof/>
                <w:color w:val="366092"/>
                <w:sz w:val="18"/>
                <w:szCs w:val="18"/>
                <w:lang w:val="el-GR"/>
              </w:rPr>
            </w:pPr>
            <w:r w:rsidRPr="00E05C8A">
              <w:rPr>
                <w:rFonts w:ascii="Verdana" w:hAnsi="Verdana" w:cs="Arial"/>
                <w:b/>
                <w:bCs/>
                <w:color w:val="366092"/>
                <w:sz w:val="18"/>
                <w:szCs w:val="18"/>
              </w:rPr>
              <w:t>Apr</w:t>
            </w:r>
            <w:r w:rsidRPr="00E05C8A">
              <w:rPr>
                <w:rFonts w:ascii="Verdana" w:hAnsi="Verdana"/>
                <w:b/>
                <w:bCs/>
                <w:noProof/>
                <w:color w:val="366092"/>
                <w:sz w:val="18"/>
                <w:szCs w:val="18"/>
                <w:lang w:val="el-GR"/>
              </w:rPr>
              <w:t xml:space="preserve"> 202</w:t>
            </w:r>
            <w:r w:rsidRPr="00E05C8A">
              <w:rPr>
                <w:rFonts w:ascii="Verdana" w:hAnsi="Verdana"/>
                <w:b/>
                <w:bCs/>
                <w:noProof/>
                <w:color w:val="366092"/>
                <w:sz w:val="18"/>
                <w:szCs w:val="18"/>
              </w:rPr>
              <w:t>5</w:t>
            </w:r>
            <w:r w:rsidRPr="00E05C8A">
              <w:rPr>
                <w:rFonts w:ascii="Verdana" w:hAnsi="Verdana"/>
                <w:b/>
                <w:bCs/>
                <w:noProof/>
                <w:color w:val="366092"/>
                <w:sz w:val="18"/>
                <w:szCs w:val="18"/>
                <w:lang w:val="el-GR"/>
              </w:rPr>
              <w:t>/202</w:t>
            </w:r>
            <w:r w:rsidRPr="00E05C8A">
              <w:rPr>
                <w:rFonts w:ascii="Verdana" w:hAnsi="Verdana"/>
                <w:b/>
                <w:bCs/>
                <w:noProof/>
                <w:color w:val="366092"/>
                <w:sz w:val="18"/>
                <w:szCs w:val="18"/>
              </w:rPr>
              <w:t>4</w:t>
            </w:r>
          </w:p>
        </w:tc>
        <w:tc>
          <w:tcPr>
            <w:tcW w:w="1400" w:type="dxa"/>
            <w:tcBorders>
              <w:top w:val="single" w:sz="4" w:space="0" w:color="2F5496" w:themeColor="accent1" w:themeShade="BF"/>
              <w:bottom w:val="single" w:sz="4" w:space="0" w:color="2F5496" w:themeColor="accent1" w:themeShade="BF"/>
            </w:tcBorders>
            <w:vAlign w:val="center"/>
          </w:tcPr>
          <w:p w14:paraId="0FF2A4FF" w14:textId="75331136" w:rsidR="007052CB" w:rsidRPr="00E05C8A" w:rsidRDefault="007052CB" w:rsidP="007052CB">
            <w:pPr>
              <w:jc w:val="center"/>
              <w:rPr>
                <w:rFonts w:ascii="Verdana" w:hAnsi="Verdana"/>
                <w:b/>
                <w:bCs/>
                <w:noProof/>
                <w:color w:val="366092"/>
                <w:sz w:val="18"/>
                <w:szCs w:val="18"/>
                <w:lang w:val="el-GR"/>
              </w:rPr>
            </w:pPr>
            <w:r w:rsidRPr="00E05C8A">
              <w:rPr>
                <w:rFonts w:ascii="Verdana" w:hAnsi="Verdana"/>
                <w:b/>
                <w:bCs/>
                <w:noProof/>
                <w:color w:val="366092"/>
                <w:sz w:val="18"/>
                <w:szCs w:val="18"/>
              </w:rPr>
              <w:t>Jan</w:t>
            </w:r>
            <w:r w:rsidRPr="00E05C8A">
              <w:rPr>
                <w:rFonts w:ascii="Verdana" w:hAnsi="Verdana"/>
                <w:b/>
                <w:bCs/>
                <w:noProof/>
                <w:color w:val="366092"/>
                <w:sz w:val="18"/>
                <w:szCs w:val="18"/>
                <w:lang w:val="el-GR"/>
              </w:rPr>
              <w:t xml:space="preserve"> </w:t>
            </w:r>
            <w:r w:rsidRPr="00E05C8A">
              <w:rPr>
                <w:rFonts w:ascii="Verdana" w:hAnsi="Verdana"/>
                <w:b/>
                <w:bCs/>
                <w:noProof/>
                <w:color w:val="366092"/>
                <w:sz w:val="18"/>
                <w:szCs w:val="18"/>
              </w:rPr>
              <w:t>-</w:t>
            </w:r>
            <w:r w:rsidRPr="00E05C8A">
              <w:rPr>
                <w:rFonts w:ascii="Verdana" w:hAnsi="Verdana"/>
                <w:b/>
                <w:bCs/>
                <w:noProof/>
                <w:color w:val="366092"/>
                <w:sz w:val="18"/>
                <w:szCs w:val="18"/>
                <w:lang w:val="el-GR"/>
              </w:rPr>
              <w:t xml:space="preserve"> </w:t>
            </w:r>
            <w:r w:rsidRPr="00E05C8A">
              <w:rPr>
                <w:rFonts w:ascii="Verdana" w:hAnsi="Verdana" w:cs="Arial"/>
                <w:b/>
                <w:bCs/>
                <w:color w:val="366092"/>
                <w:sz w:val="18"/>
                <w:szCs w:val="18"/>
              </w:rPr>
              <w:t>Apr</w:t>
            </w:r>
            <w:r w:rsidRPr="00E05C8A">
              <w:rPr>
                <w:rFonts w:ascii="Verdana" w:hAnsi="Verdana"/>
                <w:b/>
                <w:bCs/>
                <w:noProof/>
                <w:color w:val="366092"/>
                <w:sz w:val="18"/>
                <w:szCs w:val="18"/>
                <w:lang w:val="el-GR"/>
              </w:rPr>
              <w:t xml:space="preserve"> 202</w:t>
            </w:r>
            <w:r w:rsidRPr="00E05C8A">
              <w:rPr>
                <w:rFonts w:ascii="Verdana" w:hAnsi="Verdana"/>
                <w:b/>
                <w:bCs/>
                <w:noProof/>
                <w:color w:val="366092"/>
                <w:sz w:val="18"/>
                <w:szCs w:val="18"/>
              </w:rPr>
              <w:t>5</w:t>
            </w:r>
            <w:r w:rsidRPr="00E05C8A">
              <w:rPr>
                <w:rFonts w:ascii="Verdana" w:hAnsi="Verdana"/>
                <w:b/>
                <w:bCs/>
                <w:noProof/>
                <w:color w:val="366092"/>
                <w:sz w:val="18"/>
                <w:szCs w:val="18"/>
                <w:lang w:val="el-GR"/>
              </w:rPr>
              <w:t>/202</w:t>
            </w:r>
            <w:r w:rsidRPr="00E05C8A">
              <w:rPr>
                <w:rFonts w:ascii="Verdana" w:hAnsi="Verdana"/>
                <w:b/>
                <w:bCs/>
                <w:noProof/>
                <w:color w:val="366092"/>
                <w:sz w:val="18"/>
                <w:szCs w:val="18"/>
              </w:rPr>
              <w:t>4</w:t>
            </w:r>
          </w:p>
        </w:tc>
      </w:tr>
      <w:tr w:rsidR="00E05C8A" w:rsidRPr="00E05C8A" w14:paraId="582F2267" w14:textId="77777777" w:rsidTr="00593DA3">
        <w:trPr>
          <w:trHeight w:val="397"/>
          <w:jc w:val="center"/>
        </w:trPr>
        <w:tc>
          <w:tcPr>
            <w:tcW w:w="2367" w:type="dxa"/>
            <w:tcBorders>
              <w:top w:val="nil"/>
              <w:left w:val="nil"/>
              <w:bottom w:val="nil"/>
              <w:right w:val="nil"/>
            </w:tcBorders>
            <w:shd w:val="clear" w:color="auto" w:fill="auto"/>
            <w:vAlign w:val="center"/>
          </w:tcPr>
          <w:p w14:paraId="0E6D4106" w14:textId="316E063B" w:rsidR="007052CB" w:rsidRPr="00E05C8A" w:rsidRDefault="007052CB" w:rsidP="007052CB">
            <w:pPr>
              <w:rPr>
                <w:rFonts w:ascii="Verdana" w:hAnsi="Verdana"/>
                <w:noProof/>
                <w:color w:val="366092"/>
                <w:sz w:val="18"/>
                <w:szCs w:val="18"/>
                <w:lang w:val="el-GR"/>
              </w:rPr>
            </w:pPr>
            <w:r w:rsidRPr="00E05C8A">
              <w:rPr>
                <w:rFonts w:ascii="Verdana" w:eastAsia="Times New Roman" w:hAnsi="Verdana" w:cs="Arial"/>
                <w:color w:val="366092"/>
                <w:sz w:val="18"/>
                <w:szCs w:val="18"/>
                <w:lang w:bidi="he-IL"/>
              </w:rPr>
              <w:t>Unleaded Motor Gasoline</w:t>
            </w:r>
          </w:p>
        </w:tc>
        <w:tc>
          <w:tcPr>
            <w:tcW w:w="1097" w:type="dxa"/>
            <w:tcBorders>
              <w:top w:val="single" w:sz="4" w:space="0" w:color="2F5496" w:themeColor="accent1" w:themeShade="BF"/>
              <w:left w:val="nil"/>
              <w:bottom w:val="nil"/>
              <w:right w:val="nil"/>
            </w:tcBorders>
            <w:shd w:val="clear" w:color="000000" w:fill="FFFFFF"/>
            <w:vAlign w:val="center"/>
          </w:tcPr>
          <w:p w14:paraId="106434DC" w14:textId="78AD0044" w:rsidR="007052CB" w:rsidRPr="00E05C8A" w:rsidRDefault="007052CB" w:rsidP="007052CB">
            <w:pPr>
              <w:jc w:val="right"/>
              <w:rPr>
                <w:color w:val="366092"/>
              </w:rPr>
            </w:pPr>
            <w:r w:rsidRPr="00E05C8A">
              <w:rPr>
                <w:color w:val="366092"/>
              </w:rPr>
              <w:t xml:space="preserve"> 27.212   </w:t>
            </w:r>
          </w:p>
        </w:tc>
        <w:tc>
          <w:tcPr>
            <w:tcW w:w="1096" w:type="dxa"/>
            <w:tcBorders>
              <w:top w:val="single" w:sz="4" w:space="0" w:color="2F5496" w:themeColor="accent1" w:themeShade="BF"/>
              <w:left w:val="nil"/>
              <w:bottom w:val="nil"/>
              <w:right w:val="nil"/>
            </w:tcBorders>
            <w:shd w:val="clear" w:color="auto" w:fill="auto"/>
            <w:vAlign w:val="center"/>
          </w:tcPr>
          <w:p w14:paraId="6F4C9FCE" w14:textId="5C3DA9DA" w:rsidR="007052CB" w:rsidRPr="00E05C8A" w:rsidRDefault="007052CB" w:rsidP="007052CB">
            <w:pPr>
              <w:jc w:val="right"/>
              <w:rPr>
                <w:color w:val="366092"/>
              </w:rPr>
            </w:pPr>
            <w:r w:rsidRPr="00E05C8A">
              <w:rPr>
                <w:color w:val="366092"/>
              </w:rPr>
              <w:t xml:space="preserve"> 26.391   </w:t>
            </w:r>
          </w:p>
        </w:tc>
        <w:tc>
          <w:tcPr>
            <w:tcW w:w="1269" w:type="dxa"/>
            <w:tcBorders>
              <w:top w:val="single" w:sz="4" w:space="0" w:color="2F5496" w:themeColor="accent1" w:themeShade="BF"/>
              <w:left w:val="nil"/>
              <w:bottom w:val="nil"/>
              <w:right w:val="nil"/>
            </w:tcBorders>
            <w:shd w:val="clear" w:color="auto" w:fill="auto"/>
            <w:vAlign w:val="center"/>
          </w:tcPr>
          <w:p w14:paraId="699B9167" w14:textId="48332E08" w:rsidR="007052CB" w:rsidRPr="00E05C8A" w:rsidRDefault="007052CB" w:rsidP="007052CB">
            <w:pPr>
              <w:jc w:val="right"/>
              <w:rPr>
                <w:color w:val="366092"/>
              </w:rPr>
            </w:pPr>
            <w:r w:rsidRPr="00E05C8A">
              <w:rPr>
                <w:color w:val="366092"/>
              </w:rPr>
              <w:t xml:space="preserve"> 104.097   </w:t>
            </w:r>
          </w:p>
        </w:tc>
        <w:tc>
          <w:tcPr>
            <w:tcW w:w="1269" w:type="dxa"/>
            <w:tcBorders>
              <w:top w:val="single" w:sz="4" w:space="0" w:color="2F5496" w:themeColor="accent1" w:themeShade="BF"/>
              <w:left w:val="nil"/>
              <w:bottom w:val="nil"/>
              <w:right w:val="nil"/>
            </w:tcBorders>
            <w:shd w:val="clear" w:color="auto" w:fill="auto"/>
            <w:vAlign w:val="center"/>
          </w:tcPr>
          <w:p w14:paraId="10260818" w14:textId="51FFB63D" w:rsidR="007052CB" w:rsidRPr="00E05C8A" w:rsidRDefault="007052CB" w:rsidP="007052CB">
            <w:pPr>
              <w:jc w:val="right"/>
              <w:rPr>
                <w:color w:val="366092"/>
              </w:rPr>
            </w:pPr>
            <w:r w:rsidRPr="00E05C8A">
              <w:rPr>
                <w:color w:val="366092"/>
              </w:rPr>
              <w:t xml:space="preserve"> 102.705   </w:t>
            </w:r>
          </w:p>
        </w:tc>
        <w:tc>
          <w:tcPr>
            <w:tcW w:w="240" w:type="dxa"/>
            <w:vMerge/>
            <w:tcBorders>
              <w:top w:val="single" w:sz="4" w:space="0" w:color="2F5496" w:themeColor="accent1" w:themeShade="BF"/>
            </w:tcBorders>
            <w:vAlign w:val="center"/>
          </w:tcPr>
          <w:p w14:paraId="1E1134DF" w14:textId="77777777" w:rsidR="007052CB" w:rsidRPr="00E05C8A" w:rsidRDefault="007052CB" w:rsidP="007052CB">
            <w:pPr>
              <w:jc w:val="right"/>
              <w:rPr>
                <w:rFonts w:ascii="Verdana" w:hAnsi="Verdana"/>
                <w:noProof/>
                <w:color w:val="366092"/>
                <w:sz w:val="18"/>
                <w:szCs w:val="18"/>
                <w:lang w:val="el-GR"/>
              </w:rPr>
            </w:pPr>
          </w:p>
        </w:tc>
        <w:tc>
          <w:tcPr>
            <w:tcW w:w="1400" w:type="dxa"/>
            <w:tcBorders>
              <w:top w:val="single" w:sz="4" w:space="0" w:color="2F5496" w:themeColor="accent1" w:themeShade="BF"/>
              <w:left w:val="nil"/>
              <w:bottom w:val="nil"/>
              <w:right w:val="nil"/>
            </w:tcBorders>
            <w:shd w:val="clear" w:color="auto" w:fill="auto"/>
            <w:vAlign w:val="center"/>
          </w:tcPr>
          <w:p w14:paraId="152612AD" w14:textId="292191D9"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3,1</w:t>
            </w:r>
          </w:p>
        </w:tc>
        <w:tc>
          <w:tcPr>
            <w:tcW w:w="1400" w:type="dxa"/>
            <w:tcBorders>
              <w:top w:val="single" w:sz="4" w:space="0" w:color="2F5496" w:themeColor="accent1" w:themeShade="BF"/>
              <w:left w:val="nil"/>
              <w:bottom w:val="nil"/>
              <w:right w:val="nil"/>
            </w:tcBorders>
            <w:shd w:val="clear" w:color="auto" w:fill="auto"/>
            <w:vAlign w:val="center"/>
          </w:tcPr>
          <w:p w14:paraId="70A72B25" w14:textId="7787E7F7"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1,4</w:t>
            </w:r>
          </w:p>
        </w:tc>
      </w:tr>
      <w:tr w:rsidR="00E05C8A" w:rsidRPr="00E05C8A" w14:paraId="7C3A28BE" w14:textId="77777777" w:rsidTr="00593DA3">
        <w:trPr>
          <w:trHeight w:val="397"/>
          <w:jc w:val="center"/>
        </w:trPr>
        <w:tc>
          <w:tcPr>
            <w:tcW w:w="2367" w:type="dxa"/>
            <w:tcBorders>
              <w:top w:val="nil"/>
              <w:left w:val="nil"/>
              <w:bottom w:val="nil"/>
              <w:right w:val="nil"/>
            </w:tcBorders>
            <w:shd w:val="clear" w:color="auto" w:fill="auto"/>
            <w:vAlign w:val="center"/>
          </w:tcPr>
          <w:p w14:paraId="23479BEB" w14:textId="2DE713EA" w:rsidR="007052CB" w:rsidRPr="00E05C8A" w:rsidRDefault="007052CB" w:rsidP="007052CB">
            <w:pPr>
              <w:rPr>
                <w:rFonts w:ascii="Verdana" w:hAnsi="Verdana"/>
                <w:noProof/>
                <w:color w:val="366092"/>
                <w:sz w:val="18"/>
                <w:szCs w:val="18"/>
                <w:lang w:val="el-GR"/>
              </w:rPr>
            </w:pPr>
            <w:r w:rsidRPr="00E05C8A">
              <w:rPr>
                <w:rFonts w:ascii="Verdana" w:eastAsia="Times New Roman" w:hAnsi="Verdana" w:cs="Arial"/>
                <w:color w:val="366092"/>
                <w:sz w:val="18"/>
                <w:szCs w:val="18"/>
                <w:lang w:bidi="he-IL"/>
              </w:rPr>
              <w:t>Kerosene</w:t>
            </w:r>
          </w:p>
        </w:tc>
        <w:tc>
          <w:tcPr>
            <w:tcW w:w="1097" w:type="dxa"/>
            <w:tcBorders>
              <w:top w:val="nil"/>
              <w:left w:val="nil"/>
              <w:bottom w:val="nil"/>
              <w:right w:val="nil"/>
            </w:tcBorders>
            <w:shd w:val="clear" w:color="000000" w:fill="FFFFFF"/>
            <w:vAlign w:val="center"/>
          </w:tcPr>
          <w:p w14:paraId="0D353953" w14:textId="70C81BAC" w:rsidR="007052CB" w:rsidRPr="00E05C8A" w:rsidRDefault="007052CB" w:rsidP="007052CB">
            <w:pPr>
              <w:jc w:val="right"/>
              <w:rPr>
                <w:color w:val="366092"/>
              </w:rPr>
            </w:pPr>
            <w:r w:rsidRPr="00E05C8A">
              <w:rPr>
                <w:color w:val="366092"/>
              </w:rPr>
              <w:t xml:space="preserve"> 172   </w:t>
            </w:r>
          </w:p>
        </w:tc>
        <w:tc>
          <w:tcPr>
            <w:tcW w:w="1096" w:type="dxa"/>
            <w:tcBorders>
              <w:top w:val="nil"/>
              <w:left w:val="nil"/>
              <w:bottom w:val="nil"/>
              <w:right w:val="nil"/>
            </w:tcBorders>
            <w:shd w:val="clear" w:color="auto" w:fill="auto"/>
            <w:vAlign w:val="center"/>
          </w:tcPr>
          <w:p w14:paraId="4DE4EC69" w14:textId="263A8372" w:rsidR="007052CB" w:rsidRPr="00E05C8A" w:rsidRDefault="007052CB" w:rsidP="007052CB">
            <w:pPr>
              <w:jc w:val="right"/>
              <w:rPr>
                <w:color w:val="366092"/>
              </w:rPr>
            </w:pPr>
            <w:r w:rsidRPr="00E05C8A">
              <w:rPr>
                <w:color w:val="366092"/>
              </w:rPr>
              <w:t xml:space="preserve"> 106   </w:t>
            </w:r>
          </w:p>
        </w:tc>
        <w:tc>
          <w:tcPr>
            <w:tcW w:w="1269" w:type="dxa"/>
            <w:tcBorders>
              <w:top w:val="nil"/>
              <w:left w:val="nil"/>
              <w:bottom w:val="nil"/>
              <w:right w:val="nil"/>
            </w:tcBorders>
            <w:shd w:val="clear" w:color="auto" w:fill="auto"/>
            <w:vAlign w:val="center"/>
          </w:tcPr>
          <w:p w14:paraId="624E4804" w14:textId="558C11A9" w:rsidR="007052CB" w:rsidRPr="00E05C8A" w:rsidRDefault="007052CB" w:rsidP="007052CB">
            <w:pPr>
              <w:jc w:val="right"/>
              <w:rPr>
                <w:color w:val="366092"/>
              </w:rPr>
            </w:pPr>
            <w:r w:rsidRPr="00E05C8A">
              <w:rPr>
                <w:color w:val="366092"/>
              </w:rPr>
              <w:t xml:space="preserve"> 4.274   </w:t>
            </w:r>
          </w:p>
        </w:tc>
        <w:tc>
          <w:tcPr>
            <w:tcW w:w="1269" w:type="dxa"/>
            <w:tcBorders>
              <w:top w:val="nil"/>
              <w:left w:val="nil"/>
              <w:bottom w:val="nil"/>
              <w:right w:val="nil"/>
            </w:tcBorders>
            <w:shd w:val="clear" w:color="auto" w:fill="auto"/>
            <w:vAlign w:val="center"/>
          </w:tcPr>
          <w:p w14:paraId="702DB36B" w14:textId="67FFC0BF" w:rsidR="007052CB" w:rsidRPr="00E05C8A" w:rsidRDefault="007052CB" w:rsidP="007052CB">
            <w:pPr>
              <w:jc w:val="right"/>
              <w:rPr>
                <w:color w:val="366092"/>
              </w:rPr>
            </w:pPr>
            <w:r w:rsidRPr="00E05C8A">
              <w:rPr>
                <w:color w:val="366092"/>
              </w:rPr>
              <w:t xml:space="preserve"> 3.780   </w:t>
            </w:r>
          </w:p>
        </w:tc>
        <w:tc>
          <w:tcPr>
            <w:tcW w:w="240" w:type="dxa"/>
            <w:vAlign w:val="center"/>
          </w:tcPr>
          <w:p w14:paraId="2448F447" w14:textId="77777777" w:rsidR="007052CB" w:rsidRPr="00E05C8A" w:rsidRDefault="007052CB" w:rsidP="007052CB">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1DD00A8E" w14:textId="5E5601F1"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62,3</w:t>
            </w:r>
          </w:p>
        </w:tc>
        <w:tc>
          <w:tcPr>
            <w:tcW w:w="1400" w:type="dxa"/>
            <w:tcBorders>
              <w:top w:val="nil"/>
              <w:left w:val="nil"/>
              <w:bottom w:val="nil"/>
              <w:right w:val="nil"/>
            </w:tcBorders>
            <w:shd w:val="clear" w:color="auto" w:fill="auto"/>
            <w:vAlign w:val="center"/>
          </w:tcPr>
          <w:p w14:paraId="5131BD5B" w14:textId="118DFE16"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13,1</w:t>
            </w:r>
          </w:p>
        </w:tc>
      </w:tr>
      <w:tr w:rsidR="00E05C8A" w:rsidRPr="00E05C8A" w14:paraId="7218AFBF" w14:textId="77777777" w:rsidTr="00593DA3">
        <w:trPr>
          <w:trHeight w:val="397"/>
          <w:jc w:val="center"/>
        </w:trPr>
        <w:tc>
          <w:tcPr>
            <w:tcW w:w="2367" w:type="dxa"/>
            <w:tcBorders>
              <w:top w:val="nil"/>
              <w:left w:val="nil"/>
              <w:bottom w:val="nil"/>
              <w:right w:val="nil"/>
            </w:tcBorders>
            <w:shd w:val="clear" w:color="auto" w:fill="auto"/>
            <w:vAlign w:val="center"/>
          </w:tcPr>
          <w:p w14:paraId="5E39F550" w14:textId="65DAE520" w:rsidR="007052CB" w:rsidRPr="00E05C8A" w:rsidRDefault="007052CB" w:rsidP="007052CB">
            <w:pPr>
              <w:rPr>
                <w:rFonts w:ascii="Verdana" w:hAnsi="Verdana"/>
                <w:noProof/>
                <w:color w:val="366092"/>
                <w:sz w:val="18"/>
                <w:szCs w:val="18"/>
                <w:lang w:val="el-GR"/>
              </w:rPr>
            </w:pPr>
            <w:r w:rsidRPr="00E05C8A">
              <w:rPr>
                <w:rFonts w:ascii="Verdana" w:eastAsia="Times New Roman" w:hAnsi="Verdana" w:cs="Arial"/>
                <w:color w:val="366092"/>
                <w:sz w:val="18"/>
                <w:szCs w:val="18"/>
                <w:lang w:bidi="he-IL"/>
              </w:rPr>
              <w:t>Road Diesel</w:t>
            </w:r>
          </w:p>
        </w:tc>
        <w:tc>
          <w:tcPr>
            <w:tcW w:w="1097" w:type="dxa"/>
            <w:tcBorders>
              <w:top w:val="nil"/>
              <w:left w:val="nil"/>
              <w:bottom w:val="nil"/>
              <w:right w:val="nil"/>
            </w:tcBorders>
            <w:shd w:val="clear" w:color="000000" w:fill="FFFFFF"/>
            <w:vAlign w:val="center"/>
          </w:tcPr>
          <w:p w14:paraId="7084D44D" w14:textId="715A40C7" w:rsidR="007052CB" w:rsidRPr="00E05C8A" w:rsidRDefault="007052CB" w:rsidP="007052CB">
            <w:pPr>
              <w:jc w:val="right"/>
              <w:rPr>
                <w:color w:val="366092"/>
              </w:rPr>
            </w:pPr>
            <w:r w:rsidRPr="00E05C8A">
              <w:rPr>
                <w:color w:val="366092"/>
              </w:rPr>
              <w:t xml:space="preserve"> 22.930   </w:t>
            </w:r>
          </w:p>
        </w:tc>
        <w:tc>
          <w:tcPr>
            <w:tcW w:w="1096" w:type="dxa"/>
            <w:tcBorders>
              <w:top w:val="nil"/>
              <w:left w:val="nil"/>
              <w:bottom w:val="nil"/>
              <w:right w:val="nil"/>
            </w:tcBorders>
            <w:shd w:val="clear" w:color="auto" w:fill="auto"/>
            <w:vAlign w:val="center"/>
          </w:tcPr>
          <w:p w14:paraId="32D190CC" w14:textId="3310C540" w:rsidR="007052CB" w:rsidRPr="00E05C8A" w:rsidRDefault="007052CB" w:rsidP="007052CB">
            <w:pPr>
              <w:jc w:val="right"/>
              <w:rPr>
                <w:color w:val="366092"/>
              </w:rPr>
            </w:pPr>
            <w:r w:rsidRPr="00E05C8A">
              <w:rPr>
                <w:color w:val="366092"/>
              </w:rPr>
              <w:t xml:space="preserve"> 22.727   </w:t>
            </w:r>
          </w:p>
        </w:tc>
        <w:tc>
          <w:tcPr>
            <w:tcW w:w="1269" w:type="dxa"/>
            <w:tcBorders>
              <w:top w:val="nil"/>
              <w:left w:val="nil"/>
              <w:bottom w:val="nil"/>
              <w:right w:val="nil"/>
            </w:tcBorders>
            <w:shd w:val="clear" w:color="auto" w:fill="auto"/>
            <w:vAlign w:val="center"/>
          </w:tcPr>
          <w:p w14:paraId="2CACC1A5" w14:textId="3AEF65A8" w:rsidR="007052CB" w:rsidRPr="00E05C8A" w:rsidRDefault="007052CB" w:rsidP="007052CB">
            <w:pPr>
              <w:jc w:val="right"/>
              <w:rPr>
                <w:color w:val="366092"/>
              </w:rPr>
            </w:pPr>
            <w:r w:rsidRPr="00E05C8A">
              <w:rPr>
                <w:color w:val="366092"/>
              </w:rPr>
              <w:t xml:space="preserve"> 87.673   </w:t>
            </w:r>
          </w:p>
        </w:tc>
        <w:tc>
          <w:tcPr>
            <w:tcW w:w="1269" w:type="dxa"/>
            <w:tcBorders>
              <w:top w:val="nil"/>
              <w:left w:val="nil"/>
              <w:bottom w:val="nil"/>
              <w:right w:val="nil"/>
            </w:tcBorders>
            <w:shd w:val="clear" w:color="auto" w:fill="auto"/>
            <w:vAlign w:val="center"/>
          </w:tcPr>
          <w:p w14:paraId="7A8DA11E" w14:textId="7D49C215" w:rsidR="007052CB" w:rsidRPr="00E05C8A" w:rsidRDefault="007052CB" w:rsidP="007052CB">
            <w:pPr>
              <w:jc w:val="right"/>
              <w:rPr>
                <w:color w:val="366092"/>
              </w:rPr>
            </w:pPr>
            <w:r w:rsidRPr="00E05C8A">
              <w:rPr>
                <w:color w:val="366092"/>
              </w:rPr>
              <w:t xml:space="preserve"> 87.855   </w:t>
            </w:r>
          </w:p>
        </w:tc>
        <w:tc>
          <w:tcPr>
            <w:tcW w:w="240" w:type="dxa"/>
            <w:vAlign w:val="center"/>
          </w:tcPr>
          <w:p w14:paraId="266AF55C" w14:textId="77777777" w:rsidR="007052CB" w:rsidRPr="00E05C8A" w:rsidRDefault="007052CB" w:rsidP="007052CB">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70538ED4" w14:textId="66F35CD1"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0,9</w:t>
            </w:r>
          </w:p>
        </w:tc>
        <w:tc>
          <w:tcPr>
            <w:tcW w:w="1400" w:type="dxa"/>
            <w:tcBorders>
              <w:top w:val="nil"/>
              <w:left w:val="nil"/>
              <w:bottom w:val="nil"/>
              <w:right w:val="nil"/>
            </w:tcBorders>
            <w:shd w:val="clear" w:color="auto" w:fill="auto"/>
            <w:vAlign w:val="center"/>
          </w:tcPr>
          <w:p w14:paraId="509B5500" w14:textId="2E5497D5"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-0,2</w:t>
            </w:r>
          </w:p>
        </w:tc>
      </w:tr>
      <w:tr w:rsidR="00E05C8A" w:rsidRPr="00E05C8A" w14:paraId="75AB5B24" w14:textId="77777777" w:rsidTr="00593DA3">
        <w:trPr>
          <w:trHeight w:val="397"/>
          <w:jc w:val="center"/>
        </w:trPr>
        <w:tc>
          <w:tcPr>
            <w:tcW w:w="2367" w:type="dxa"/>
            <w:tcBorders>
              <w:top w:val="nil"/>
              <w:left w:val="nil"/>
              <w:bottom w:val="nil"/>
              <w:right w:val="nil"/>
            </w:tcBorders>
            <w:shd w:val="clear" w:color="auto" w:fill="auto"/>
            <w:vAlign w:val="center"/>
          </w:tcPr>
          <w:p w14:paraId="381B2EEB" w14:textId="033B6820" w:rsidR="007052CB" w:rsidRPr="00E05C8A" w:rsidRDefault="007052CB" w:rsidP="007052CB">
            <w:pPr>
              <w:rPr>
                <w:rFonts w:ascii="Verdana" w:hAnsi="Verdana"/>
                <w:noProof/>
                <w:color w:val="366092"/>
                <w:sz w:val="18"/>
                <w:szCs w:val="18"/>
                <w:lang w:val="el-GR"/>
              </w:rPr>
            </w:pPr>
            <w:r w:rsidRPr="00E05C8A">
              <w:rPr>
                <w:rFonts w:ascii="Verdana" w:eastAsia="Times New Roman" w:hAnsi="Verdana" w:cs="Arial"/>
                <w:color w:val="366092"/>
                <w:sz w:val="18"/>
                <w:szCs w:val="18"/>
                <w:lang w:bidi="he-IL"/>
              </w:rPr>
              <w:t>Gasoil for Agriculture Use</w:t>
            </w:r>
          </w:p>
        </w:tc>
        <w:tc>
          <w:tcPr>
            <w:tcW w:w="1097" w:type="dxa"/>
            <w:tcBorders>
              <w:top w:val="nil"/>
              <w:left w:val="nil"/>
              <w:bottom w:val="nil"/>
              <w:right w:val="nil"/>
            </w:tcBorders>
            <w:shd w:val="clear" w:color="000000" w:fill="FFFFFF"/>
            <w:vAlign w:val="center"/>
          </w:tcPr>
          <w:p w14:paraId="05E3C305" w14:textId="18ADE1DC" w:rsidR="007052CB" w:rsidRPr="00E05C8A" w:rsidRDefault="007052CB" w:rsidP="007052CB">
            <w:pPr>
              <w:jc w:val="right"/>
              <w:rPr>
                <w:color w:val="366092"/>
              </w:rPr>
            </w:pPr>
            <w:r w:rsidRPr="00E05C8A">
              <w:rPr>
                <w:color w:val="366092"/>
              </w:rPr>
              <w:t xml:space="preserve"> 1.416   </w:t>
            </w:r>
          </w:p>
        </w:tc>
        <w:tc>
          <w:tcPr>
            <w:tcW w:w="1096" w:type="dxa"/>
            <w:tcBorders>
              <w:top w:val="nil"/>
              <w:left w:val="nil"/>
              <w:bottom w:val="nil"/>
              <w:right w:val="nil"/>
            </w:tcBorders>
            <w:shd w:val="clear" w:color="auto" w:fill="auto"/>
            <w:vAlign w:val="center"/>
          </w:tcPr>
          <w:p w14:paraId="0DBD3B89" w14:textId="630DC7D3" w:rsidR="007052CB" w:rsidRPr="00E05C8A" w:rsidRDefault="007052CB" w:rsidP="007052CB">
            <w:pPr>
              <w:jc w:val="right"/>
              <w:rPr>
                <w:color w:val="366092"/>
              </w:rPr>
            </w:pPr>
            <w:r w:rsidRPr="00E05C8A">
              <w:rPr>
                <w:color w:val="366092"/>
              </w:rPr>
              <w:t xml:space="preserve"> 1.508   </w:t>
            </w:r>
          </w:p>
        </w:tc>
        <w:tc>
          <w:tcPr>
            <w:tcW w:w="1269" w:type="dxa"/>
            <w:tcBorders>
              <w:top w:val="nil"/>
              <w:left w:val="nil"/>
              <w:bottom w:val="nil"/>
              <w:right w:val="nil"/>
            </w:tcBorders>
            <w:shd w:val="clear" w:color="auto" w:fill="auto"/>
            <w:vAlign w:val="center"/>
          </w:tcPr>
          <w:p w14:paraId="2FA1AA65" w14:textId="02881FC6" w:rsidR="007052CB" w:rsidRPr="00E05C8A" w:rsidRDefault="007052CB" w:rsidP="007052CB">
            <w:pPr>
              <w:jc w:val="right"/>
              <w:rPr>
                <w:color w:val="366092"/>
              </w:rPr>
            </w:pPr>
            <w:r w:rsidRPr="00E05C8A">
              <w:rPr>
                <w:color w:val="366092"/>
              </w:rPr>
              <w:t xml:space="preserve"> 5.242   </w:t>
            </w:r>
          </w:p>
        </w:tc>
        <w:tc>
          <w:tcPr>
            <w:tcW w:w="1269" w:type="dxa"/>
            <w:tcBorders>
              <w:top w:val="nil"/>
              <w:left w:val="nil"/>
              <w:bottom w:val="nil"/>
              <w:right w:val="nil"/>
            </w:tcBorders>
            <w:shd w:val="clear" w:color="auto" w:fill="auto"/>
            <w:vAlign w:val="center"/>
          </w:tcPr>
          <w:p w14:paraId="6812C44C" w14:textId="5DB7DFFA" w:rsidR="007052CB" w:rsidRPr="00E05C8A" w:rsidRDefault="007052CB" w:rsidP="007052CB">
            <w:pPr>
              <w:jc w:val="right"/>
              <w:rPr>
                <w:color w:val="366092"/>
              </w:rPr>
            </w:pPr>
            <w:r w:rsidRPr="00E05C8A">
              <w:rPr>
                <w:color w:val="366092"/>
              </w:rPr>
              <w:t xml:space="preserve"> 4.685   </w:t>
            </w:r>
          </w:p>
        </w:tc>
        <w:tc>
          <w:tcPr>
            <w:tcW w:w="240" w:type="dxa"/>
            <w:vAlign w:val="center"/>
          </w:tcPr>
          <w:p w14:paraId="33018F1F" w14:textId="77777777" w:rsidR="007052CB" w:rsidRPr="00E05C8A" w:rsidRDefault="007052CB" w:rsidP="007052CB">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5DDC673C" w14:textId="29F53014"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-6,1</w:t>
            </w:r>
          </w:p>
        </w:tc>
        <w:tc>
          <w:tcPr>
            <w:tcW w:w="1400" w:type="dxa"/>
            <w:tcBorders>
              <w:top w:val="nil"/>
              <w:left w:val="nil"/>
              <w:bottom w:val="nil"/>
              <w:right w:val="nil"/>
            </w:tcBorders>
            <w:shd w:val="clear" w:color="auto" w:fill="auto"/>
            <w:vAlign w:val="center"/>
          </w:tcPr>
          <w:p w14:paraId="6B7153DE" w14:textId="0C130F7D"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11,9</w:t>
            </w:r>
          </w:p>
        </w:tc>
      </w:tr>
      <w:tr w:rsidR="00E05C8A" w:rsidRPr="00E05C8A" w14:paraId="1A1E82D8" w14:textId="77777777" w:rsidTr="00593DA3">
        <w:trPr>
          <w:trHeight w:val="397"/>
          <w:jc w:val="center"/>
        </w:trPr>
        <w:tc>
          <w:tcPr>
            <w:tcW w:w="2367" w:type="dxa"/>
            <w:tcBorders>
              <w:top w:val="nil"/>
              <w:left w:val="nil"/>
              <w:bottom w:val="nil"/>
              <w:right w:val="nil"/>
            </w:tcBorders>
            <w:shd w:val="clear" w:color="auto" w:fill="auto"/>
            <w:vAlign w:val="center"/>
          </w:tcPr>
          <w:p w14:paraId="49D458B5" w14:textId="03D2A33B" w:rsidR="007052CB" w:rsidRPr="00E05C8A" w:rsidRDefault="007052CB" w:rsidP="007052CB">
            <w:pPr>
              <w:rPr>
                <w:rFonts w:ascii="Verdana" w:hAnsi="Verdana"/>
                <w:noProof/>
                <w:color w:val="366092"/>
                <w:sz w:val="18"/>
                <w:szCs w:val="18"/>
                <w:lang w:val="el-GR"/>
              </w:rPr>
            </w:pPr>
            <w:r w:rsidRPr="00E05C8A">
              <w:rPr>
                <w:rFonts w:ascii="Verdana" w:eastAsia="Times New Roman" w:hAnsi="Verdana" w:cs="Arial"/>
                <w:color w:val="366092"/>
                <w:sz w:val="18"/>
                <w:szCs w:val="18"/>
                <w:lang w:bidi="he-IL"/>
              </w:rPr>
              <w:t>Heating Gasoil</w:t>
            </w:r>
          </w:p>
        </w:tc>
        <w:tc>
          <w:tcPr>
            <w:tcW w:w="1097" w:type="dxa"/>
            <w:tcBorders>
              <w:top w:val="nil"/>
              <w:left w:val="nil"/>
              <w:bottom w:val="nil"/>
              <w:right w:val="nil"/>
            </w:tcBorders>
            <w:shd w:val="clear" w:color="000000" w:fill="FFFFFF"/>
            <w:vAlign w:val="center"/>
          </w:tcPr>
          <w:p w14:paraId="725BEF7E" w14:textId="6019BA90" w:rsidR="007052CB" w:rsidRPr="00E05C8A" w:rsidRDefault="007052CB" w:rsidP="007052CB">
            <w:pPr>
              <w:jc w:val="right"/>
              <w:rPr>
                <w:color w:val="366092"/>
              </w:rPr>
            </w:pPr>
            <w:r w:rsidRPr="00E05C8A">
              <w:rPr>
                <w:color w:val="366092"/>
              </w:rPr>
              <w:t xml:space="preserve"> 2.843   </w:t>
            </w:r>
          </w:p>
        </w:tc>
        <w:tc>
          <w:tcPr>
            <w:tcW w:w="1096" w:type="dxa"/>
            <w:tcBorders>
              <w:top w:val="nil"/>
              <w:left w:val="nil"/>
              <w:bottom w:val="nil"/>
              <w:right w:val="nil"/>
            </w:tcBorders>
            <w:shd w:val="clear" w:color="auto" w:fill="auto"/>
            <w:vAlign w:val="center"/>
          </w:tcPr>
          <w:p w14:paraId="4BFFA983" w14:textId="4EC0838F" w:rsidR="007052CB" w:rsidRPr="00E05C8A" w:rsidRDefault="007052CB" w:rsidP="007052CB">
            <w:pPr>
              <w:jc w:val="right"/>
              <w:rPr>
                <w:color w:val="366092"/>
              </w:rPr>
            </w:pPr>
            <w:r w:rsidRPr="00E05C8A">
              <w:rPr>
                <w:color w:val="366092"/>
              </w:rPr>
              <w:t xml:space="preserve"> 2.153   </w:t>
            </w:r>
          </w:p>
        </w:tc>
        <w:tc>
          <w:tcPr>
            <w:tcW w:w="1269" w:type="dxa"/>
            <w:tcBorders>
              <w:top w:val="nil"/>
              <w:left w:val="nil"/>
              <w:bottom w:val="nil"/>
              <w:right w:val="nil"/>
            </w:tcBorders>
            <w:shd w:val="clear" w:color="auto" w:fill="auto"/>
            <w:vAlign w:val="center"/>
          </w:tcPr>
          <w:p w14:paraId="2A16E06E" w14:textId="41207062" w:rsidR="007052CB" w:rsidRPr="00E05C8A" w:rsidRDefault="007052CB" w:rsidP="007052CB">
            <w:pPr>
              <w:jc w:val="right"/>
              <w:rPr>
                <w:color w:val="366092"/>
              </w:rPr>
            </w:pPr>
            <w:r w:rsidRPr="00E05C8A">
              <w:rPr>
                <w:color w:val="366092"/>
              </w:rPr>
              <w:t xml:space="preserve"> 22.272   </w:t>
            </w:r>
          </w:p>
        </w:tc>
        <w:tc>
          <w:tcPr>
            <w:tcW w:w="1269" w:type="dxa"/>
            <w:tcBorders>
              <w:top w:val="nil"/>
              <w:left w:val="nil"/>
              <w:bottom w:val="nil"/>
              <w:right w:val="nil"/>
            </w:tcBorders>
            <w:shd w:val="clear" w:color="auto" w:fill="auto"/>
            <w:vAlign w:val="center"/>
          </w:tcPr>
          <w:p w14:paraId="4AACADA2" w14:textId="2C83196B" w:rsidR="007052CB" w:rsidRPr="00E05C8A" w:rsidRDefault="007052CB" w:rsidP="007052CB">
            <w:pPr>
              <w:jc w:val="right"/>
              <w:rPr>
                <w:color w:val="366092"/>
              </w:rPr>
            </w:pPr>
            <w:r w:rsidRPr="00E05C8A">
              <w:rPr>
                <w:color w:val="366092"/>
              </w:rPr>
              <w:t xml:space="preserve"> 20.429   </w:t>
            </w:r>
          </w:p>
        </w:tc>
        <w:tc>
          <w:tcPr>
            <w:tcW w:w="240" w:type="dxa"/>
            <w:vAlign w:val="center"/>
          </w:tcPr>
          <w:p w14:paraId="5D8DF93D" w14:textId="77777777" w:rsidR="007052CB" w:rsidRPr="00E05C8A" w:rsidRDefault="007052CB" w:rsidP="007052CB">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2A9F8DC0" w14:textId="1F7F2AD9"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32,0</w:t>
            </w:r>
          </w:p>
        </w:tc>
        <w:tc>
          <w:tcPr>
            <w:tcW w:w="1400" w:type="dxa"/>
            <w:tcBorders>
              <w:top w:val="nil"/>
              <w:left w:val="nil"/>
              <w:bottom w:val="nil"/>
              <w:right w:val="nil"/>
            </w:tcBorders>
            <w:shd w:val="clear" w:color="auto" w:fill="auto"/>
            <w:vAlign w:val="center"/>
          </w:tcPr>
          <w:p w14:paraId="460DCA81" w14:textId="2381FC71"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9,0</w:t>
            </w:r>
          </w:p>
        </w:tc>
      </w:tr>
      <w:tr w:rsidR="00E05C8A" w:rsidRPr="00E05C8A" w14:paraId="7DDB189D" w14:textId="77777777" w:rsidTr="00593DA3">
        <w:trPr>
          <w:trHeight w:val="397"/>
          <w:jc w:val="center"/>
        </w:trPr>
        <w:tc>
          <w:tcPr>
            <w:tcW w:w="2367" w:type="dxa"/>
            <w:tcBorders>
              <w:top w:val="nil"/>
              <w:left w:val="nil"/>
              <w:bottom w:val="nil"/>
              <w:right w:val="nil"/>
            </w:tcBorders>
            <w:shd w:val="clear" w:color="auto" w:fill="auto"/>
            <w:vAlign w:val="center"/>
          </w:tcPr>
          <w:p w14:paraId="1F8E52FD" w14:textId="44B9337F" w:rsidR="007052CB" w:rsidRPr="00E05C8A" w:rsidRDefault="007052CB" w:rsidP="007052CB">
            <w:pPr>
              <w:rPr>
                <w:rFonts w:ascii="Verdana" w:hAnsi="Verdana"/>
                <w:noProof/>
                <w:color w:val="366092"/>
                <w:sz w:val="18"/>
                <w:szCs w:val="18"/>
                <w:lang w:val="el-GR"/>
              </w:rPr>
            </w:pPr>
            <w:r w:rsidRPr="00E05C8A">
              <w:rPr>
                <w:rFonts w:ascii="Verdana" w:eastAsia="Times New Roman" w:hAnsi="Verdana" w:cs="Arial"/>
                <w:color w:val="366092"/>
                <w:sz w:val="18"/>
                <w:szCs w:val="18"/>
                <w:lang w:bidi="he-IL"/>
              </w:rPr>
              <w:t>Light Fuel Oil</w:t>
            </w:r>
          </w:p>
        </w:tc>
        <w:tc>
          <w:tcPr>
            <w:tcW w:w="1097" w:type="dxa"/>
            <w:tcBorders>
              <w:top w:val="nil"/>
              <w:left w:val="nil"/>
              <w:bottom w:val="nil"/>
              <w:right w:val="nil"/>
            </w:tcBorders>
            <w:shd w:val="clear" w:color="000000" w:fill="FFFFFF"/>
            <w:vAlign w:val="center"/>
          </w:tcPr>
          <w:p w14:paraId="3212886E" w14:textId="3B2213A4" w:rsidR="007052CB" w:rsidRPr="00E05C8A" w:rsidRDefault="007052CB" w:rsidP="007052CB">
            <w:pPr>
              <w:jc w:val="right"/>
              <w:rPr>
                <w:color w:val="366092"/>
              </w:rPr>
            </w:pPr>
            <w:r w:rsidRPr="00E05C8A">
              <w:rPr>
                <w:color w:val="366092"/>
              </w:rPr>
              <w:t xml:space="preserve"> 48   </w:t>
            </w:r>
          </w:p>
        </w:tc>
        <w:tc>
          <w:tcPr>
            <w:tcW w:w="1096" w:type="dxa"/>
            <w:tcBorders>
              <w:top w:val="nil"/>
              <w:left w:val="nil"/>
              <w:bottom w:val="nil"/>
              <w:right w:val="nil"/>
            </w:tcBorders>
            <w:shd w:val="clear" w:color="auto" w:fill="auto"/>
            <w:vAlign w:val="center"/>
          </w:tcPr>
          <w:p w14:paraId="0C08B99C" w14:textId="4804A60B" w:rsidR="007052CB" w:rsidRPr="00E05C8A" w:rsidRDefault="007052CB" w:rsidP="007052CB">
            <w:pPr>
              <w:jc w:val="right"/>
              <w:rPr>
                <w:color w:val="366092"/>
              </w:rPr>
            </w:pPr>
            <w:r w:rsidRPr="00E05C8A">
              <w:rPr>
                <w:color w:val="366092"/>
              </w:rPr>
              <w:t xml:space="preserve"> 33   </w:t>
            </w:r>
          </w:p>
        </w:tc>
        <w:tc>
          <w:tcPr>
            <w:tcW w:w="1269" w:type="dxa"/>
            <w:tcBorders>
              <w:top w:val="nil"/>
              <w:left w:val="nil"/>
              <w:bottom w:val="nil"/>
              <w:right w:val="nil"/>
            </w:tcBorders>
            <w:shd w:val="clear" w:color="auto" w:fill="auto"/>
            <w:vAlign w:val="center"/>
          </w:tcPr>
          <w:p w14:paraId="45C53A63" w14:textId="6BC14DED" w:rsidR="007052CB" w:rsidRPr="00E05C8A" w:rsidRDefault="007052CB" w:rsidP="007052CB">
            <w:pPr>
              <w:jc w:val="right"/>
              <w:rPr>
                <w:color w:val="366092"/>
              </w:rPr>
            </w:pPr>
            <w:r w:rsidRPr="00E05C8A">
              <w:rPr>
                <w:color w:val="366092"/>
              </w:rPr>
              <w:t xml:space="preserve"> 187   </w:t>
            </w:r>
          </w:p>
        </w:tc>
        <w:tc>
          <w:tcPr>
            <w:tcW w:w="1269" w:type="dxa"/>
            <w:tcBorders>
              <w:top w:val="nil"/>
              <w:left w:val="nil"/>
              <w:bottom w:val="nil"/>
              <w:right w:val="nil"/>
            </w:tcBorders>
            <w:shd w:val="clear" w:color="auto" w:fill="auto"/>
            <w:vAlign w:val="center"/>
          </w:tcPr>
          <w:p w14:paraId="3A5DC1F4" w14:textId="72B5474E" w:rsidR="007052CB" w:rsidRPr="00E05C8A" w:rsidRDefault="007052CB" w:rsidP="007052CB">
            <w:pPr>
              <w:jc w:val="right"/>
              <w:rPr>
                <w:color w:val="366092"/>
              </w:rPr>
            </w:pPr>
            <w:r w:rsidRPr="00E05C8A">
              <w:rPr>
                <w:color w:val="366092"/>
              </w:rPr>
              <w:t xml:space="preserve"> 166   </w:t>
            </w:r>
          </w:p>
        </w:tc>
        <w:tc>
          <w:tcPr>
            <w:tcW w:w="240" w:type="dxa"/>
            <w:vAlign w:val="center"/>
          </w:tcPr>
          <w:p w14:paraId="39E68D40" w14:textId="77777777" w:rsidR="007052CB" w:rsidRPr="00E05C8A" w:rsidRDefault="007052CB" w:rsidP="007052CB">
            <w:pPr>
              <w:jc w:val="right"/>
              <w:rPr>
                <w:rFonts w:ascii="Verdana" w:hAnsi="Verdana"/>
                <w:noProof/>
                <w:color w:val="366092"/>
                <w:sz w:val="18"/>
                <w:szCs w:val="18"/>
                <w:lang w:val="el-GR"/>
              </w:rPr>
            </w:pPr>
          </w:p>
        </w:tc>
        <w:tc>
          <w:tcPr>
            <w:tcW w:w="1400" w:type="dxa"/>
            <w:tcBorders>
              <w:top w:val="nil"/>
              <w:left w:val="nil"/>
              <w:bottom w:val="nil"/>
              <w:right w:val="nil"/>
            </w:tcBorders>
            <w:shd w:val="clear" w:color="auto" w:fill="auto"/>
            <w:vAlign w:val="center"/>
          </w:tcPr>
          <w:p w14:paraId="5CC5A165" w14:textId="7810DBE2"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45,5</w:t>
            </w:r>
          </w:p>
        </w:tc>
        <w:tc>
          <w:tcPr>
            <w:tcW w:w="1400" w:type="dxa"/>
            <w:tcBorders>
              <w:top w:val="nil"/>
              <w:left w:val="nil"/>
              <w:bottom w:val="nil"/>
              <w:right w:val="nil"/>
            </w:tcBorders>
            <w:shd w:val="clear" w:color="auto" w:fill="auto"/>
            <w:vAlign w:val="center"/>
          </w:tcPr>
          <w:p w14:paraId="24CD9508" w14:textId="096BD8C7"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12,7</w:t>
            </w:r>
          </w:p>
        </w:tc>
      </w:tr>
      <w:tr w:rsidR="00E05C8A" w:rsidRPr="00E05C8A" w14:paraId="12A8949E" w14:textId="77777777" w:rsidTr="00593DA3">
        <w:trPr>
          <w:trHeight w:val="397"/>
          <w:jc w:val="center"/>
        </w:trPr>
        <w:tc>
          <w:tcPr>
            <w:tcW w:w="2367" w:type="dxa"/>
            <w:tcBorders>
              <w:top w:val="nil"/>
              <w:left w:val="nil"/>
              <w:bottom w:val="single" w:sz="4" w:space="0" w:color="2F5496" w:themeColor="accent1" w:themeShade="BF"/>
              <w:right w:val="nil"/>
            </w:tcBorders>
            <w:shd w:val="clear" w:color="auto" w:fill="auto"/>
            <w:vAlign w:val="center"/>
          </w:tcPr>
          <w:p w14:paraId="594C2E87" w14:textId="6F202646" w:rsidR="007052CB" w:rsidRPr="00E05C8A" w:rsidRDefault="007052CB" w:rsidP="007052CB">
            <w:pPr>
              <w:rPr>
                <w:rFonts w:ascii="Verdana" w:hAnsi="Verdana"/>
                <w:noProof/>
                <w:color w:val="366092"/>
                <w:sz w:val="18"/>
                <w:szCs w:val="18"/>
                <w:lang w:val="el-GR"/>
              </w:rPr>
            </w:pPr>
            <w:r w:rsidRPr="00E05C8A">
              <w:rPr>
                <w:rFonts w:ascii="Verdana" w:eastAsia="Times New Roman" w:hAnsi="Verdana" w:cs="Arial"/>
                <w:color w:val="366092"/>
                <w:sz w:val="18"/>
                <w:szCs w:val="18"/>
                <w:lang w:bidi="he-IL"/>
              </w:rPr>
              <w:t>Lubricants</w:t>
            </w:r>
          </w:p>
        </w:tc>
        <w:tc>
          <w:tcPr>
            <w:tcW w:w="1097" w:type="dxa"/>
            <w:tcBorders>
              <w:top w:val="nil"/>
              <w:left w:val="nil"/>
              <w:bottom w:val="single" w:sz="4" w:space="0" w:color="2F5496" w:themeColor="accent1" w:themeShade="BF"/>
              <w:right w:val="nil"/>
            </w:tcBorders>
            <w:shd w:val="clear" w:color="000000" w:fill="FFFFFF"/>
            <w:vAlign w:val="center"/>
          </w:tcPr>
          <w:p w14:paraId="5AA1D5AC" w14:textId="75376378" w:rsidR="007052CB" w:rsidRPr="00E05C8A" w:rsidRDefault="007052CB" w:rsidP="007052CB">
            <w:pPr>
              <w:jc w:val="right"/>
              <w:rPr>
                <w:color w:val="366092"/>
              </w:rPr>
            </w:pPr>
            <w:r w:rsidRPr="00E05C8A">
              <w:rPr>
                <w:color w:val="366092"/>
              </w:rPr>
              <w:t xml:space="preserve"> 118   </w:t>
            </w:r>
          </w:p>
        </w:tc>
        <w:tc>
          <w:tcPr>
            <w:tcW w:w="1096" w:type="dxa"/>
            <w:tcBorders>
              <w:top w:val="nil"/>
              <w:left w:val="nil"/>
              <w:bottom w:val="single" w:sz="4" w:space="0" w:color="2F5496" w:themeColor="accent1" w:themeShade="BF"/>
              <w:right w:val="nil"/>
            </w:tcBorders>
            <w:shd w:val="clear" w:color="auto" w:fill="auto"/>
            <w:vAlign w:val="center"/>
          </w:tcPr>
          <w:p w14:paraId="0D8EFF27" w14:textId="56624361" w:rsidR="007052CB" w:rsidRPr="00E05C8A" w:rsidRDefault="007052CB" w:rsidP="007052CB">
            <w:pPr>
              <w:jc w:val="right"/>
              <w:rPr>
                <w:color w:val="366092"/>
              </w:rPr>
            </w:pPr>
            <w:r w:rsidRPr="00E05C8A">
              <w:rPr>
                <w:color w:val="366092"/>
              </w:rPr>
              <w:t xml:space="preserve"> 119   </w:t>
            </w:r>
          </w:p>
        </w:tc>
        <w:tc>
          <w:tcPr>
            <w:tcW w:w="1269" w:type="dxa"/>
            <w:tcBorders>
              <w:top w:val="nil"/>
              <w:left w:val="nil"/>
              <w:bottom w:val="single" w:sz="4" w:space="0" w:color="2F5496" w:themeColor="accent1" w:themeShade="BF"/>
              <w:right w:val="nil"/>
            </w:tcBorders>
            <w:shd w:val="clear" w:color="auto" w:fill="auto"/>
            <w:vAlign w:val="center"/>
          </w:tcPr>
          <w:p w14:paraId="41DF4293" w14:textId="5FE807B9" w:rsidR="007052CB" w:rsidRPr="00E05C8A" w:rsidRDefault="007052CB" w:rsidP="007052CB">
            <w:pPr>
              <w:jc w:val="right"/>
              <w:rPr>
                <w:color w:val="366092"/>
              </w:rPr>
            </w:pPr>
            <w:r w:rsidRPr="00E05C8A">
              <w:rPr>
                <w:color w:val="366092"/>
              </w:rPr>
              <w:t xml:space="preserve"> 422   </w:t>
            </w:r>
          </w:p>
        </w:tc>
        <w:tc>
          <w:tcPr>
            <w:tcW w:w="1269" w:type="dxa"/>
            <w:tcBorders>
              <w:top w:val="nil"/>
              <w:left w:val="nil"/>
              <w:bottom w:val="single" w:sz="4" w:space="0" w:color="2F5496" w:themeColor="accent1" w:themeShade="BF"/>
              <w:right w:val="nil"/>
            </w:tcBorders>
            <w:shd w:val="clear" w:color="auto" w:fill="auto"/>
            <w:vAlign w:val="center"/>
          </w:tcPr>
          <w:p w14:paraId="2D09DF37" w14:textId="51BFE67D" w:rsidR="007052CB" w:rsidRPr="00E05C8A" w:rsidRDefault="007052CB" w:rsidP="007052CB">
            <w:pPr>
              <w:jc w:val="right"/>
              <w:rPr>
                <w:color w:val="366092"/>
              </w:rPr>
            </w:pPr>
            <w:r w:rsidRPr="00E05C8A">
              <w:rPr>
                <w:color w:val="366092"/>
              </w:rPr>
              <w:t xml:space="preserve"> 411   </w:t>
            </w:r>
          </w:p>
        </w:tc>
        <w:tc>
          <w:tcPr>
            <w:tcW w:w="240" w:type="dxa"/>
            <w:vMerge w:val="restart"/>
            <w:tcBorders>
              <w:bottom w:val="single" w:sz="4" w:space="0" w:color="2F5496" w:themeColor="accent1" w:themeShade="BF"/>
            </w:tcBorders>
            <w:vAlign w:val="center"/>
          </w:tcPr>
          <w:p w14:paraId="6EC50457" w14:textId="6046F532" w:rsidR="007052CB" w:rsidRPr="00E05C8A" w:rsidRDefault="007052CB" w:rsidP="007052CB">
            <w:pPr>
              <w:jc w:val="right"/>
              <w:rPr>
                <w:rFonts w:ascii="Verdana" w:hAnsi="Verdana"/>
                <w:noProof/>
                <w:color w:val="366092"/>
                <w:sz w:val="18"/>
                <w:szCs w:val="18"/>
                <w:lang w:val="el-GR"/>
              </w:rPr>
            </w:pPr>
          </w:p>
        </w:tc>
        <w:tc>
          <w:tcPr>
            <w:tcW w:w="1400" w:type="dxa"/>
            <w:tcBorders>
              <w:top w:val="nil"/>
              <w:left w:val="nil"/>
              <w:bottom w:val="single" w:sz="4" w:space="0" w:color="2F5496" w:themeColor="accent1" w:themeShade="BF"/>
              <w:right w:val="nil"/>
            </w:tcBorders>
            <w:shd w:val="clear" w:color="auto" w:fill="auto"/>
            <w:vAlign w:val="center"/>
          </w:tcPr>
          <w:p w14:paraId="174462C3" w14:textId="1C523DFC"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-0,8</w:t>
            </w:r>
          </w:p>
        </w:tc>
        <w:tc>
          <w:tcPr>
            <w:tcW w:w="1400" w:type="dxa"/>
            <w:tcBorders>
              <w:top w:val="nil"/>
              <w:left w:val="nil"/>
              <w:bottom w:val="single" w:sz="4" w:space="0" w:color="2F5496" w:themeColor="accent1" w:themeShade="BF"/>
              <w:right w:val="nil"/>
            </w:tcBorders>
            <w:shd w:val="clear" w:color="auto" w:fill="auto"/>
            <w:vAlign w:val="center"/>
          </w:tcPr>
          <w:p w14:paraId="358D8EB5" w14:textId="72D29EE4" w:rsidR="007052CB" w:rsidRPr="00E05C8A" w:rsidRDefault="007052CB" w:rsidP="007052CB">
            <w:pPr>
              <w:ind w:right="397"/>
              <w:jc w:val="right"/>
              <w:rPr>
                <w:rFonts w:ascii="Verdana" w:hAnsi="Verdana" w:cs="Arial"/>
                <w:color w:val="366092"/>
                <w:sz w:val="18"/>
                <w:szCs w:val="18"/>
              </w:rPr>
            </w:pPr>
            <w:r w:rsidRPr="00E05C8A">
              <w:rPr>
                <w:rFonts w:ascii="Verdana" w:hAnsi="Verdana" w:cs="Arial"/>
                <w:color w:val="366092"/>
                <w:sz w:val="18"/>
                <w:szCs w:val="18"/>
              </w:rPr>
              <w:t>2,7</w:t>
            </w:r>
          </w:p>
        </w:tc>
      </w:tr>
      <w:tr w:rsidR="00E05C8A" w:rsidRPr="00E05C8A" w14:paraId="77BD35BE" w14:textId="77777777" w:rsidTr="007052CB">
        <w:trPr>
          <w:trHeight w:val="567"/>
          <w:jc w:val="center"/>
        </w:trPr>
        <w:tc>
          <w:tcPr>
            <w:tcW w:w="2367" w:type="dxa"/>
            <w:tcBorders>
              <w:top w:val="single" w:sz="4" w:space="0" w:color="2F5496" w:themeColor="accent1" w:themeShade="BF"/>
              <w:bottom w:val="single" w:sz="4" w:space="0" w:color="2F5496" w:themeColor="accent1" w:themeShade="BF"/>
            </w:tcBorders>
            <w:vAlign w:val="center"/>
          </w:tcPr>
          <w:p w14:paraId="685A2339" w14:textId="7BA86DB6" w:rsidR="007052CB" w:rsidRPr="00E05C8A" w:rsidRDefault="007052CB" w:rsidP="007052CB">
            <w:pPr>
              <w:rPr>
                <w:rFonts w:ascii="Verdana" w:hAnsi="Verdana"/>
                <w:b/>
                <w:bCs/>
                <w:noProof/>
                <w:color w:val="366092"/>
                <w:sz w:val="18"/>
                <w:szCs w:val="18"/>
                <w:lang w:val="el-GR"/>
              </w:rPr>
            </w:pPr>
            <w:r w:rsidRPr="00E05C8A">
              <w:rPr>
                <w:rFonts w:ascii="Verdana" w:hAnsi="Verdana"/>
                <w:b/>
                <w:bCs/>
                <w:color w:val="366092"/>
                <w:sz w:val="18"/>
                <w:szCs w:val="18"/>
              </w:rPr>
              <w:t xml:space="preserve">Total    </w:t>
            </w:r>
          </w:p>
        </w:tc>
        <w:tc>
          <w:tcPr>
            <w:tcW w:w="1097"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50639E4" w14:textId="1E1E6D7F" w:rsidR="007052CB" w:rsidRPr="00E05C8A" w:rsidRDefault="007052CB" w:rsidP="007052CB">
            <w:pPr>
              <w:jc w:val="right"/>
              <w:rPr>
                <w:rFonts w:ascii="Verdana" w:eastAsia="Malgun Gothic" w:hAnsi="Verdana" w:cs="Arial"/>
                <w:b/>
                <w:color w:val="366092"/>
                <w:sz w:val="18"/>
                <w:szCs w:val="18"/>
                <w:lang w:val="el-GR"/>
              </w:rPr>
            </w:pPr>
            <w:r w:rsidRPr="00E05C8A">
              <w:rPr>
                <w:rFonts w:ascii="Verdana" w:eastAsia="Malgun Gothic" w:hAnsi="Verdana" w:cs="Arial"/>
                <w:b/>
                <w:color w:val="366092"/>
                <w:sz w:val="18"/>
                <w:szCs w:val="18"/>
                <w:lang w:val="el-GR"/>
              </w:rPr>
              <w:t xml:space="preserve"> 54.739   </w:t>
            </w:r>
          </w:p>
        </w:tc>
        <w:tc>
          <w:tcPr>
            <w:tcW w:w="1096"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3AE7C728" w14:textId="1A6DE0D9" w:rsidR="007052CB" w:rsidRPr="00E05C8A" w:rsidRDefault="007052CB" w:rsidP="007052CB">
            <w:pPr>
              <w:jc w:val="right"/>
              <w:rPr>
                <w:rFonts w:ascii="Verdana" w:eastAsia="Malgun Gothic" w:hAnsi="Verdana" w:cs="Arial"/>
                <w:b/>
                <w:color w:val="366092"/>
                <w:sz w:val="18"/>
                <w:szCs w:val="18"/>
                <w:lang w:val="el-GR"/>
              </w:rPr>
            </w:pPr>
            <w:r w:rsidRPr="00E05C8A">
              <w:rPr>
                <w:rFonts w:ascii="Verdana" w:eastAsia="Malgun Gothic" w:hAnsi="Verdana" w:cs="Arial"/>
                <w:b/>
                <w:color w:val="366092"/>
                <w:sz w:val="18"/>
                <w:szCs w:val="18"/>
                <w:lang w:val="el-GR"/>
              </w:rPr>
              <w:t xml:space="preserve"> 53.037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68D00F83" w14:textId="31ED842E" w:rsidR="007052CB" w:rsidRPr="00E05C8A" w:rsidRDefault="007052CB" w:rsidP="007052CB">
            <w:pPr>
              <w:jc w:val="right"/>
              <w:rPr>
                <w:rFonts w:ascii="Verdana" w:eastAsia="Malgun Gothic" w:hAnsi="Verdana" w:cs="Arial"/>
                <w:b/>
                <w:color w:val="366092"/>
                <w:sz w:val="18"/>
                <w:szCs w:val="18"/>
                <w:lang w:val="el-GR"/>
              </w:rPr>
            </w:pPr>
            <w:r w:rsidRPr="00E05C8A">
              <w:rPr>
                <w:rFonts w:ascii="Verdana" w:eastAsia="Malgun Gothic" w:hAnsi="Verdana" w:cs="Arial"/>
                <w:b/>
                <w:color w:val="366092"/>
                <w:sz w:val="18"/>
                <w:szCs w:val="18"/>
                <w:lang w:val="el-GR"/>
              </w:rPr>
              <w:t xml:space="preserve"> 224.167   </w:t>
            </w:r>
          </w:p>
        </w:tc>
        <w:tc>
          <w:tcPr>
            <w:tcW w:w="1269"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0F00775" w14:textId="66FA3958" w:rsidR="007052CB" w:rsidRPr="00E05C8A" w:rsidRDefault="007052CB" w:rsidP="007052CB">
            <w:pPr>
              <w:jc w:val="right"/>
              <w:rPr>
                <w:rFonts w:ascii="Verdana" w:eastAsia="Malgun Gothic" w:hAnsi="Verdana" w:cs="Arial"/>
                <w:b/>
                <w:color w:val="366092"/>
                <w:sz w:val="18"/>
                <w:szCs w:val="18"/>
                <w:lang w:val="el-GR"/>
              </w:rPr>
            </w:pPr>
            <w:r w:rsidRPr="00E05C8A">
              <w:rPr>
                <w:rFonts w:ascii="Verdana" w:eastAsia="Malgun Gothic" w:hAnsi="Verdana" w:cs="Arial"/>
                <w:b/>
                <w:color w:val="366092"/>
                <w:sz w:val="18"/>
                <w:szCs w:val="18"/>
                <w:lang w:val="el-GR"/>
              </w:rPr>
              <w:t xml:space="preserve"> 220.031   </w:t>
            </w:r>
          </w:p>
        </w:tc>
        <w:tc>
          <w:tcPr>
            <w:tcW w:w="240" w:type="dxa"/>
            <w:vMerge/>
            <w:tcBorders>
              <w:top w:val="single" w:sz="4" w:space="0" w:color="2F5496" w:themeColor="accent1" w:themeShade="BF"/>
              <w:bottom w:val="single" w:sz="4" w:space="0" w:color="2F5496" w:themeColor="accent1" w:themeShade="BF"/>
            </w:tcBorders>
            <w:vAlign w:val="center"/>
          </w:tcPr>
          <w:p w14:paraId="635AD870" w14:textId="77777777" w:rsidR="007052CB" w:rsidRPr="00E05C8A" w:rsidRDefault="007052CB" w:rsidP="007052CB">
            <w:pPr>
              <w:jc w:val="right"/>
              <w:rPr>
                <w:rFonts w:ascii="Verdana" w:hAnsi="Verdana"/>
                <w:b/>
                <w:bCs/>
                <w:noProof/>
                <w:color w:val="366092"/>
                <w:sz w:val="18"/>
                <w:szCs w:val="18"/>
                <w:lang w:val="el-GR"/>
              </w:rPr>
            </w:pP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2F2E1EB9" w14:textId="721AB37C" w:rsidR="007052CB" w:rsidRPr="00E05C8A" w:rsidRDefault="007052CB" w:rsidP="007052CB">
            <w:pPr>
              <w:jc w:val="center"/>
              <w:rPr>
                <w:rFonts w:ascii="Verdana" w:eastAsia="Malgun Gothic" w:hAnsi="Verdana" w:cs="Arial"/>
                <w:b/>
                <w:color w:val="366092"/>
                <w:sz w:val="18"/>
                <w:szCs w:val="18"/>
              </w:rPr>
            </w:pPr>
            <w:r w:rsidRPr="00E05C8A">
              <w:rPr>
                <w:rFonts w:ascii="Verdana" w:eastAsia="Malgun Gothic" w:hAnsi="Verdana" w:cs="Arial"/>
                <w:b/>
                <w:color w:val="366092"/>
                <w:sz w:val="18"/>
                <w:szCs w:val="18"/>
                <w:lang w:val="el-GR"/>
              </w:rPr>
              <w:t>3,2</w:t>
            </w:r>
          </w:p>
        </w:tc>
        <w:tc>
          <w:tcPr>
            <w:tcW w:w="1400" w:type="dxa"/>
            <w:tcBorders>
              <w:top w:val="single" w:sz="4" w:space="0" w:color="2F5496" w:themeColor="accent1" w:themeShade="BF"/>
              <w:left w:val="nil"/>
              <w:bottom w:val="single" w:sz="4" w:space="0" w:color="2F5496" w:themeColor="accent1" w:themeShade="BF"/>
              <w:right w:val="nil"/>
            </w:tcBorders>
            <w:shd w:val="clear" w:color="auto" w:fill="auto"/>
            <w:vAlign w:val="center"/>
          </w:tcPr>
          <w:p w14:paraId="175D777A" w14:textId="7D91EE9A" w:rsidR="007052CB" w:rsidRPr="00E05C8A" w:rsidRDefault="007052CB" w:rsidP="007052CB">
            <w:pPr>
              <w:jc w:val="center"/>
              <w:rPr>
                <w:rFonts w:ascii="Verdana" w:eastAsia="Malgun Gothic" w:hAnsi="Verdana" w:cs="Arial"/>
                <w:b/>
                <w:color w:val="366092"/>
                <w:sz w:val="18"/>
                <w:szCs w:val="18"/>
              </w:rPr>
            </w:pPr>
            <w:r w:rsidRPr="00E05C8A">
              <w:rPr>
                <w:rFonts w:ascii="Verdana" w:eastAsia="Malgun Gothic" w:hAnsi="Verdana" w:cs="Arial"/>
                <w:b/>
                <w:color w:val="366092"/>
                <w:sz w:val="18"/>
                <w:szCs w:val="18"/>
                <w:lang w:val="el-GR"/>
              </w:rPr>
              <w:t>1,9</w:t>
            </w:r>
          </w:p>
        </w:tc>
      </w:tr>
    </w:tbl>
    <w:p w14:paraId="654E4806" w14:textId="77777777" w:rsidR="00FD2566" w:rsidRDefault="00FD2566" w:rsidP="00DB1D54">
      <w:pPr>
        <w:jc w:val="both"/>
        <w:rPr>
          <w:rFonts w:ascii="Verdana" w:eastAsia="Times New Roman" w:hAnsi="Verdana" w:cs="Arial"/>
          <w:noProof/>
          <w:color w:val="000000"/>
          <w:sz w:val="18"/>
          <w:szCs w:val="18"/>
          <w:shd w:val="clear" w:color="auto" w:fill="FFFFFF"/>
        </w:rPr>
      </w:pPr>
    </w:p>
    <w:p w14:paraId="7A3D4A16" w14:textId="77777777" w:rsidR="00294481" w:rsidRDefault="00294481" w:rsidP="00DB1D54">
      <w:pPr>
        <w:jc w:val="both"/>
        <w:rPr>
          <w:rFonts w:ascii="Verdana" w:eastAsia="Times New Roman" w:hAnsi="Verdana" w:cs="Arial"/>
          <w:noProof/>
          <w:color w:val="000000"/>
          <w:sz w:val="18"/>
          <w:szCs w:val="18"/>
          <w:shd w:val="clear" w:color="auto" w:fill="FFFFFF"/>
        </w:rPr>
      </w:pPr>
    </w:p>
    <w:p w14:paraId="49B5D52C" w14:textId="77777777" w:rsidR="00294481" w:rsidRDefault="00294481" w:rsidP="00DB1D54">
      <w:pPr>
        <w:jc w:val="both"/>
        <w:rPr>
          <w:rFonts w:ascii="Verdana" w:eastAsia="Times New Roman" w:hAnsi="Verdana" w:cs="Arial"/>
          <w:noProof/>
          <w:color w:val="000000"/>
          <w:sz w:val="18"/>
          <w:szCs w:val="18"/>
          <w:shd w:val="clear" w:color="auto" w:fill="FFFFFF"/>
        </w:rPr>
      </w:pPr>
    </w:p>
    <w:p w14:paraId="5C24A48A" w14:textId="77777777" w:rsidR="00294481" w:rsidRDefault="00294481" w:rsidP="00DB1D54">
      <w:pPr>
        <w:jc w:val="both"/>
        <w:rPr>
          <w:rFonts w:ascii="Verdana" w:eastAsia="Times New Roman" w:hAnsi="Verdana" w:cs="Arial"/>
          <w:noProof/>
          <w:color w:val="000000"/>
          <w:sz w:val="18"/>
          <w:szCs w:val="18"/>
          <w:shd w:val="clear" w:color="auto" w:fill="FFFFFF"/>
        </w:rPr>
      </w:pPr>
    </w:p>
    <w:p w14:paraId="34FD71B4" w14:textId="77777777" w:rsidR="00294481" w:rsidRDefault="00294481" w:rsidP="00DB1D54">
      <w:pPr>
        <w:jc w:val="both"/>
        <w:rPr>
          <w:rFonts w:ascii="Verdana" w:eastAsia="Times New Roman" w:hAnsi="Verdana" w:cs="Arial"/>
          <w:noProof/>
          <w:color w:val="000000"/>
          <w:sz w:val="18"/>
          <w:szCs w:val="18"/>
          <w:shd w:val="clear" w:color="auto" w:fill="FFFFFF"/>
        </w:rPr>
      </w:pPr>
    </w:p>
    <w:p w14:paraId="67A070BC" w14:textId="77777777" w:rsidR="00294481" w:rsidRDefault="00294481" w:rsidP="00DB1D54">
      <w:pPr>
        <w:jc w:val="both"/>
        <w:rPr>
          <w:rFonts w:ascii="Verdana" w:eastAsia="Times New Roman" w:hAnsi="Verdana" w:cs="Arial"/>
          <w:noProof/>
          <w:color w:val="000000"/>
          <w:sz w:val="18"/>
          <w:szCs w:val="18"/>
          <w:shd w:val="clear" w:color="auto" w:fill="FFFFFF"/>
        </w:rPr>
      </w:pPr>
    </w:p>
    <w:p w14:paraId="71A1A2FF" w14:textId="77777777" w:rsidR="00493568" w:rsidRDefault="00493568" w:rsidP="00025A73">
      <w:pPr>
        <w:jc w:val="both"/>
        <w:rPr>
          <w:rFonts w:ascii="Verdana" w:eastAsia="Times New Roman" w:hAnsi="Verdana" w:cs="Arial"/>
          <w:noProof/>
          <w:color w:val="000000"/>
          <w:sz w:val="18"/>
          <w:szCs w:val="18"/>
          <w:shd w:val="clear" w:color="auto" w:fill="FFFFFF"/>
        </w:rPr>
      </w:pPr>
    </w:p>
    <w:p w14:paraId="1A24547D" w14:textId="77777777" w:rsidR="00025A73" w:rsidRPr="00025A73" w:rsidRDefault="00025A73" w:rsidP="00025A73">
      <w:pPr>
        <w:jc w:val="both"/>
        <w:rPr>
          <w:rFonts w:ascii="Verdana" w:eastAsia="Times New Roman" w:hAnsi="Verdana" w:cs="Arial"/>
          <w:noProof/>
          <w:color w:val="000000"/>
          <w:sz w:val="18"/>
          <w:szCs w:val="18"/>
          <w:shd w:val="clear" w:color="auto" w:fill="FFFFFF"/>
        </w:rPr>
      </w:pPr>
    </w:p>
    <w:p w14:paraId="74AF06B6" w14:textId="4190F8B2" w:rsidR="00AF4E61" w:rsidRPr="003215E5" w:rsidRDefault="00AF4E61" w:rsidP="00114244">
      <w:pPr>
        <w:jc w:val="center"/>
        <w:rPr>
          <w:rFonts w:ascii="Verdana" w:eastAsia="Malgun Gothic" w:hAnsi="Verdana" w:cs="Arial"/>
          <w:b/>
          <w:u w:val="single"/>
        </w:rPr>
      </w:pPr>
      <w:r w:rsidRPr="009A789B">
        <w:rPr>
          <w:rFonts w:ascii="Verdana" w:eastAsia="Malgun Gothic" w:hAnsi="Verdana" w:cs="Arial"/>
          <w:b/>
          <w:u w:val="single"/>
        </w:rPr>
        <w:lastRenderedPageBreak/>
        <w:t>METHODOLOGICAL INFORMATIO</w:t>
      </w:r>
      <w:r>
        <w:rPr>
          <w:rFonts w:ascii="Verdana" w:eastAsia="Malgun Gothic" w:hAnsi="Verdana" w:cs="Arial"/>
          <w:b/>
          <w:u w:val="single"/>
        </w:rPr>
        <w:t>N</w:t>
      </w:r>
    </w:p>
    <w:p w14:paraId="79A1622F" w14:textId="77777777" w:rsidR="00AF4E61" w:rsidRPr="009A789B" w:rsidRDefault="00AF4E61" w:rsidP="00AF4E61">
      <w:pPr>
        <w:jc w:val="center"/>
        <w:rPr>
          <w:rFonts w:ascii="Verdana" w:eastAsia="Malgun Gothic" w:hAnsi="Verdana" w:cs="Arial"/>
          <w:b/>
          <w:u w:val="single"/>
        </w:rPr>
      </w:pPr>
    </w:p>
    <w:p w14:paraId="3F409ED5" w14:textId="77777777" w:rsidR="00AF4E61" w:rsidRPr="009A789B" w:rsidRDefault="00AF4E61" w:rsidP="00AF4E61">
      <w:pPr>
        <w:jc w:val="both"/>
        <w:rPr>
          <w:rFonts w:ascii="Verdana" w:eastAsia="Malgun Gothic" w:hAnsi="Verdana" w:cs="Arial"/>
          <w:sz w:val="18"/>
          <w:szCs w:val="18"/>
        </w:rPr>
      </w:pPr>
    </w:p>
    <w:p w14:paraId="2D1A31AA" w14:textId="77777777" w:rsidR="00AF4E61" w:rsidRDefault="00AF4E61" w:rsidP="00AF4E61">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b/>
          <w:bCs/>
          <w:color w:val="000000"/>
          <w:sz w:val="18"/>
          <w:szCs w:val="18"/>
          <w:u w:val="single"/>
          <w:shd w:val="clear" w:color="auto" w:fill="FFFFFF"/>
        </w:rPr>
        <w:t>Scope and Coverage</w:t>
      </w:r>
    </w:p>
    <w:p w14:paraId="60F009E4" w14:textId="77777777" w:rsidR="00AF4E61" w:rsidRDefault="00AF4E61" w:rsidP="00AF4E61">
      <w:pPr>
        <w:tabs>
          <w:tab w:val="left" w:pos="1080"/>
          <w:tab w:val="left" w:pos="6840"/>
        </w:tabs>
        <w:jc w:val="both"/>
        <w:rPr>
          <w:rFonts w:ascii="Verdana" w:eastAsia="Times New Roman" w:hAnsi="Verdana" w:cs="Arial"/>
          <w:color w:val="000000"/>
          <w:sz w:val="18"/>
          <w:szCs w:val="18"/>
          <w:shd w:val="clear" w:color="auto" w:fill="FFFFFF"/>
        </w:rPr>
      </w:pPr>
    </w:p>
    <w:p w14:paraId="73B86670" w14:textId="77777777" w:rsidR="00AF4E61" w:rsidRPr="007D40DE" w:rsidRDefault="00AF4E61" w:rsidP="00E05C8A">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color w:val="000000"/>
          <w:sz w:val="18"/>
          <w:szCs w:val="18"/>
          <w:shd w:val="clear" w:color="auto" w:fill="FFFFFF"/>
        </w:rPr>
        <w:t>The collection of data on Imports, Sales and Stocks of Petroleum Products is carried out on a monthly basis.</w:t>
      </w:r>
    </w:p>
    <w:p w14:paraId="043EC523" w14:textId="77777777" w:rsidR="00AF4E61" w:rsidRDefault="00AF4E61" w:rsidP="00E05C8A">
      <w:pPr>
        <w:tabs>
          <w:tab w:val="left" w:pos="1080"/>
          <w:tab w:val="left" w:pos="6840"/>
        </w:tabs>
        <w:jc w:val="both"/>
        <w:rPr>
          <w:rFonts w:ascii="Verdana" w:eastAsia="Times New Roman" w:hAnsi="Verdana" w:cs="Arial"/>
          <w:color w:val="000000"/>
          <w:sz w:val="18"/>
          <w:szCs w:val="18"/>
          <w:shd w:val="clear" w:color="auto" w:fill="FFFFFF"/>
        </w:rPr>
      </w:pPr>
    </w:p>
    <w:p w14:paraId="771D794C" w14:textId="77777777" w:rsidR="00AF4E61" w:rsidRDefault="00AF4E61" w:rsidP="00E05C8A">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It concerns the sales of petroleum products from filling stations and the sales to government departments, to the British Bases and the United Nations, to ships and to other customers, as well as the stocks held</w:t>
      </w:r>
      <w:r w:rsidRPr="002346D9">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at the end of each month. Only the petroleum companies are being covered. Additionally, the imports of petroleum products imported directly from the Electricity Authority of Cyprus (EAC) and the manufacturing industry are also included.</w:t>
      </w:r>
    </w:p>
    <w:p w14:paraId="201C21EE" w14:textId="77777777" w:rsidR="00AF4E61" w:rsidRDefault="00AF4E61" w:rsidP="00E05C8A">
      <w:pPr>
        <w:tabs>
          <w:tab w:val="left" w:pos="1080"/>
          <w:tab w:val="left" w:pos="6840"/>
        </w:tabs>
        <w:jc w:val="both"/>
        <w:rPr>
          <w:rFonts w:ascii="Verdana" w:eastAsia="Times New Roman" w:hAnsi="Verdana" w:cs="Helvetica"/>
          <w:color w:val="000000"/>
          <w:sz w:val="18"/>
          <w:szCs w:val="18"/>
        </w:rPr>
      </w:pPr>
    </w:p>
    <w:p w14:paraId="724E7888" w14:textId="419DB22E" w:rsidR="00AF4E61" w:rsidRDefault="00AF4E61" w:rsidP="00E05C8A">
      <w:pPr>
        <w:tabs>
          <w:tab w:val="left" w:pos="1080"/>
          <w:tab w:val="left" w:pos="6840"/>
        </w:tabs>
        <w:jc w:val="both"/>
        <w:rPr>
          <w:rFonts w:ascii="Verdana" w:eastAsia="Times New Roman" w:hAnsi="Verdana" w:cs="Helvetica"/>
          <w:color w:val="000000"/>
          <w:sz w:val="18"/>
          <w:szCs w:val="18"/>
        </w:rPr>
      </w:pPr>
      <w:r w:rsidRPr="00974255">
        <w:rPr>
          <w:rFonts w:ascii="Verdana" w:eastAsia="Times New Roman" w:hAnsi="Verdana" w:cs="Arial"/>
          <w:b/>
          <w:bCs/>
          <w:color w:val="000000"/>
          <w:sz w:val="18"/>
          <w:szCs w:val="18"/>
          <w:u w:val="single"/>
          <w:shd w:val="clear" w:color="auto" w:fill="FFFFFF"/>
        </w:rPr>
        <w:t xml:space="preserve">Data </w:t>
      </w:r>
      <w:r w:rsidR="00E132A2">
        <w:rPr>
          <w:rFonts w:ascii="Verdana" w:eastAsia="Times New Roman" w:hAnsi="Verdana" w:cs="Arial"/>
          <w:b/>
          <w:bCs/>
          <w:color w:val="000000"/>
          <w:sz w:val="18"/>
          <w:szCs w:val="18"/>
          <w:u w:val="single"/>
          <w:shd w:val="clear" w:color="auto" w:fill="FFFFFF"/>
        </w:rPr>
        <w:t>C</w:t>
      </w:r>
      <w:r w:rsidRPr="00974255">
        <w:rPr>
          <w:rFonts w:ascii="Verdana" w:eastAsia="Times New Roman" w:hAnsi="Verdana" w:cs="Arial"/>
          <w:b/>
          <w:bCs/>
          <w:color w:val="000000"/>
          <w:sz w:val="18"/>
          <w:szCs w:val="18"/>
          <w:u w:val="single"/>
          <w:shd w:val="clear" w:color="auto" w:fill="FFFFFF"/>
        </w:rPr>
        <w:t>ollection</w:t>
      </w:r>
    </w:p>
    <w:p w14:paraId="4772E7C7" w14:textId="77777777" w:rsidR="00AF4E61" w:rsidRDefault="00AF4E61" w:rsidP="00E05C8A">
      <w:pPr>
        <w:tabs>
          <w:tab w:val="left" w:pos="1080"/>
          <w:tab w:val="left" w:pos="6840"/>
        </w:tabs>
        <w:jc w:val="both"/>
        <w:rPr>
          <w:rFonts w:ascii="Verdana" w:eastAsia="Times New Roman" w:hAnsi="Verdana" w:cs="Arial"/>
          <w:color w:val="000000"/>
          <w:sz w:val="18"/>
          <w:szCs w:val="18"/>
          <w:shd w:val="clear" w:color="auto" w:fill="FFFFFF"/>
        </w:rPr>
      </w:pPr>
    </w:p>
    <w:p w14:paraId="1E328633" w14:textId="77777777" w:rsidR="00AF4E61" w:rsidRDefault="00AF4E61" w:rsidP="00E05C8A">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color w:val="000000"/>
          <w:sz w:val="18"/>
          <w:szCs w:val="18"/>
          <w:shd w:val="clear" w:color="auto" w:fill="FFFFFF"/>
        </w:rPr>
        <w:t xml:space="preserve">The collection of data is conducted by the Statistical Service on a monthly basis by electronically receiving a purpose-designed questionnaire from each of these companies. </w:t>
      </w:r>
    </w:p>
    <w:p w14:paraId="13532241" w14:textId="77777777" w:rsidR="00AF4E61" w:rsidRDefault="00AF4E61" w:rsidP="00E05C8A">
      <w:pPr>
        <w:jc w:val="both"/>
        <w:rPr>
          <w:rFonts w:ascii="Verdana" w:eastAsia="Malgun Gothic" w:hAnsi="Verdana" w:cs="Arial"/>
          <w:b/>
          <w:bCs/>
          <w:i/>
          <w:sz w:val="18"/>
          <w:szCs w:val="18"/>
        </w:rPr>
      </w:pPr>
    </w:p>
    <w:p w14:paraId="7755D547" w14:textId="77777777" w:rsidR="00220967" w:rsidRDefault="00220967" w:rsidP="00E05C8A">
      <w:pPr>
        <w:jc w:val="both"/>
        <w:rPr>
          <w:rFonts w:ascii="Verdana" w:eastAsia="Malgun Gothic" w:hAnsi="Verdana" w:cs="Arial"/>
          <w:b/>
          <w:bCs/>
          <w:i/>
          <w:sz w:val="18"/>
          <w:szCs w:val="18"/>
        </w:rPr>
      </w:pPr>
    </w:p>
    <w:p w14:paraId="32E3F171" w14:textId="77777777" w:rsidR="00AF4E61" w:rsidRPr="000335A0" w:rsidRDefault="00AF4E61" w:rsidP="00E05C8A">
      <w:pPr>
        <w:jc w:val="both"/>
        <w:rPr>
          <w:rFonts w:ascii="Verdana" w:eastAsia="Malgun Gothic" w:hAnsi="Verdana" w:cs="Arial"/>
          <w:b/>
          <w:bCs/>
          <w:sz w:val="18"/>
          <w:szCs w:val="18"/>
        </w:rPr>
      </w:pPr>
      <w:r w:rsidRPr="000335A0">
        <w:rPr>
          <w:rFonts w:ascii="Verdana" w:eastAsia="Malgun Gothic" w:hAnsi="Verdana" w:cs="Arial"/>
          <w:b/>
          <w:bCs/>
          <w:i/>
          <w:sz w:val="18"/>
          <w:szCs w:val="18"/>
        </w:rPr>
        <w:t>For more information</w:t>
      </w:r>
      <w:r w:rsidRPr="000335A0">
        <w:rPr>
          <w:rFonts w:ascii="Verdana" w:eastAsia="Malgun Gothic" w:hAnsi="Verdana" w:cs="Arial"/>
          <w:b/>
          <w:bCs/>
          <w:sz w:val="18"/>
          <w:szCs w:val="18"/>
        </w:rPr>
        <w:t>:</w:t>
      </w:r>
    </w:p>
    <w:p w14:paraId="6DB23E36" w14:textId="77777777" w:rsidR="00114244" w:rsidRPr="00114244" w:rsidRDefault="00114244" w:rsidP="00E05C8A">
      <w:pPr>
        <w:jc w:val="both"/>
        <w:rPr>
          <w:rFonts w:ascii="Verdana" w:hAnsi="Verdana"/>
          <w:sz w:val="18"/>
          <w:szCs w:val="18"/>
        </w:rPr>
      </w:pPr>
      <w:r w:rsidRPr="00114244">
        <w:rPr>
          <w:rFonts w:ascii="Verdana" w:hAnsi="Verdana"/>
          <w:sz w:val="18"/>
          <w:szCs w:val="18"/>
          <w:lang w:val="en-GB"/>
        </w:rPr>
        <w:t xml:space="preserve">CYSTAT Portal, subtheme </w:t>
      </w:r>
      <w:hyperlink r:id="rId9" w:history="1">
        <w:r w:rsidRPr="00114244">
          <w:rPr>
            <w:rFonts w:ascii="Verdana" w:hAnsi="Verdana"/>
            <w:color w:val="0000FF"/>
            <w:sz w:val="18"/>
            <w:szCs w:val="18"/>
            <w:u w:val="single"/>
            <w:lang w:val="en-GB"/>
          </w:rPr>
          <w:t>Energy</w:t>
        </w:r>
      </w:hyperlink>
    </w:p>
    <w:p w14:paraId="6A09865D" w14:textId="77777777" w:rsidR="00114244" w:rsidRDefault="00114244" w:rsidP="00E05C8A">
      <w:pPr>
        <w:jc w:val="both"/>
        <w:rPr>
          <w:rFonts w:ascii="Verdana" w:hAnsi="Verdana"/>
          <w:sz w:val="18"/>
          <w:szCs w:val="18"/>
        </w:rPr>
      </w:pPr>
      <w:hyperlink r:id="rId10" w:history="1">
        <w:r w:rsidRPr="00114244">
          <w:rPr>
            <w:rFonts w:ascii="Verdana" w:hAnsi="Verdana"/>
            <w:color w:val="0000FF"/>
            <w:sz w:val="18"/>
            <w:szCs w:val="18"/>
            <w:u w:val="single"/>
          </w:rPr>
          <w:t>CYSTAT-DB</w:t>
        </w:r>
      </w:hyperlink>
      <w:r w:rsidRPr="00114244">
        <w:rPr>
          <w:rFonts w:ascii="Verdana" w:hAnsi="Verdana"/>
          <w:sz w:val="18"/>
          <w:szCs w:val="18"/>
        </w:rPr>
        <w:t xml:space="preserve"> (Online Database)</w:t>
      </w:r>
    </w:p>
    <w:p w14:paraId="30E62816" w14:textId="3CBF1A63" w:rsidR="00783683" w:rsidRPr="00114244" w:rsidRDefault="00783683" w:rsidP="00E05C8A">
      <w:pPr>
        <w:jc w:val="both"/>
        <w:rPr>
          <w:rFonts w:ascii="Verdana" w:hAnsi="Verdana"/>
          <w:sz w:val="18"/>
          <w:szCs w:val="18"/>
        </w:rPr>
      </w:pPr>
      <w:hyperlink r:id="rId11" w:history="1">
        <w:r w:rsidRPr="00114244">
          <w:rPr>
            <w:rFonts w:ascii="Verdana" w:hAnsi="Verdana"/>
            <w:color w:val="0000FF"/>
            <w:sz w:val="18"/>
            <w:szCs w:val="18"/>
            <w:u w:val="single"/>
          </w:rPr>
          <w:t>Predefined Tables</w:t>
        </w:r>
      </w:hyperlink>
      <w:r w:rsidRPr="00114244">
        <w:rPr>
          <w:rFonts w:ascii="Verdana" w:hAnsi="Verdana"/>
          <w:sz w:val="18"/>
          <w:szCs w:val="18"/>
        </w:rPr>
        <w:t xml:space="preserve"> (Excel)</w:t>
      </w:r>
      <w:r>
        <w:rPr>
          <w:rFonts w:ascii="Verdana" w:hAnsi="Verdana"/>
          <w:sz w:val="18"/>
          <w:szCs w:val="18"/>
        </w:rPr>
        <w:t xml:space="preserve"> </w:t>
      </w:r>
    </w:p>
    <w:p w14:paraId="3681C8B9" w14:textId="77777777" w:rsidR="00FC6C8C" w:rsidRDefault="00FC6C8C" w:rsidP="00E05C8A">
      <w:pPr>
        <w:jc w:val="both"/>
        <w:rPr>
          <w:rFonts w:ascii="Verdana" w:eastAsia="Times New Roman" w:hAnsi="Verdana"/>
          <w:sz w:val="18"/>
          <w:szCs w:val="18"/>
        </w:rPr>
      </w:pPr>
      <w:hyperlink r:id="rId12" w:tooltip="Methodological Information" w:history="1">
        <w:r>
          <w:rPr>
            <w:rStyle w:val="Hyperlink"/>
            <w:rFonts w:ascii="Verdana" w:eastAsia="Times New Roman" w:hAnsi="Verdana"/>
            <w:sz w:val="18"/>
            <w:szCs w:val="18"/>
          </w:rPr>
          <w:t>Methodological Information</w:t>
        </w:r>
      </w:hyperlink>
    </w:p>
    <w:p w14:paraId="2BFE2505" w14:textId="77777777" w:rsidR="00220967" w:rsidRDefault="00220967" w:rsidP="00E05C8A">
      <w:pPr>
        <w:jc w:val="both"/>
        <w:rPr>
          <w:rFonts w:ascii="Verdana" w:eastAsia="Times New Roman" w:hAnsi="Verdana"/>
          <w:sz w:val="18"/>
          <w:szCs w:val="18"/>
        </w:rPr>
      </w:pPr>
    </w:p>
    <w:p w14:paraId="4FDEF30D" w14:textId="77777777" w:rsidR="00220967" w:rsidRPr="00900612" w:rsidRDefault="00220967" w:rsidP="00E05C8A">
      <w:pPr>
        <w:jc w:val="both"/>
        <w:rPr>
          <w:rFonts w:ascii="Verdana" w:hAnsi="Verdana"/>
          <w:b/>
          <w:bCs/>
          <w:sz w:val="18"/>
          <w:szCs w:val="18"/>
        </w:rPr>
      </w:pPr>
      <w:r w:rsidRPr="00900612">
        <w:rPr>
          <w:rFonts w:ascii="Verdana" w:hAnsi="Verdana"/>
          <w:b/>
          <w:bCs/>
          <w:sz w:val="18"/>
          <w:szCs w:val="18"/>
        </w:rPr>
        <w:t xml:space="preserve">The </w:t>
      </w:r>
      <w:r w:rsidRPr="003A6443">
        <w:rPr>
          <w:rFonts w:ascii="Verdana" w:hAnsi="Verdana"/>
          <w:b/>
          <w:bCs/>
          <w:sz w:val="18"/>
          <w:szCs w:val="18"/>
          <w:u w:val="single"/>
        </w:rPr>
        <w:t>Predefined Tables</w:t>
      </w:r>
      <w:r w:rsidRPr="00900612">
        <w:rPr>
          <w:rFonts w:ascii="Verdana" w:hAnsi="Verdana"/>
          <w:b/>
          <w:bCs/>
          <w:sz w:val="18"/>
          <w:szCs w:val="18"/>
        </w:rPr>
        <w:t>, available in Excel format, include data up to December 2022. Data from January 2023 onwards are available only in the CYSTAT-DB Online Database.</w:t>
      </w:r>
    </w:p>
    <w:p w14:paraId="371F2971" w14:textId="77777777" w:rsidR="00114244" w:rsidRPr="003215E5" w:rsidRDefault="00114244" w:rsidP="00E05C8A">
      <w:pPr>
        <w:jc w:val="both"/>
        <w:rPr>
          <w:rFonts w:ascii="Verdana" w:hAnsi="Verdana"/>
          <w:b/>
          <w:bCs/>
          <w:sz w:val="18"/>
          <w:szCs w:val="18"/>
          <w:shd w:val="clear" w:color="auto" w:fill="FFFFFF"/>
        </w:rPr>
      </w:pPr>
    </w:p>
    <w:p w14:paraId="4185A739" w14:textId="77777777" w:rsidR="00AF4E61" w:rsidRPr="003751D6" w:rsidRDefault="00AF4E61" w:rsidP="00AF4E61">
      <w:pPr>
        <w:jc w:val="both"/>
        <w:rPr>
          <w:rFonts w:ascii="Verdana" w:hAnsi="Verdana"/>
          <w:sz w:val="18"/>
          <w:szCs w:val="18"/>
          <w:shd w:val="clear" w:color="auto" w:fill="FFFFFF"/>
          <w:lang w:val="pt-PT"/>
        </w:rPr>
      </w:pPr>
      <w:r w:rsidRPr="003751D6">
        <w:rPr>
          <w:rFonts w:ascii="Verdana" w:hAnsi="Verdana"/>
          <w:bCs/>
          <w:i/>
          <w:sz w:val="18"/>
          <w:szCs w:val="18"/>
          <w:u w:val="single"/>
          <w:shd w:val="clear" w:color="auto" w:fill="FFFFFF"/>
          <w:lang w:val="pt-PT"/>
        </w:rPr>
        <w:t>Contact</w:t>
      </w:r>
    </w:p>
    <w:p w14:paraId="3F6D0103" w14:textId="77777777" w:rsidR="006225B5" w:rsidRPr="003751D6" w:rsidRDefault="00AF4E61" w:rsidP="002513C3">
      <w:pPr>
        <w:jc w:val="both"/>
        <w:rPr>
          <w:rFonts w:ascii="Verdana" w:eastAsia="Malgun Gothic" w:hAnsi="Verdana" w:cs="Arial"/>
          <w:sz w:val="18"/>
          <w:szCs w:val="18"/>
          <w:lang w:val="pt-PT"/>
        </w:rPr>
      </w:pPr>
      <w:r w:rsidRPr="003751D6">
        <w:rPr>
          <w:rFonts w:ascii="Verdana" w:eastAsia="Malgun Gothic" w:hAnsi="Verdana" w:cs="Arial"/>
          <w:bCs/>
          <w:iCs/>
          <w:sz w:val="18"/>
          <w:szCs w:val="18"/>
          <w:lang w:val="pt-PT"/>
        </w:rPr>
        <w:t xml:space="preserve">Nafsika Apostolou: Tel.: +35722602199, E-mail: </w:t>
      </w:r>
      <w:r w:rsidRPr="003751D6">
        <w:rPr>
          <w:rFonts w:ascii="Verdana" w:hAnsi="Verdana"/>
          <w:color w:val="0000FF"/>
          <w:sz w:val="18"/>
          <w:szCs w:val="18"/>
          <w:u w:val="single"/>
          <w:shd w:val="clear" w:color="auto" w:fill="FFFFFF"/>
          <w:lang w:val="pt-PT"/>
        </w:rPr>
        <w:t>napostolou@cystat.mof.gov.cy</w:t>
      </w:r>
    </w:p>
    <w:sectPr w:rsidR="006225B5" w:rsidRPr="003751D6" w:rsidSect="009C131B">
      <w:headerReference w:type="default" r:id="rId13"/>
      <w:footerReference w:type="default" r:id="rId14"/>
      <w:headerReference w:type="first" r:id="rId15"/>
      <w:footerReference w:type="first" r:id="rId16"/>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3529A" w14:textId="77777777" w:rsidR="00CD4ABF" w:rsidRDefault="00CD4ABF" w:rsidP="00FB398F">
      <w:r>
        <w:separator/>
      </w:r>
    </w:p>
  </w:endnote>
  <w:endnote w:type="continuationSeparator" w:id="0">
    <w:p w14:paraId="457E4129" w14:textId="77777777" w:rsidR="00CD4ABF" w:rsidRDefault="00CD4AB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3DEF1"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746E88">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A1FD" w14:textId="138B9810" w:rsidR="0060256A" w:rsidRPr="00025A73" w:rsidRDefault="0060256A" w:rsidP="0060256A">
    <w:pPr>
      <w:pStyle w:val="Footer"/>
      <w:pBdr>
        <w:top w:val="single" w:sz="4" w:space="1" w:color="auto"/>
      </w:pBdr>
      <w:tabs>
        <w:tab w:val="left" w:pos="4500"/>
      </w:tabs>
      <w:jc w:val="center"/>
      <w:rPr>
        <w:rFonts w:ascii="Verdana" w:hAnsi="Verdana" w:cs="Arial"/>
        <w:sz w:val="16"/>
        <w:szCs w:val="16"/>
      </w:rPr>
    </w:pPr>
    <w:r w:rsidRPr="00025A73">
      <w:rPr>
        <w:rFonts w:ascii="Verdana" w:hAnsi="Verdana" w:cs="Arial"/>
        <w:sz w:val="16"/>
        <w:szCs w:val="16"/>
      </w:rPr>
      <w:t>Address: Micha</w:t>
    </w:r>
    <w:r w:rsidR="00EF6A66" w:rsidRPr="00025A73">
      <w:rPr>
        <w:rFonts w:ascii="Verdana" w:hAnsi="Verdana" w:cs="Arial"/>
        <w:sz w:val="16"/>
        <w:szCs w:val="16"/>
      </w:rPr>
      <w:t>el</w:t>
    </w:r>
    <w:r w:rsidRPr="00025A73">
      <w:rPr>
        <w:rFonts w:ascii="Verdana" w:hAnsi="Verdana" w:cs="Arial"/>
        <w:sz w:val="16"/>
        <w:szCs w:val="16"/>
      </w:rPr>
      <w:t xml:space="preserve"> Karaoli Str.,</w:t>
    </w:r>
    <w:r w:rsidR="00493568" w:rsidRPr="00025A73">
      <w:rPr>
        <w:rFonts w:ascii="Verdana" w:hAnsi="Verdana" w:cs="Arial"/>
        <w:sz w:val="16"/>
        <w:szCs w:val="16"/>
      </w:rPr>
      <w:t xml:space="preserve"> </w:t>
    </w:r>
    <w:r w:rsidRPr="00025A73">
      <w:rPr>
        <w:rFonts w:ascii="Verdana" w:hAnsi="Verdana" w:cs="Arial"/>
        <w:sz w:val="16"/>
        <w:szCs w:val="16"/>
      </w:rPr>
      <w:t>1444 Nicosia, Cyprus</w:t>
    </w:r>
  </w:p>
  <w:p w14:paraId="7D55D2F7" w14:textId="0DBBC609" w:rsidR="00493568" w:rsidRPr="008E7BB9" w:rsidRDefault="00122143" w:rsidP="0060256A">
    <w:pPr>
      <w:pStyle w:val="Footer"/>
      <w:tabs>
        <w:tab w:val="left" w:pos="4500"/>
      </w:tabs>
      <w:jc w:val="center"/>
      <w:rPr>
        <w:rFonts w:ascii="Verdana" w:hAnsi="Verdana" w:cs="Arial"/>
        <w:sz w:val="16"/>
        <w:szCs w:val="16"/>
        <w:lang w:val="pt-PT"/>
      </w:rPr>
    </w:pPr>
    <w:r w:rsidRPr="00025A73">
      <w:rPr>
        <w:rFonts w:ascii="Verdana" w:hAnsi="Verdana" w:cs="Arial"/>
        <w:sz w:val="16"/>
        <w:szCs w:val="16"/>
        <w:lang w:val="pt-PT"/>
      </w:rPr>
      <w:t>Tel.: 22 602129</w:t>
    </w:r>
    <w:r w:rsidR="0060256A" w:rsidRPr="00025A73">
      <w:rPr>
        <w:rFonts w:ascii="Verdana" w:hAnsi="Verdana" w:cs="Arial"/>
        <w:sz w:val="16"/>
        <w:szCs w:val="16"/>
        <w:lang w:val="pt-PT"/>
      </w:rPr>
      <w:t xml:space="preserve">, E-mail: </w:t>
    </w:r>
    <w:hyperlink r:id="rId1" w:history="1">
      <w:r w:rsidR="00493568" w:rsidRPr="00025A73">
        <w:rPr>
          <w:rStyle w:val="Hyperlink"/>
          <w:rFonts w:ascii="Verdana" w:hAnsi="Verdana" w:cs="Arial"/>
          <w:sz w:val="16"/>
          <w:szCs w:val="16"/>
          <w:lang w:val="pt-PT"/>
        </w:rPr>
        <w:t>enquiries@cystat.mof.gov.cy</w:t>
      </w:r>
    </w:hyperlink>
  </w:p>
  <w:p w14:paraId="25F8319B" w14:textId="6420C5BB" w:rsidR="004E4F42" w:rsidRPr="008E7BB9" w:rsidRDefault="0060256A" w:rsidP="0060256A">
    <w:pPr>
      <w:pStyle w:val="Footer"/>
      <w:tabs>
        <w:tab w:val="left" w:pos="4500"/>
      </w:tabs>
      <w:jc w:val="center"/>
      <w:rPr>
        <w:rFonts w:ascii="Verdana" w:hAnsi="Verdana" w:cs="Arial"/>
        <w:sz w:val="16"/>
        <w:szCs w:val="16"/>
        <w:lang w:val="pt-PT"/>
      </w:rPr>
    </w:pPr>
    <w:r w:rsidRPr="008E7BB9">
      <w:rPr>
        <w:rFonts w:ascii="Verdana" w:hAnsi="Verdana" w:cs="Arial"/>
        <w:sz w:val="16"/>
        <w:szCs w:val="16"/>
        <w:lang w:val="pt-PT"/>
      </w:rPr>
      <w:t xml:space="preserve">Web </w:t>
    </w:r>
    <w:r w:rsidR="00025A73" w:rsidRPr="008E7BB9">
      <w:rPr>
        <w:rFonts w:ascii="Verdana" w:hAnsi="Verdana" w:cs="Arial"/>
        <w:sz w:val="16"/>
        <w:szCs w:val="16"/>
        <w:lang w:val="pt-PT"/>
      </w:rPr>
      <w:t>Portal</w:t>
    </w:r>
    <w:r w:rsidRPr="008E7BB9">
      <w:rPr>
        <w:rFonts w:ascii="Verdana" w:hAnsi="Verdana" w:cs="Arial"/>
        <w:sz w:val="16"/>
        <w:szCs w:val="16"/>
        <w:lang w:val="pt-PT"/>
      </w:rPr>
      <w:t xml:space="preserve">: </w:t>
    </w:r>
    <w:hyperlink r:id="rId2" w:history="1">
      <w:r w:rsidRPr="008E7BB9">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A75BA" w14:textId="77777777" w:rsidR="00CD4ABF" w:rsidRDefault="00CD4ABF" w:rsidP="00FB398F">
      <w:r>
        <w:separator/>
      </w:r>
    </w:p>
  </w:footnote>
  <w:footnote w:type="continuationSeparator" w:id="0">
    <w:p w14:paraId="1ACFD8D6" w14:textId="77777777" w:rsidR="00CD4ABF" w:rsidRDefault="00CD4AB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915AA"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54F2F" w14:textId="23C61AB6" w:rsidR="004E4F42" w:rsidRPr="003A6443" w:rsidRDefault="00025A73" w:rsidP="000932CF">
    <w:pPr>
      <w:pStyle w:val="Header"/>
      <w:tabs>
        <w:tab w:val="clear" w:pos="4153"/>
        <w:tab w:val="center" w:pos="1620"/>
        <w:tab w:val="left" w:pos="2160"/>
        <w:tab w:val="center" w:pos="7655"/>
      </w:tabs>
      <w:spacing w:line="360" w:lineRule="auto"/>
      <w:ind w:left="-284"/>
      <w:rPr>
        <w:rFonts w:ascii="Arial" w:hAnsi="Arial" w:cs="Arial"/>
        <w:bCs/>
        <w:sz w:val="18"/>
        <w:szCs w:val="18"/>
        <w:lang w:val="en-US"/>
      </w:rPr>
    </w:pPr>
    <w:r w:rsidRPr="0027122D">
      <w:rPr>
        <w:rFonts w:ascii="Arial" w:hAnsi="Arial" w:cs="Arial"/>
        <w:bCs/>
        <w:noProof/>
        <w:sz w:val="18"/>
        <w:szCs w:val="18"/>
        <w:lang w:val="en-GB" w:eastAsia="en-GB"/>
      </w:rPr>
      <mc:AlternateContent>
        <mc:Choice Requires="wps">
          <w:drawing>
            <wp:anchor distT="0" distB="0" distL="114300" distR="114300" simplePos="0" relativeHeight="251658752" behindDoc="0" locked="0" layoutInCell="1" allowOverlap="1" wp14:anchorId="075F28C2" wp14:editId="04637BE3">
              <wp:simplePos x="0" y="0"/>
              <wp:positionH relativeFrom="column">
                <wp:posOffset>4296410</wp:posOffset>
              </wp:positionH>
              <wp:positionV relativeFrom="paragraph">
                <wp:posOffset>868045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E483E"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STATISTICAL SERVICE</w:t>
                          </w:r>
                        </w:p>
                        <w:p w14:paraId="6EC6434B"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 xml:space="preserve">OF </w:t>
                          </w:r>
                          <w:smartTag w:uri="urn:schemas-microsoft-com:office:smarttags" w:element="place">
                            <w:smartTag w:uri="urn:schemas-microsoft-com:office:smarttags" w:element="country-region">
                              <w:r w:rsidRPr="00025A73">
                                <w:rPr>
                                  <w:rFonts w:ascii="Verdana" w:hAnsi="Verdana" w:cs="Arial"/>
                                  <w:b/>
                                  <w:sz w:val="20"/>
                                  <w:szCs w:val="20"/>
                                </w:rPr>
                                <w:t>CYPRUS</w:t>
                              </w:r>
                            </w:smartTag>
                          </w:smartTag>
                        </w:p>
                        <w:p w14:paraId="47108D1B" w14:textId="77777777" w:rsidR="0060256A" w:rsidRPr="00025A73" w:rsidRDefault="0060256A" w:rsidP="0060256A">
                          <w:pPr>
                            <w:jc w:val="center"/>
                            <w:rPr>
                              <w:rFonts w:ascii="Verdana" w:hAnsi="Verdana" w:cs="Arial"/>
                              <w:sz w:val="20"/>
                              <w:szCs w:val="20"/>
                            </w:rPr>
                          </w:pPr>
                          <w:r w:rsidRPr="00025A73">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F28C2" id="_x0000_t202" coordsize="21600,21600" o:spt="202" path="m,l,21600r21600,l21600,xe">
              <v:stroke joinstyle="miter"/>
              <v:path gradientshapeok="t" o:connecttype="rect"/>
            </v:shapetype>
            <v:shape id="Text Box 21" o:spid="_x0000_s1026" type="#_x0000_t202" style="position:absolute;left:0;text-align:left;margin-left:338.3pt;margin-top:68.35pt;width:2in;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Pa8QEAAMo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" stroked="f">
              <v:textbox>
                <w:txbxContent>
                  <w:p w14:paraId="521E483E"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STATISTICAL SERVICE</w:t>
                    </w:r>
                  </w:p>
                  <w:p w14:paraId="6EC6434B" w14:textId="77777777" w:rsidR="0060256A" w:rsidRPr="00025A73" w:rsidRDefault="0060256A" w:rsidP="0060256A">
                    <w:pPr>
                      <w:jc w:val="center"/>
                      <w:rPr>
                        <w:rFonts w:ascii="Verdana" w:hAnsi="Verdana" w:cs="Arial"/>
                        <w:b/>
                        <w:sz w:val="20"/>
                        <w:szCs w:val="20"/>
                      </w:rPr>
                    </w:pPr>
                    <w:r w:rsidRPr="00025A73">
                      <w:rPr>
                        <w:rFonts w:ascii="Verdana" w:hAnsi="Verdana" w:cs="Arial"/>
                        <w:b/>
                        <w:sz w:val="20"/>
                        <w:szCs w:val="20"/>
                      </w:rPr>
                      <w:t xml:space="preserve">OF </w:t>
                    </w:r>
                    <w:smartTag w:uri="urn:schemas-microsoft-com:office:smarttags" w:element="place">
                      <w:smartTag w:uri="urn:schemas-microsoft-com:office:smarttags" w:element="country-region">
                        <w:r w:rsidRPr="00025A73">
                          <w:rPr>
                            <w:rFonts w:ascii="Verdana" w:hAnsi="Verdana" w:cs="Arial"/>
                            <w:b/>
                            <w:sz w:val="20"/>
                            <w:szCs w:val="20"/>
                          </w:rPr>
                          <w:t>CYPRUS</w:t>
                        </w:r>
                      </w:smartTag>
                    </w:smartTag>
                  </w:p>
                  <w:p w14:paraId="47108D1B" w14:textId="77777777" w:rsidR="0060256A" w:rsidRPr="00025A73" w:rsidRDefault="0060256A" w:rsidP="0060256A">
                    <w:pPr>
                      <w:jc w:val="center"/>
                      <w:rPr>
                        <w:rFonts w:ascii="Verdana" w:hAnsi="Verdana" w:cs="Arial"/>
                        <w:sz w:val="20"/>
                        <w:szCs w:val="20"/>
                      </w:rPr>
                    </w:pPr>
                    <w:r w:rsidRPr="00025A73">
                      <w:rPr>
                        <w:rFonts w:ascii="Verdana" w:hAnsi="Verdana" w:cs="Arial"/>
                        <w:sz w:val="20"/>
                        <w:szCs w:val="20"/>
                      </w:rPr>
                      <w:t>1444 NICOSIA</w:t>
                    </w:r>
                  </w:p>
                </w:txbxContent>
              </v:textbox>
            </v:shape>
          </w:pict>
        </mc:Fallback>
      </mc:AlternateContent>
    </w:r>
    <w:r w:rsidR="002E6DD0">
      <w:rPr>
        <w:noProof/>
        <w:lang w:val="en-US"/>
      </w:rPr>
      <w:t xml:space="preserve">                                                                                              </w:t>
    </w:r>
    <w:r w:rsidR="00331C69" w:rsidRPr="00EE2BB9">
      <w:rPr>
        <w:noProof/>
        <w:lang w:val="en-GB" w:eastAsia="en-GB"/>
      </w:rPr>
      <w:drawing>
        <wp:inline distT="0" distB="0" distL="0" distR="0" wp14:anchorId="106A470E" wp14:editId="5834A98B">
          <wp:extent cx="1104900" cy="762000"/>
          <wp:effectExtent l="0" t="0" r="0" b="0"/>
          <wp:docPr id="20230573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a:ln>
                    <a:noFill/>
                  </a:ln>
                </pic:spPr>
              </pic:pic>
            </a:graphicData>
          </a:graphic>
        </wp:inline>
      </w:drawing>
    </w:r>
    <w:r w:rsidR="00F141E7" w:rsidRPr="009342E9">
      <w:rPr>
        <w:noProof/>
        <w:lang w:val="en-GB" w:eastAsia="en-GB"/>
      </w:rPr>
      <w:drawing>
        <wp:inline distT="0" distB="0" distL="0" distR="0" wp14:anchorId="1240C66F" wp14:editId="3956B5E8">
          <wp:extent cx="1349566" cy="800100"/>
          <wp:effectExtent l="0" t="0" r="3175" b="0"/>
          <wp:docPr id="379896548" name="Picture 37989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998" cy="800949"/>
                  </a:xfrm>
                  <a:prstGeom prst="rect">
                    <a:avLst/>
                  </a:prstGeom>
                  <a:noFill/>
                  <a:ln>
                    <a:noFill/>
                  </a:ln>
                </pic:spPr>
              </pic:pic>
            </a:graphicData>
          </a:graphic>
        </wp:inline>
      </w:drawing>
    </w:r>
    <w:r w:rsidR="00331C69">
      <w:rPr>
        <w:rFonts w:ascii="Arial" w:hAnsi="Arial" w:cs="Arial"/>
        <w:bCs/>
        <w:noProof/>
        <w:sz w:val="18"/>
        <w:szCs w:val="18"/>
        <w:lang w:val="en-GB" w:eastAsia="en-GB"/>
      </w:rPr>
      <mc:AlternateContent>
        <mc:Choice Requires="wps">
          <w:drawing>
            <wp:anchor distT="0" distB="0" distL="114300" distR="114300" simplePos="0" relativeHeight="251657728" behindDoc="0" locked="0" layoutInCell="1" allowOverlap="1" wp14:anchorId="775921F1" wp14:editId="317822B2">
              <wp:simplePos x="0" y="0"/>
              <wp:positionH relativeFrom="column">
                <wp:posOffset>4477385</wp:posOffset>
              </wp:positionH>
              <wp:positionV relativeFrom="paragraph">
                <wp:posOffset>-21590</wp:posOffset>
              </wp:positionV>
              <wp:extent cx="1287780" cy="1047750"/>
              <wp:effectExtent l="0" t="0" r="825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E590123" w14:textId="7FCCBC57" w:rsidR="004E4F42" w:rsidRDefault="004E4F42" w:rsidP="000932CF"/>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921F1" id="Text Box 14" o:spid="_x0000_s1027" type="#_x0000_t202" style="position:absolute;left:0;text-align:left;margin-left:352.55pt;margin-top:-1.7pt;width:101.4pt;height:8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" strokecolor="white">
              <v:textbox>
                <w:txbxContent>
                  <w:p w14:paraId="0E590123" w14:textId="7FCCBC57" w:rsidR="004E4F42" w:rsidRDefault="004E4F42" w:rsidP="000932CF"/>
                </w:txbxContent>
              </v:textbox>
            </v:shape>
          </w:pict>
        </mc:Fallback>
      </mc:AlternateContent>
    </w:r>
    <w:r w:rsidR="00331C69">
      <w:rPr>
        <w:rFonts w:ascii="Arial" w:hAnsi="Arial" w:cs="Arial"/>
        <w:bCs/>
        <w:noProof/>
        <w:sz w:val="18"/>
        <w:szCs w:val="18"/>
        <w:lang w:val="en-GB" w:eastAsia="en-GB"/>
      </w:rPr>
      <w:drawing>
        <wp:anchor distT="0" distB="0" distL="114300" distR="114300" simplePos="0" relativeHeight="251656704" behindDoc="0" locked="0" layoutInCell="1" allowOverlap="1" wp14:anchorId="68D7E226" wp14:editId="3D0BC3B1">
          <wp:simplePos x="0" y="0"/>
          <wp:positionH relativeFrom="column">
            <wp:posOffset>523875</wp:posOffset>
          </wp:positionH>
          <wp:positionV relativeFrom="paragraph">
            <wp:posOffset>168910</wp:posOffset>
          </wp:positionV>
          <wp:extent cx="676275" cy="676275"/>
          <wp:effectExtent l="0" t="0" r="0" b="0"/>
          <wp:wrapNone/>
          <wp:docPr id="179295759"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8FD8A3" w14:textId="3ECB9955" w:rsidR="00364377" w:rsidRPr="00025A73" w:rsidRDefault="004E4F4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00025A73">
      <w:rPr>
        <w:rFonts w:ascii="Arial" w:hAnsi="Arial" w:cs="Arial"/>
        <w:bCs/>
        <w:sz w:val="18"/>
        <w:szCs w:val="18"/>
        <w:lang w:val="en-US"/>
      </w:rPr>
      <w:t xml:space="preserve">  </w:t>
    </w:r>
    <w:r w:rsidR="00364377" w:rsidRPr="00025A73">
      <w:rPr>
        <w:rFonts w:ascii="Verdana" w:hAnsi="Verdana" w:cs="Arial"/>
        <w:bCs/>
        <w:sz w:val="20"/>
        <w:szCs w:val="20"/>
        <w:lang w:val="en-US"/>
      </w:rPr>
      <w:t>REPUBLIC OF CYPRUS</w:t>
    </w:r>
    <w:r w:rsidR="00364377" w:rsidRPr="00025A73">
      <w:rPr>
        <w:rFonts w:ascii="Verdana" w:hAnsi="Verdana"/>
        <w:b/>
        <w:bCs/>
        <w:sz w:val="20"/>
        <w:szCs w:val="20"/>
        <w:lang w:val="en-US"/>
      </w:rPr>
      <w:t xml:space="preserve"> </w:t>
    </w:r>
    <w:r w:rsidR="00364377" w:rsidRPr="00025A73">
      <w:rPr>
        <w:rFonts w:ascii="Verdana" w:hAnsi="Verdana"/>
        <w:b/>
        <w:bCs/>
        <w:sz w:val="20"/>
        <w:szCs w:val="20"/>
        <w:lang w:val="en-US"/>
      </w:rPr>
      <w:tab/>
    </w:r>
  </w:p>
  <w:p w14:paraId="1676B757" w14:textId="4230D9F8"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63643B14"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37030621">
    <w:abstractNumId w:val="5"/>
  </w:num>
  <w:num w:numId="2" w16cid:durableId="2040664546">
    <w:abstractNumId w:val="1"/>
  </w:num>
  <w:num w:numId="3" w16cid:durableId="904338342">
    <w:abstractNumId w:val="2"/>
  </w:num>
  <w:num w:numId="4" w16cid:durableId="724330989">
    <w:abstractNumId w:val="3"/>
  </w:num>
  <w:num w:numId="5" w16cid:durableId="1782600934">
    <w:abstractNumId w:val="0"/>
  </w:num>
  <w:num w:numId="6" w16cid:durableId="1240746469">
    <w:abstractNumId w:val="6"/>
  </w:num>
  <w:num w:numId="7" w16cid:durableId="139270258">
    <w:abstractNumId w:val="7"/>
  </w:num>
  <w:num w:numId="8" w16cid:durableId="739407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0C95"/>
    <w:rsid w:val="000014C3"/>
    <w:rsid w:val="00001773"/>
    <w:rsid w:val="00004F86"/>
    <w:rsid w:val="0000542E"/>
    <w:rsid w:val="00011144"/>
    <w:rsid w:val="00012964"/>
    <w:rsid w:val="00013E40"/>
    <w:rsid w:val="00015D44"/>
    <w:rsid w:val="000161B1"/>
    <w:rsid w:val="00020B36"/>
    <w:rsid w:val="00025A39"/>
    <w:rsid w:val="00025A73"/>
    <w:rsid w:val="00027853"/>
    <w:rsid w:val="00030E18"/>
    <w:rsid w:val="00031904"/>
    <w:rsid w:val="00031D32"/>
    <w:rsid w:val="000335A0"/>
    <w:rsid w:val="0003603D"/>
    <w:rsid w:val="00036FA9"/>
    <w:rsid w:val="000370C3"/>
    <w:rsid w:val="000377D4"/>
    <w:rsid w:val="0004059B"/>
    <w:rsid w:val="00042D7D"/>
    <w:rsid w:val="00045088"/>
    <w:rsid w:val="00045A06"/>
    <w:rsid w:val="00046009"/>
    <w:rsid w:val="00050391"/>
    <w:rsid w:val="00052304"/>
    <w:rsid w:val="00053A9D"/>
    <w:rsid w:val="00054B07"/>
    <w:rsid w:val="00055291"/>
    <w:rsid w:val="000563D3"/>
    <w:rsid w:val="00057E44"/>
    <w:rsid w:val="00061299"/>
    <w:rsid w:val="000653A2"/>
    <w:rsid w:val="00070098"/>
    <w:rsid w:val="00070576"/>
    <w:rsid w:val="0007081E"/>
    <w:rsid w:val="00072754"/>
    <w:rsid w:val="000752BB"/>
    <w:rsid w:val="0007737D"/>
    <w:rsid w:val="00081A9E"/>
    <w:rsid w:val="00081ADF"/>
    <w:rsid w:val="00082F37"/>
    <w:rsid w:val="00084A02"/>
    <w:rsid w:val="00084BF7"/>
    <w:rsid w:val="000870E9"/>
    <w:rsid w:val="000932CF"/>
    <w:rsid w:val="0009392D"/>
    <w:rsid w:val="00096ED8"/>
    <w:rsid w:val="00097D62"/>
    <w:rsid w:val="000A1A88"/>
    <w:rsid w:val="000A2B5C"/>
    <w:rsid w:val="000A3601"/>
    <w:rsid w:val="000A46BC"/>
    <w:rsid w:val="000A6FA8"/>
    <w:rsid w:val="000B1360"/>
    <w:rsid w:val="000B6F3B"/>
    <w:rsid w:val="000C0D92"/>
    <w:rsid w:val="000C4E72"/>
    <w:rsid w:val="000D1E7A"/>
    <w:rsid w:val="000E24B1"/>
    <w:rsid w:val="000E2735"/>
    <w:rsid w:val="000E32D6"/>
    <w:rsid w:val="000E57F2"/>
    <w:rsid w:val="000E72A7"/>
    <w:rsid w:val="000F1162"/>
    <w:rsid w:val="000F18AB"/>
    <w:rsid w:val="000F29EB"/>
    <w:rsid w:val="000F3467"/>
    <w:rsid w:val="000F3549"/>
    <w:rsid w:val="000F38DE"/>
    <w:rsid w:val="000F5D6C"/>
    <w:rsid w:val="000F6A60"/>
    <w:rsid w:val="00106852"/>
    <w:rsid w:val="00110F9D"/>
    <w:rsid w:val="00114244"/>
    <w:rsid w:val="00114A67"/>
    <w:rsid w:val="00114DCA"/>
    <w:rsid w:val="00117B26"/>
    <w:rsid w:val="0012048F"/>
    <w:rsid w:val="00122143"/>
    <w:rsid w:val="001223AE"/>
    <w:rsid w:val="001246F2"/>
    <w:rsid w:val="001248CD"/>
    <w:rsid w:val="001253B6"/>
    <w:rsid w:val="00127320"/>
    <w:rsid w:val="00127456"/>
    <w:rsid w:val="001312D8"/>
    <w:rsid w:val="0013137B"/>
    <w:rsid w:val="0013327C"/>
    <w:rsid w:val="00133B45"/>
    <w:rsid w:val="00134D5F"/>
    <w:rsid w:val="00137032"/>
    <w:rsid w:val="0013709C"/>
    <w:rsid w:val="00145386"/>
    <w:rsid w:val="00145DC4"/>
    <w:rsid w:val="0015118B"/>
    <w:rsid w:val="001516AB"/>
    <w:rsid w:val="001519CE"/>
    <w:rsid w:val="00151C35"/>
    <w:rsid w:val="001532AC"/>
    <w:rsid w:val="00153C0C"/>
    <w:rsid w:val="00161CF3"/>
    <w:rsid w:val="00162C00"/>
    <w:rsid w:val="001639EF"/>
    <w:rsid w:val="0016589F"/>
    <w:rsid w:val="00166FC4"/>
    <w:rsid w:val="00172175"/>
    <w:rsid w:val="00176558"/>
    <w:rsid w:val="0017756A"/>
    <w:rsid w:val="0017769A"/>
    <w:rsid w:val="00183DFC"/>
    <w:rsid w:val="00184384"/>
    <w:rsid w:val="00186717"/>
    <w:rsid w:val="00187222"/>
    <w:rsid w:val="00187FFC"/>
    <w:rsid w:val="001934F4"/>
    <w:rsid w:val="00193860"/>
    <w:rsid w:val="001955C0"/>
    <w:rsid w:val="00195ACB"/>
    <w:rsid w:val="00197C45"/>
    <w:rsid w:val="001A1169"/>
    <w:rsid w:val="001A11C6"/>
    <w:rsid w:val="001A2018"/>
    <w:rsid w:val="001A3DD4"/>
    <w:rsid w:val="001B1E71"/>
    <w:rsid w:val="001B2C39"/>
    <w:rsid w:val="001B3675"/>
    <w:rsid w:val="001B478F"/>
    <w:rsid w:val="001B503F"/>
    <w:rsid w:val="001B54AB"/>
    <w:rsid w:val="001B5E10"/>
    <w:rsid w:val="001B65A5"/>
    <w:rsid w:val="001B6AB3"/>
    <w:rsid w:val="001B73D5"/>
    <w:rsid w:val="001C0681"/>
    <w:rsid w:val="001C14B9"/>
    <w:rsid w:val="001C2CCE"/>
    <w:rsid w:val="001C62B3"/>
    <w:rsid w:val="001C7336"/>
    <w:rsid w:val="001C7C8C"/>
    <w:rsid w:val="001D0D6A"/>
    <w:rsid w:val="001D20A4"/>
    <w:rsid w:val="001E00D1"/>
    <w:rsid w:val="001E08CD"/>
    <w:rsid w:val="001E0E58"/>
    <w:rsid w:val="001E14F3"/>
    <w:rsid w:val="001E15ED"/>
    <w:rsid w:val="001E34A4"/>
    <w:rsid w:val="001E6002"/>
    <w:rsid w:val="001E61AA"/>
    <w:rsid w:val="001F7847"/>
    <w:rsid w:val="0020309E"/>
    <w:rsid w:val="002031F7"/>
    <w:rsid w:val="00203DFB"/>
    <w:rsid w:val="00204810"/>
    <w:rsid w:val="00205BA0"/>
    <w:rsid w:val="00210A23"/>
    <w:rsid w:val="00210B58"/>
    <w:rsid w:val="00212C75"/>
    <w:rsid w:val="00220967"/>
    <w:rsid w:val="00222423"/>
    <w:rsid w:val="00223AD6"/>
    <w:rsid w:val="00225B28"/>
    <w:rsid w:val="00227E98"/>
    <w:rsid w:val="002308C9"/>
    <w:rsid w:val="002313AC"/>
    <w:rsid w:val="00231568"/>
    <w:rsid w:val="0023196E"/>
    <w:rsid w:val="0023377F"/>
    <w:rsid w:val="002342CF"/>
    <w:rsid w:val="00235FB2"/>
    <w:rsid w:val="002361BF"/>
    <w:rsid w:val="00237BC1"/>
    <w:rsid w:val="00240C0A"/>
    <w:rsid w:val="002430B4"/>
    <w:rsid w:val="002447D0"/>
    <w:rsid w:val="0024514A"/>
    <w:rsid w:val="002454C5"/>
    <w:rsid w:val="00245E19"/>
    <w:rsid w:val="00246AEB"/>
    <w:rsid w:val="00250005"/>
    <w:rsid w:val="002513C3"/>
    <w:rsid w:val="002523A8"/>
    <w:rsid w:val="0025254F"/>
    <w:rsid w:val="0025566D"/>
    <w:rsid w:val="0025595C"/>
    <w:rsid w:val="00257149"/>
    <w:rsid w:val="002576E7"/>
    <w:rsid w:val="00260275"/>
    <w:rsid w:val="00260357"/>
    <w:rsid w:val="0026119F"/>
    <w:rsid w:val="00264F04"/>
    <w:rsid w:val="00267554"/>
    <w:rsid w:val="0027122D"/>
    <w:rsid w:val="0027301C"/>
    <w:rsid w:val="00280589"/>
    <w:rsid w:val="0028338F"/>
    <w:rsid w:val="00285C24"/>
    <w:rsid w:val="0028667B"/>
    <w:rsid w:val="00286B40"/>
    <w:rsid w:val="002915C4"/>
    <w:rsid w:val="00291A1B"/>
    <w:rsid w:val="00294481"/>
    <w:rsid w:val="0029592B"/>
    <w:rsid w:val="002A1D1C"/>
    <w:rsid w:val="002A2F3A"/>
    <w:rsid w:val="002A4D64"/>
    <w:rsid w:val="002A6200"/>
    <w:rsid w:val="002B0FB8"/>
    <w:rsid w:val="002B2F8B"/>
    <w:rsid w:val="002B6554"/>
    <w:rsid w:val="002C36DA"/>
    <w:rsid w:val="002C62AD"/>
    <w:rsid w:val="002D05F0"/>
    <w:rsid w:val="002D1585"/>
    <w:rsid w:val="002D5665"/>
    <w:rsid w:val="002D7D4A"/>
    <w:rsid w:val="002E1906"/>
    <w:rsid w:val="002E2603"/>
    <w:rsid w:val="002E27D4"/>
    <w:rsid w:val="002E3846"/>
    <w:rsid w:val="002E3F78"/>
    <w:rsid w:val="002E4052"/>
    <w:rsid w:val="002E4691"/>
    <w:rsid w:val="002E6DD0"/>
    <w:rsid w:val="002E753A"/>
    <w:rsid w:val="002F400C"/>
    <w:rsid w:val="002F4A5C"/>
    <w:rsid w:val="002F4D76"/>
    <w:rsid w:val="002F6D26"/>
    <w:rsid w:val="002F701D"/>
    <w:rsid w:val="002F71EC"/>
    <w:rsid w:val="00300272"/>
    <w:rsid w:val="0030231E"/>
    <w:rsid w:val="003042C4"/>
    <w:rsid w:val="00304CB4"/>
    <w:rsid w:val="00307573"/>
    <w:rsid w:val="00313E96"/>
    <w:rsid w:val="00313F37"/>
    <w:rsid w:val="003141D0"/>
    <w:rsid w:val="00314911"/>
    <w:rsid w:val="00314F2A"/>
    <w:rsid w:val="003168C1"/>
    <w:rsid w:val="0032155B"/>
    <w:rsid w:val="00322FBE"/>
    <w:rsid w:val="00325632"/>
    <w:rsid w:val="00326C81"/>
    <w:rsid w:val="00327549"/>
    <w:rsid w:val="00330CCD"/>
    <w:rsid w:val="00331C69"/>
    <w:rsid w:val="003342A5"/>
    <w:rsid w:val="00336C36"/>
    <w:rsid w:val="00341FE1"/>
    <w:rsid w:val="00343815"/>
    <w:rsid w:val="00346805"/>
    <w:rsid w:val="003522BB"/>
    <w:rsid w:val="00352F6C"/>
    <w:rsid w:val="003556EA"/>
    <w:rsid w:val="00364377"/>
    <w:rsid w:val="0036566E"/>
    <w:rsid w:val="00367A41"/>
    <w:rsid w:val="00371D8C"/>
    <w:rsid w:val="0037203F"/>
    <w:rsid w:val="003751D6"/>
    <w:rsid w:val="003774EC"/>
    <w:rsid w:val="00377ABB"/>
    <w:rsid w:val="003842C0"/>
    <w:rsid w:val="00384E69"/>
    <w:rsid w:val="003851A2"/>
    <w:rsid w:val="00386FC7"/>
    <w:rsid w:val="00390160"/>
    <w:rsid w:val="00390A32"/>
    <w:rsid w:val="00390A8F"/>
    <w:rsid w:val="003931A1"/>
    <w:rsid w:val="00393587"/>
    <w:rsid w:val="00396C89"/>
    <w:rsid w:val="0039732B"/>
    <w:rsid w:val="003A40F2"/>
    <w:rsid w:val="003A50D1"/>
    <w:rsid w:val="003A6443"/>
    <w:rsid w:val="003B196D"/>
    <w:rsid w:val="003B2710"/>
    <w:rsid w:val="003B4608"/>
    <w:rsid w:val="003B6228"/>
    <w:rsid w:val="003C1A78"/>
    <w:rsid w:val="003C1B8E"/>
    <w:rsid w:val="003C2392"/>
    <w:rsid w:val="003C371D"/>
    <w:rsid w:val="003C5174"/>
    <w:rsid w:val="003C5240"/>
    <w:rsid w:val="003C5602"/>
    <w:rsid w:val="003D0A7C"/>
    <w:rsid w:val="003D14E0"/>
    <w:rsid w:val="003D1EA5"/>
    <w:rsid w:val="003D3348"/>
    <w:rsid w:val="003D3D91"/>
    <w:rsid w:val="003D4516"/>
    <w:rsid w:val="003D5187"/>
    <w:rsid w:val="003D5672"/>
    <w:rsid w:val="003D6822"/>
    <w:rsid w:val="003D724C"/>
    <w:rsid w:val="003E0CE2"/>
    <w:rsid w:val="003F0C7F"/>
    <w:rsid w:val="003F23C0"/>
    <w:rsid w:val="003F41C8"/>
    <w:rsid w:val="003F49E4"/>
    <w:rsid w:val="003F4D2F"/>
    <w:rsid w:val="003F5E32"/>
    <w:rsid w:val="003F6A0E"/>
    <w:rsid w:val="003F6EBB"/>
    <w:rsid w:val="003F75F6"/>
    <w:rsid w:val="003F7A18"/>
    <w:rsid w:val="0040144B"/>
    <w:rsid w:val="00404670"/>
    <w:rsid w:val="00405D5E"/>
    <w:rsid w:val="004067FC"/>
    <w:rsid w:val="004076DA"/>
    <w:rsid w:val="00411D67"/>
    <w:rsid w:val="00414CA0"/>
    <w:rsid w:val="00417BEC"/>
    <w:rsid w:val="00422F54"/>
    <w:rsid w:val="00427E6D"/>
    <w:rsid w:val="004301DF"/>
    <w:rsid w:val="00431516"/>
    <w:rsid w:val="004361B3"/>
    <w:rsid w:val="00440051"/>
    <w:rsid w:val="00441253"/>
    <w:rsid w:val="00441F08"/>
    <w:rsid w:val="0044249D"/>
    <w:rsid w:val="00442FFE"/>
    <w:rsid w:val="0044379F"/>
    <w:rsid w:val="00445E64"/>
    <w:rsid w:val="00446FB1"/>
    <w:rsid w:val="00447767"/>
    <w:rsid w:val="004479D6"/>
    <w:rsid w:val="00447AFB"/>
    <w:rsid w:val="004531B4"/>
    <w:rsid w:val="0046067D"/>
    <w:rsid w:val="0046078F"/>
    <w:rsid w:val="00460C0C"/>
    <w:rsid w:val="004614E5"/>
    <w:rsid w:val="00463214"/>
    <w:rsid w:val="00463DE9"/>
    <w:rsid w:val="00463EF3"/>
    <w:rsid w:val="0046434D"/>
    <w:rsid w:val="00464467"/>
    <w:rsid w:val="004656FA"/>
    <w:rsid w:val="00465CD0"/>
    <w:rsid w:val="00466056"/>
    <w:rsid w:val="00471D77"/>
    <w:rsid w:val="00471D88"/>
    <w:rsid w:val="00475587"/>
    <w:rsid w:val="0047665D"/>
    <w:rsid w:val="004803C2"/>
    <w:rsid w:val="00480BC2"/>
    <w:rsid w:val="0048294D"/>
    <w:rsid w:val="00487415"/>
    <w:rsid w:val="004929C2"/>
    <w:rsid w:val="00493568"/>
    <w:rsid w:val="00493FDD"/>
    <w:rsid w:val="0049586B"/>
    <w:rsid w:val="004A172E"/>
    <w:rsid w:val="004A3E44"/>
    <w:rsid w:val="004A686F"/>
    <w:rsid w:val="004A7983"/>
    <w:rsid w:val="004B1093"/>
    <w:rsid w:val="004B2896"/>
    <w:rsid w:val="004B38E9"/>
    <w:rsid w:val="004B3FBA"/>
    <w:rsid w:val="004B4E6D"/>
    <w:rsid w:val="004B556F"/>
    <w:rsid w:val="004B6599"/>
    <w:rsid w:val="004C20BC"/>
    <w:rsid w:val="004C37E4"/>
    <w:rsid w:val="004C6CA7"/>
    <w:rsid w:val="004D2EEA"/>
    <w:rsid w:val="004D4357"/>
    <w:rsid w:val="004D4950"/>
    <w:rsid w:val="004E2393"/>
    <w:rsid w:val="004E27EC"/>
    <w:rsid w:val="004E3745"/>
    <w:rsid w:val="004E42BE"/>
    <w:rsid w:val="004E4F42"/>
    <w:rsid w:val="004E53D0"/>
    <w:rsid w:val="004E63A2"/>
    <w:rsid w:val="004E63D5"/>
    <w:rsid w:val="004F03FD"/>
    <w:rsid w:val="004F17D5"/>
    <w:rsid w:val="004F4B1A"/>
    <w:rsid w:val="004F4DC9"/>
    <w:rsid w:val="004F52F0"/>
    <w:rsid w:val="004F6250"/>
    <w:rsid w:val="004F677C"/>
    <w:rsid w:val="004F6D8F"/>
    <w:rsid w:val="00502515"/>
    <w:rsid w:val="00504E78"/>
    <w:rsid w:val="00505503"/>
    <w:rsid w:val="005060D5"/>
    <w:rsid w:val="0050681E"/>
    <w:rsid w:val="0051107B"/>
    <w:rsid w:val="00512F9C"/>
    <w:rsid w:val="0051415C"/>
    <w:rsid w:val="0052005A"/>
    <w:rsid w:val="00520345"/>
    <w:rsid w:val="005264DC"/>
    <w:rsid w:val="00527CDB"/>
    <w:rsid w:val="0053003B"/>
    <w:rsid w:val="005317FB"/>
    <w:rsid w:val="005341C9"/>
    <w:rsid w:val="005369CA"/>
    <w:rsid w:val="00536DE9"/>
    <w:rsid w:val="00541E08"/>
    <w:rsid w:val="00542E22"/>
    <w:rsid w:val="00544501"/>
    <w:rsid w:val="005471BF"/>
    <w:rsid w:val="0055789A"/>
    <w:rsid w:val="005652D1"/>
    <w:rsid w:val="005660A0"/>
    <w:rsid w:val="00566A4F"/>
    <w:rsid w:val="00567D64"/>
    <w:rsid w:val="00567DBA"/>
    <w:rsid w:val="00571F0B"/>
    <w:rsid w:val="00576D6D"/>
    <w:rsid w:val="00577D5D"/>
    <w:rsid w:val="005815BD"/>
    <w:rsid w:val="00583DCE"/>
    <w:rsid w:val="005918D6"/>
    <w:rsid w:val="00593DA3"/>
    <w:rsid w:val="0059478C"/>
    <w:rsid w:val="00594E53"/>
    <w:rsid w:val="005978D4"/>
    <w:rsid w:val="005A508C"/>
    <w:rsid w:val="005B2A67"/>
    <w:rsid w:val="005B3DCD"/>
    <w:rsid w:val="005B4AD4"/>
    <w:rsid w:val="005B5847"/>
    <w:rsid w:val="005B5CC7"/>
    <w:rsid w:val="005B5FA6"/>
    <w:rsid w:val="005B6CBF"/>
    <w:rsid w:val="005C2798"/>
    <w:rsid w:val="005C36C3"/>
    <w:rsid w:val="005C56EE"/>
    <w:rsid w:val="005C5D4B"/>
    <w:rsid w:val="005C6C55"/>
    <w:rsid w:val="005D1714"/>
    <w:rsid w:val="005D1941"/>
    <w:rsid w:val="005D2D39"/>
    <w:rsid w:val="005D537D"/>
    <w:rsid w:val="005D7638"/>
    <w:rsid w:val="005D7B71"/>
    <w:rsid w:val="005E069A"/>
    <w:rsid w:val="005E1E8E"/>
    <w:rsid w:val="005E616B"/>
    <w:rsid w:val="005E79F3"/>
    <w:rsid w:val="005F12F5"/>
    <w:rsid w:val="005F380D"/>
    <w:rsid w:val="005F4B4F"/>
    <w:rsid w:val="005F7C7D"/>
    <w:rsid w:val="0060256A"/>
    <w:rsid w:val="006044B7"/>
    <w:rsid w:val="00606B3E"/>
    <w:rsid w:val="006071CE"/>
    <w:rsid w:val="006075B5"/>
    <w:rsid w:val="006076FA"/>
    <w:rsid w:val="0061018C"/>
    <w:rsid w:val="0061094E"/>
    <w:rsid w:val="00613440"/>
    <w:rsid w:val="00613595"/>
    <w:rsid w:val="00613BE3"/>
    <w:rsid w:val="00614A70"/>
    <w:rsid w:val="00616B75"/>
    <w:rsid w:val="006225B5"/>
    <w:rsid w:val="0062327B"/>
    <w:rsid w:val="0062498F"/>
    <w:rsid w:val="00632777"/>
    <w:rsid w:val="00633750"/>
    <w:rsid w:val="00634491"/>
    <w:rsid w:val="0063679C"/>
    <w:rsid w:val="00637055"/>
    <w:rsid w:val="00641174"/>
    <w:rsid w:val="006418EE"/>
    <w:rsid w:val="00641D59"/>
    <w:rsid w:val="00644507"/>
    <w:rsid w:val="00646880"/>
    <w:rsid w:val="00646C3D"/>
    <w:rsid w:val="00647D2A"/>
    <w:rsid w:val="00652879"/>
    <w:rsid w:val="006537BB"/>
    <w:rsid w:val="0065464D"/>
    <w:rsid w:val="006546CC"/>
    <w:rsid w:val="0065711B"/>
    <w:rsid w:val="006633E3"/>
    <w:rsid w:val="006637E3"/>
    <w:rsid w:val="006637EE"/>
    <w:rsid w:val="00665867"/>
    <w:rsid w:val="00666A6C"/>
    <w:rsid w:val="00671785"/>
    <w:rsid w:val="006718B7"/>
    <w:rsid w:val="00672BA9"/>
    <w:rsid w:val="00673005"/>
    <w:rsid w:val="00674893"/>
    <w:rsid w:val="00675798"/>
    <w:rsid w:val="006804BE"/>
    <w:rsid w:val="0068414F"/>
    <w:rsid w:val="006855DE"/>
    <w:rsid w:val="0069008E"/>
    <w:rsid w:val="0069087E"/>
    <w:rsid w:val="00690E04"/>
    <w:rsid w:val="00691191"/>
    <w:rsid w:val="00691793"/>
    <w:rsid w:val="006918B1"/>
    <w:rsid w:val="00691FDE"/>
    <w:rsid w:val="006925C4"/>
    <w:rsid w:val="0069309C"/>
    <w:rsid w:val="00693588"/>
    <w:rsid w:val="006945BE"/>
    <w:rsid w:val="0069792A"/>
    <w:rsid w:val="006A02B7"/>
    <w:rsid w:val="006A0DF3"/>
    <w:rsid w:val="006A40FD"/>
    <w:rsid w:val="006A4380"/>
    <w:rsid w:val="006A63BF"/>
    <w:rsid w:val="006A71BE"/>
    <w:rsid w:val="006B036F"/>
    <w:rsid w:val="006B46D5"/>
    <w:rsid w:val="006B46F4"/>
    <w:rsid w:val="006C25D8"/>
    <w:rsid w:val="006C2877"/>
    <w:rsid w:val="006C672F"/>
    <w:rsid w:val="006C7AF3"/>
    <w:rsid w:val="006D358C"/>
    <w:rsid w:val="006D6548"/>
    <w:rsid w:val="006E0E20"/>
    <w:rsid w:val="006E339D"/>
    <w:rsid w:val="006E4256"/>
    <w:rsid w:val="006E4BBA"/>
    <w:rsid w:val="006E5F43"/>
    <w:rsid w:val="006E60A6"/>
    <w:rsid w:val="006F0F69"/>
    <w:rsid w:val="006F104C"/>
    <w:rsid w:val="006F116B"/>
    <w:rsid w:val="006F117F"/>
    <w:rsid w:val="006F13DF"/>
    <w:rsid w:val="006F15A2"/>
    <w:rsid w:val="006F3971"/>
    <w:rsid w:val="006F46BC"/>
    <w:rsid w:val="006F6495"/>
    <w:rsid w:val="006F7779"/>
    <w:rsid w:val="00701E4C"/>
    <w:rsid w:val="00702F26"/>
    <w:rsid w:val="0070313E"/>
    <w:rsid w:val="00703799"/>
    <w:rsid w:val="007052CB"/>
    <w:rsid w:val="00705C5C"/>
    <w:rsid w:val="00711475"/>
    <w:rsid w:val="00714947"/>
    <w:rsid w:val="00716C0F"/>
    <w:rsid w:val="0072548A"/>
    <w:rsid w:val="00725889"/>
    <w:rsid w:val="007270AE"/>
    <w:rsid w:val="007277A6"/>
    <w:rsid w:val="00731BD1"/>
    <w:rsid w:val="00732893"/>
    <w:rsid w:val="00733EA7"/>
    <w:rsid w:val="00734175"/>
    <w:rsid w:val="00734D41"/>
    <w:rsid w:val="007437AB"/>
    <w:rsid w:val="00746E88"/>
    <w:rsid w:val="00750A9D"/>
    <w:rsid w:val="007534F8"/>
    <w:rsid w:val="007543EB"/>
    <w:rsid w:val="007545AD"/>
    <w:rsid w:val="00756CD4"/>
    <w:rsid w:val="007609A4"/>
    <w:rsid w:val="00762446"/>
    <w:rsid w:val="00762C9C"/>
    <w:rsid w:val="00763722"/>
    <w:rsid w:val="00764BC1"/>
    <w:rsid w:val="00766C54"/>
    <w:rsid w:val="00766D92"/>
    <w:rsid w:val="00770869"/>
    <w:rsid w:val="00770E6B"/>
    <w:rsid w:val="007711C7"/>
    <w:rsid w:val="00771A78"/>
    <w:rsid w:val="007738AA"/>
    <w:rsid w:val="00775E89"/>
    <w:rsid w:val="00780A62"/>
    <w:rsid w:val="00783241"/>
    <w:rsid w:val="00783683"/>
    <w:rsid w:val="00784BDC"/>
    <w:rsid w:val="00792F28"/>
    <w:rsid w:val="0079543F"/>
    <w:rsid w:val="00795880"/>
    <w:rsid w:val="00796949"/>
    <w:rsid w:val="0079748D"/>
    <w:rsid w:val="007A4367"/>
    <w:rsid w:val="007A63F4"/>
    <w:rsid w:val="007B0867"/>
    <w:rsid w:val="007B1AC1"/>
    <w:rsid w:val="007B5A08"/>
    <w:rsid w:val="007B693D"/>
    <w:rsid w:val="007B7649"/>
    <w:rsid w:val="007C0CCC"/>
    <w:rsid w:val="007C0DE9"/>
    <w:rsid w:val="007D11F2"/>
    <w:rsid w:val="007E041B"/>
    <w:rsid w:val="007E199A"/>
    <w:rsid w:val="007E2415"/>
    <w:rsid w:val="007E39F3"/>
    <w:rsid w:val="007E3B41"/>
    <w:rsid w:val="007E68F4"/>
    <w:rsid w:val="007E7778"/>
    <w:rsid w:val="007F06B4"/>
    <w:rsid w:val="007F2587"/>
    <w:rsid w:val="007F31BA"/>
    <w:rsid w:val="007F4078"/>
    <w:rsid w:val="007F5170"/>
    <w:rsid w:val="007F56F9"/>
    <w:rsid w:val="007F77C9"/>
    <w:rsid w:val="0080014B"/>
    <w:rsid w:val="00800E1C"/>
    <w:rsid w:val="00801716"/>
    <w:rsid w:val="00801793"/>
    <w:rsid w:val="00803642"/>
    <w:rsid w:val="008047CF"/>
    <w:rsid w:val="00806EA2"/>
    <w:rsid w:val="00812A2B"/>
    <w:rsid w:val="00813A5F"/>
    <w:rsid w:val="00814A4C"/>
    <w:rsid w:val="008153DE"/>
    <w:rsid w:val="00816B97"/>
    <w:rsid w:val="00817F95"/>
    <w:rsid w:val="0082560F"/>
    <w:rsid w:val="008264A1"/>
    <w:rsid w:val="00826720"/>
    <w:rsid w:val="00830641"/>
    <w:rsid w:val="00831AAB"/>
    <w:rsid w:val="0083574E"/>
    <w:rsid w:val="00835F18"/>
    <w:rsid w:val="0083640C"/>
    <w:rsid w:val="0084157B"/>
    <w:rsid w:val="00842BFB"/>
    <w:rsid w:val="00843037"/>
    <w:rsid w:val="00843E96"/>
    <w:rsid w:val="0084417C"/>
    <w:rsid w:val="0084605D"/>
    <w:rsid w:val="00846B85"/>
    <w:rsid w:val="00847058"/>
    <w:rsid w:val="00847DC3"/>
    <w:rsid w:val="00847F49"/>
    <w:rsid w:val="00850F10"/>
    <w:rsid w:val="0085253C"/>
    <w:rsid w:val="008535C5"/>
    <w:rsid w:val="00853765"/>
    <w:rsid w:val="0085516F"/>
    <w:rsid w:val="00861278"/>
    <w:rsid w:val="00866973"/>
    <w:rsid w:val="00867186"/>
    <w:rsid w:val="0086731B"/>
    <w:rsid w:val="00870AF6"/>
    <w:rsid w:val="0087621D"/>
    <w:rsid w:val="00881268"/>
    <w:rsid w:val="00882614"/>
    <w:rsid w:val="0088394A"/>
    <w:rsid w:val="00884D6B"/>
    <w:rsid w:val="008860BD"/>
    <w:rsid w:val="00887399"/>
    <w:rsid w:val="0088779E"/>
    <w:rsid w:val="00890603"/>
    <w:rsid w:val="008912AF"/>
    <w:rsid w:val="00892114"/>
    <w:rsid w:val="00892CB9"/>
    <w:rsid w:val="008935CB"/>
    <w:rsid w:val="0089370B"/>
    <w:rsid w:val="00894869"/>
    <w:rsid w:val="008A5CCD"/>
    <w:rsid w:val="008A5FB9"/>
    <w:rsid w:val="008B0BD8"/>
    <w:rsid w:val="008B0E7E"/>
    <w:rsid w:val="008B5FF0"/>
    <w:rsid w:val="008B65BD"/>
    <w:rsid w:val="008B7900"/>
    <w:rsid w:val="008C71BF"/>
    <w:rsid w:val="008C7FE0"/>
    <w:rsid w:val="008D0424"/>
    <w:rsid w:val="008D3C5A"/>
    <w:rsid w:val="008D553A"/>
    <w:rsid w:val="008D5717"/>
    <w:rsid w:val="008D5F44"/>
    <w:rsid w:val="008E44A9"/>
    <w:rsid w:val="008E6B4D"/>
    <w:rsid w:val="008E6BFF"/>
    <w:rsid w:val="008E7BB9"/>
    <w:rsid w:val="008F1878"/>
    <w:rsid w:val="008F21AF"/>
    <w:rsid w:val="008F2400"/>
    <w:rsid w:val="008F61BA"/>
    <w:rsid w:val="008F6E3C"/>
    <w:rsid w:val="008F7C55"/>
    <w:rsid w:val="00900612"/>
    <w:rsid w:val="0090209B"/>
    <w:rsid w:val="0090338C"/>
    <w:rsid w:val="00903BD6"/>
    <w:rsid w:val="009121E9"/>
    <w:rsid w:val="00914A23"/>
    <w:rsid w:val="009160EB"/>
    <w:rsid w:val="00923ADA"/>
    <w:rsid w:val="00923F45"/>
    <w:rsid w:val="00930754"/>
    <w:rsid w:val="00931164"/>
    <w:rsid w:val="00934F68"/>
    <w:rsid w:val="009355AC"/>
    <w:rsid w:val="00935F38"/>
    <w:rsid w:val="00937586"/>
    <w:rsid w:val="00945E94"/>
    <w:rsid w:val="00947889"/>
    <w:rsid w:val="00950E3A"/>
    <w:rsid w:val="00952837"/>
    <w:rsid w:val="00960E98"/>
    <w:rsid w:val="00963A82"/>
    <w:rsid w:val="00964E62"/>
    <w:rsid w:val="0097056F"/>
    <w:rsid w:val="00970856"/>
    <w:rsid w:val="00970899"/>
    <w:rsid w:val="00972912"/>
    <w:rsid w:val="00972CA0"/>
    <w:rsid w:val="00976D1F"/>
    <w:rsid w:val="00976FF1"/>
    <w:rsid w:val="00980528"/>
    <w:rsid w:val="00981C81"/>
    <w:rsid w:val="00992209"/>
    <w:rsid w:val="00992EAC"/>
    <w:rsid w:val="009A082C"/>
    <w:rsid w:val="009A2D24"/>
    <w:rsid w:val="009A35CA"/>
    <w:rsid w:val="009A456C"/>
    <w:rsid w:val="009A4B24"/>
    <w:rsid w:val="009A545B"/>
    <w:rsid w:val="009A789B"/>
    <w:rsid w:val="009B00E0"/>
    <w:rsid w:val="009B0814"/>
    <w:rsid w:val="009B292A"/>
    <w:rsid w:val="009B4D42"/>
    <w:rsid w:val="009B76D5"/>
    <w:rsid w:val="009C0752"/>
    <w:rsid w:val="009C0C7B"/>
    <w:rsid w:val="009C131B"/>
    <w:rsid w:val="009C165D"/>
    <w:rsid w:val="009C37F7"/>
    <w:rsid w:val="009C3CEA"/>
    <w:rsid w:val="009C583D"/>
    <w:rsid w:val="009C64F4"/>
    <w:rsid w:val="009C6BA9"/>
    <w:rsid w:val="009D121C"/>
    <w:rsid w:val="009D2611"/>
    <w:rsid w:val="009D33E7"/>
    <w:rsid w:val="009D3410"/>
    <w:rsid w:val="009D79D2"/>
    <w:rsid w:val="009E247C"/>
    <w:rsid w:val="009E31BA"/>
    <w:rsid w:val="009F0528"/>
    <w:rsid w:val="009F0806"/>
    <w:rsid w:val="009F0B47"/>
    <w:rsid w:val="009F1B40"/>
    <w:rsid w:val="009F233B"/>
    <w:rsid w:val="009F2C59"/>
    <w:rsid w:val="009F30E9"/>
    <w:rsid w:val="009F44A8"/>
    <w:rsid w:val="009F4F40"/>
    <w:rsid w:val="009F5913"/>
    <w:rsid w:val="00A05D16"/>
    <w:rsid w:val="00A0659F"/>
    <w:rsid w:val="00A0730E"/>
    <w:rsid w:val="00A079BA"/>
    <w:rsid w:val="00A15C12"/>
    <w:rsid w:val="00A23354"/>
    <w:rsid w:val="00A33875"/>
    <w:rsid w:val="00A360A1"/>
    <w:rsid w:val="00A402B3"/>
    <w:rsid w:val="00A544B7"/>
    <w:rsid w:val="00A618CF"/>
    <w:rsid w:val="00A62770"/>
    <w:rsid w:val="00A62EEB"/>
    <w:rsid w:val="00A65D87"/>
    <w:rsid w:val="00A660FF"/>
    <w:rsid w:val="00A6625A"/>
    <w:rsid w:val="00A729F3"/>
    <w:rsid w:val="00A73395"/>
    <w:rsid w:val="00A77A8D"/>
    <w:rsid w:val="00A827F7"/>
    <w:rsid w:val="00A82B4C"/>
    <w:rsid w:val="00A93A4C"/>
    <w:rsid w:val="00A94D5D"/>
    <w:rsid w:val="00A96990"/>
    <w:rsid w:val="00AA1D9B"/>
    <w:rsid w:val="00AA2543"/>
    <w:rsid w:val="00AA3804"/>
    <w:rsid w:val="00AA3EC6"/>
    <w:rsid w:val="00AA55C2"/>
    <w:rsid w:val="00AB0ACA"/>
    <w:rsid w:val="00AB1D41"/>
    <w:rsid w:val="00AB5FD2"/>
    <w:rsid w:val="00AC0462"/>
    <w:rsid w:val="00AC5E9A"/>
    <w:rsid w:val="00AC704B"/>
    <w:rsid w:val="00AD03B3"/>
    <w:rsid w:val="00AD5390"/>
    <w:rsid w:val="00AD553E"/>
    <w:rsid w:val="00AD5848"/>
    <w:rsid w:val="00AD5E13"/>
    <w:rsid w:val="00AE243B"/>
    <w:rsid w:val="00AE2795"/>
    <w:rsid w:val="00AE42E1"/>
    <w:rsid w:val="00AE5ADA"/>
    <w:rsid w:val="00AF09A9"/>
    <w:rsid w:val="00AF4E61"/>
    <w:rsid w:val="00AF5523"/>
    <w:rsid w:val="00AF6145"/>
    <w:rsid w:val="00AF7FA0"/>
    <w:rsid w:val="00B01386"/>
    <w:rsid w:val="00B01BB5"/>
    <w:rsid w:val="00B02E3A"/>
    <w:rsid w:val="00B04AF4"/>
    <w:rsid w:val="00B05214"/>
    <w:rsid w:val="00B07AC1"/>
    <w:rsid w:val="00B159A7"/>
    <w:rsid w:val="00B15C85"/>
    <w:rsid w:val="00B2060B"/>
    <w:rsid w:val="00B21DDD"/>
    <w:rsid w:val="00B23ED0"/>
    <w:rsid w:val="00B26FEE"/>
    <w:rsid w:val="00B30D97"/>
    <w:rsid w:val="00B31738"/>
    <w:rsid w:val="00B3181A"/>
    <w:rsid w:val="00B35A7C"/>
    <w:rsid w:val="00B35F5E"/>
    <w:rsid w:val="00B428BD"/>
    <w:rsid w:val="00B450D1"/>
    <w:rsid w:val="00B46EA6"/>
    <w:rsid w:val="00B51B5B"/>
    <w:rsid w:val="00B53D47"/>
    <w:rsid w:val="00B54015"/>
    <w:rsid w:val="00B54A25"/>
    <w:rsid w:val="00B54DE7"/>
    <w:rsid w:val="00B603AE"/>
    <w:rsid w:val="00B618C3"/>
    <w:rsid w:val="00B63652"/>
    <w:rsid w:val="00B66812"/>
    <w:rsid w:val="00B668B0"/>
    <w:rsid w:val="00B70F5C"/>
    <w:rsid w:val="00B71873"/>
    <w:rsid w:val="00B75AE5"/>
    <w:rsid w:val="00B77570"/>
    <w:rsid w:val="00B800C0"/>
    <w:rsid w:val="00B8132B"/>
    <w:rsid w:val="00B84C5A"/>
    <w:rsid w:val="00B858F5"/>
    <w:rsid w:val="00B85ADA"/>
    <w:rsid w:val="00B85F0D"/>
    <w:rsid w:val="00B8620C"/>
    <w:rsid w:val="00B90D2B"/>
    <w:rsid w:val="00B93668"/>
    <w:rsid w:val="00B9751E"/>
    <w:rsid w:val="00BA68C6"/>
    <w:rsid w:val="00BB12F1"/>
    <w:rsid w:val="00BB198B"/>
    <w:rsid w:val="00BB1F56"/>
    <w:rsid w:val="00BB276E"/>
    <w:rsid w:val="00BB3FEE"/>
    <w:rsid w:val="00BB59A9"/>
    <w:rsid w:val="00BB5EB0"/>
    <w:rsid w:val="00BB7A27"/>
    <w:rsid w:val="00BC07A6"/>
    <w:rsid w:val="00BC245A"/>
    <w:rsid w:val="00BC287D"/>
    <w:rsid w:val="00BC48E7"/>
    <w:rsid w:val="00BD16FA"/>
    <w:rsid w:val="00BD3A1B"/>
    <w:rsid w:val="00BD41C3"/>
    <w:rsid w:val="00BD488B"/>
    <w:rsid w:val="00BD52EA"/>
    <w:rsid w:val="00BD7711"/>
    <w:rsid w:val="00BD7CCC"/>
    <w:rsid w:val="00BD7CD5"/>
    <w:rsid w:val="00BE002A"/>
    <w:rsid w:val="00BE1BC9"/>
    <w:rsid w:val="00BE5CDA"/>
    <w:rsid w:val="00BE608F"/>
    <w:rsid w:val="00BF23BB"/>
    <w:rsid w:val="00BF2D39"/>
    <w:rsid w:val="00BF33DD"/>
    <w:rsid w:val="00BF54EC"/>
    <w:rsid w:val="00BF5755"/>
    <w:rsid w:val="00BF684B"/>
    <w:rsid w:val="00C016F3"/>
    <w:rsid w:val="00C02051"/>
    <w:rsid w:val="00C15193"/>
    <w:rsid w:val="00C15609"/>
    <w:rsid w:val="00C15F6A"/>
    <w:rsid w:val="00C23EA7"/>
    <w:rsid w:val="00C256F3"/>
    <w:rsid w:val="00C270A2"/>
    <w:rsid w:val="00C27332"/>
    <w:rsid w:val="00C315B5"/>
    <w:rsid w:val="00C325A3"/>
    <w:rsid w:val="00C32D3A"/>
    <w:rsid w:val="00C35E28"/>
    <w:rsid w:val="00C426AF"/>
    <w:rsid w:val="00C469C1"/>
    <w:rsid w:val="00C4781E"/>
    <w:rsid w:val="00C50659"/>
    <w:rsid w:val="00C51B39"/>
    <w:rsid w:val="00C525B0"/>
    <w:rsid w:val="00C5338A"/>
    <w:rsid w:val="00C54EF9"/>
    <w:rsid w:val="00C56BBF"/>
    <w:rsid w:val="00C5722E"/>
    <w:rsid w:val="00C572AA"/>
    <w:rsid w:val="00C57A9A"/>
    <w:rsid w:val="00C57FCA"/>
    <w:rsid w:val="00C6016A"/>
    <w:rsid w:val="00C60B3F"/>
    <w:rsid w:val="00C623EB"/>
    <w:rsid w:val="00C6258A"/>
    <w:rsid w:val="00C62B74"/>
    <w:rsid w:val="00C64C6B"/>
    <w:rsid w:val="00C65138"/>
    <w:rsid w:val="00C66F2E"/>
    <w:rsid w:val="00C6785C"/>
    <w:rsid w:val="00C70FD1"/>
    <w:rsid w:val="00C723D1"/>
    <w:rsid w:val="00C733AA"/>
    <w:rsid w:val="00C76BB5"/>
    <w:rsid w:val="00C83027"/>
    <w:rsid w:val="00C84B8A"/>
    <w:rsid w:val="00C85E65"/>
    <w:rsid w:val="00C87CA1"/>
    <w:rsid w:val="00C911B4"/>
    <w:rsid w:val="00C91B3B"/>
    <w:rsid w:val="00C92D6E"/>
    <w:rsid w:val="00C94262"/>
    <w:rsid w:val="00C95778"/>
    <w:rsid w:val="00C976E1"/>
    <w:rsid w:val="00C97FB6"/>
    <w:rsid w:val="00CA0552"/>
    <w:rsid w:val="00CA148E"/>
    <w:rsid w:val="00CA3A9A"/>
    <w:rsid w:val="00CA56E7"/>
    <w:rsid w:val="00CA6CD1"/>
    <w:rsid w:val="00CA732D"/>
    <w:rsid w:val="00CB099A"/>
    <w:rsid w:val="00CB0C2E"/>
    <w:rsid w:val="00CB32F5"/>
    <w:rsid w:val="00CB45C0"/>
    <w:rsid w:val="00CB6BC1"/>
    <w:rsid w:val="00CB7021"/>
    <w:rsid w:val="00CD06D5"/>
    <w:rsid w:val="00CD2A83"/>
    <w:rsid w:val="00CD2F56"/>
    <w:rsid w:val="00CD3294"/>
    <w:rsid w:val="00CD4524"/>
    <w:rsid w:val="00CD4ABF"/>
    <w:rsid w:val="00CD784D"/>
    <w:rsid w:val="00CE1CED"/>
    <w:rsid w:val="00CE292A"/>
    <w:rsid w:val="00CE2A3A"/>
    <w:rsid w:val="00CE3183"/>
    <w:rsid w:val="00CE5A97"/>
    <w:rsid w:val="00CE60F8"/>
    <w:rsid w:val="00CE6A32"/>
    <w:rsid w:val="00CF40F8"/>
    <w:rsid w:val="00CF5325"/>
    <w:rsid w:val="00D008DA"/>
    <w:rsid w:val="00D00C52"/>
    <w:rsid w:val="00D00CA6"/>
    <w:rsid w:val="00D03BB2"/>
    <w:rsid w:val="00D03C6C"/>
    <w:rsid w:val="00D0416F"/>
    <w:rsid w:val="00D05851"/>
    <w:rsid w:val="00D10FED"/>
    <w:rsid w:val="00D11102"/>
    <w:rsid w:val="00D11736"/>
    <w:rsid w:val="00D12C0B"/>
    <w:rsid w:val="00D12EE8"/>
    <w:rsid w:val="00D13234"/>
    <w:rsid w:val="00D15FF1"/>
    <w:rsid w:val="00D167F4"/>
    <w:rsid w:val="00D2092A"/>
    <w:rsid w:val="00D2216D"/>
    <w:rsid w:val="00D2316C"/>
    <w:rsid w:val="00D26754"/>
    <w:rsid w:val="00D30B84"/>
    <w:rsid w:val="00D30B8A"/>
    <w:rsid w:val="00D3169E"/>
    <w:rsid w:val="00D31A6F"/>
    <w:rsid w:val="00D3223B"/>
    <w:rsid w:val="00D33293"/>
    <w:rsid w:val="00D34D46"/>
    <w:rsid w:val="00D353D1"/>
    <w:rsid w:val="00D353E5"/>
    <w:rsid w:val="00D367DB"/>
    <w:rsid w:val="00D36E05"/>
    <w:rsid w:val="00D44F27"/>
    <w:rsid w:val="00D45304"/>
    <w:rsid w:val="00D461C7"/>
    <w:rsid w:val="00D50424"/>
    <w:rsid w:val="00D51D26"/>
    <w:rsid w:val="00D53FF5"/>
    <w:rsid w:val="00D55566"/>
    <w:rsid w:val="00D563FB"/>
    <w:rsid w:val="00D57D3E"/>
    <w:rsid w:val="00D6146A"/>
    <w:rsid w:val="00D6165A"/>
    <w:rsid w:val="00D63249"/>
    <w:rsid w:val="00D643F4"/>
    <w:rsid w:val="00D64C48"/>
    <w:rsid w:val="00D65357"/>
    <w:rsid w:val="00D65428"/>
    <w:rsid w:val="00D74802"/>
    <w:rsid w:val="00D763CD"/>
    <w:rsid w:val="00D776DC"/>
    <w:rsid w:val="00D82041"/>
    <w:rsid w:val="00D843F4"/>
    <w:rsid w:val="00D9497E"/>
    <w:rsid w:val="00DA6BC2"/>
    <w:rsid w:val="00DB04BE"/>
    <w:rsid w:val="00DB1D54"/>
    <w:rsid w:val="00DB79A6"/>
    <w:rsid w:val="00DC23CF"/>
    <w:rsid w:val="00DC3A86"/>
    <w:rsid w:val="00DC42E9"/>
    <w:rsid w:val="00DC6562"/>
    <w:rsid w:val="00DD3BC6"/>
    <w:rsid w:val="00DD7C07"/>
    <w:rsid w:val="00DE130D"/>
    <w:rsid w:val="00DE1379"/>
    <w:rsid w:val="00DE185D"/>
    <w:rsid w:val="00DE24CF"/>
    <w:rsid w:val="00DE407C"/>
    <w:rsid w:val="00DE4B95"/>
    <w:rsid w:val="00DE64E0"/>
    <w:rsid w:val="00DE6761"/>
    <w:rsid w:val="00DE7C7D"/>
    <w:rsid w:val="00DF1AE3"/>
    <w:rsid w:val="00DF2992"/>
    <w:rsid w:val="00DF2D0C"/>
    <w:rsid w:val="00DF7F1E"/>
    <w:rsid w:val="00E00D59"/>
    <w:rsid w:val="00E01B9D"/>
    <w:rsid w:val="00E03DC1"/>
    <w:rsid w:val="00E04F5E"/>
    <w:rsid w:val="00E0522E"/>
    <w:rsid w:val="00E05C8A"/>
    <w:rsid w:val="00E115B6"/>
    <w:rsid w:val="00E120F4"/>
    <w:rsid w:val="00E132A2"/>
    <w:rsid w:val="00E155F9"/>
    <w:rsid w:val="00E15FF7"/>
    <w:rsid w:val="00E17172"/>
    <w:rsid w:val="00E249AA"/>
    <w:rsid w:val="00E25070"/>
    <w:rsid w:val="00E25B1E"/>
    <w:rsid w:val="00E30B1F"/>
    <w:rsid w:val="00E3181C"/>
    <w:rsid w:val="00E32305"/>
    <w:rsid w:val="00E3280A"/>
    <w:rsid w:val="00E34612"/>
    <w:rsid w:val="00E35883"/>
    <w:rsid w:val="00E372AF"/>
    <w:rsid w:val="00E37D68"/>
    <w:rsid w:val="00E37FC6"/>
    <w:rsid w:val="00E40EAE"/>
    <w:rsid w:val="00E4149D"/>
    <w:rsid w:val="00E41831"/>
    <w:rsid w:val="00E436AC"/>
    <w:rsid w:val="00E43D62"/>
    <w:rsid w:val="00E44FF8"/>
    <w:rsid w:val="00E452D5"/>
    <w:rsid w:val="00E5066A"/>
    <w:rsid w:val="00E5243F"/>
    <w:rsid w:val="00E52CF9"/>
    <w:rsid w:val="00E52EAE"/>
    <w:rsid w:val="00E573FA"/>
    <w:rsid w:val="00E5761D"/>
    <w:rsid w:val="00E57BDC"/>
    <w:rsid w:val="00E57C57"/>
    <w:rsid w:val="00E61FAF"/>
    <w:rsid w:val="00E63F34"/>
    <w:rsid w:val="00E66D60"/>
    <w:rsid w:val="00E6715A"/>
    <w:rsid w:val="00E70E8F"/>
    <w:rsid w:val="00E75DC9"/>
    <w:rsid w:val="00E80CCB"/>
    <w:rsid w:val="00E81610"/>
    <w:rsid w:val="00E846FA"/>
    <w:rsid w:val="00E84910"/>
    <w:rsid w:val="00E85B28"/>
    <w:rsid w:val="00E8734A"/>
    <w:rsid w:val="00E91976"/>
    <w:rsid w:val="00E947A6"/>
    <w:rsid w:val="00E96DD3"/>
    <w:rsid w:val="00E97FC7"/>
    <w:rsid w:val="00EA0690"/>
    <w:rsid w:val="00EA0E54"/>
    <w:rsid w:val="00EA1747"/>
    <w:rsid w:val="00EA2019"/>
    <w:rsid w:val="00EA3956"/>
    <w:rsid w:val="00EA5571"/>
    <w:rsid w:val="00EB20AC"/>
    <w:rsid w:val="00EB4301"/>
    <w:rsid w:val="00EC02A5"/>
    <w:rsid w:val="00EC068C"/>
    <w:rsid w:val="00EC176B"/>
    <w:rsid w:val="00EC33CD"/>
    <w:rsid w:val="00EC5BE5"/>
    <w:rsid w:val="00EC77DD"/>
    <w:rsid w:val="00ED1EA6"/>
    <w:rsid w:val="00ED2650"/>
    <w:rsid w:val="00ED58D5"/>
    <w:rsid w:val="00ED721A"/>
    <w:rsid w:val="00ED7BDE"/>
    <w:rsid w:val="00EE134E"/>
    <w:rsid w:val="00EE1A82"/>
    <w:rsid w:val="00EE393D"/>
    <w:rsid w:val="00EE7479"/>
    <w:rsid w:val="00EF01CF"/>
    <w:rsid w:val="00EF6143"/>
    <w:rsid w:val="00EF6A66"/>
    <w:rsid w:val="00EF7AF9"/>
    <w:rsid w:val="00F01495"/>
    <w:rsid w:val="00F01EE6"/>
    <w:rsid w:val="00F03C20"/>
    <w:rsid w:val="00F0713D"/>
    <w:rsid w:val="00F076C6"/>
    <w:rsid w:val="00F10138"/>
    <w:rsid w:val="00F11E42"/>
    <w:rsid w:val="00F13F92"/>
    <w:rsid w:val="00F141E7"/>
    <w:rsid w:val="00F15918"/>
    <w:rsid w:val="00F22ECA"/>
    <w:rsid w:val="00F240E8"/>
    <w:rsid w:val="00F244FA"/>
    <w:rsid w:val="00F31FD5"/>
    <w:rsid w:val="00F3363A"/>
    <w:rsid w:val="00F34A2F"/>
    <w:rsid w:val="00F3513A"/>
    <w:rsid w:val="00F366A2"/>
    <w:rsid w:val="00F42E07"/>
    <w:rsid w:val="00F44F43"/>
    <w:rsid w:val="00F450E1"/>
    <w:rsid w:val="00F50ACA"/>
    <w:rsid w:val="00F50DF4"/>
    <w:rsid w:val="00F5231B"/>
    <w:rsid w:val="00F564B9"/>
    <w:rsid w:val="00F57901"/>
    <w:rsid w:val="00F57AFE"/>
    <w:rsid w:val="00F602D6"/>
    <w:rsid w:val="00F6278E"/>
    <w:rsid w:val="00F63C41"/>
    <w:rsid w:val="00F63E96"/>
    <w:rsid w:val="00F64D64"/>
    <w:rsid w:val="00F701E3"/>
    <w:rsid w:val="00F71F8C"/>
    <w:rsid w:val="00F80362"/>
    <w:rsid w:val="00F8143B"/>
    <w:rsid w:val="00F8354B"/>
    <w:rsid w:val="00F86AD4"/>
    <w:rsid w:val="00F86EAB"/>
    <w:rsid w:val="00F90FDB"/>
    <w:rsid w:val="00F92EE4"/>
    <w:rsid w:val="00F930B7"/>
    <w:rsid w:val="00F95844"/>
    <w:rsid w:val="00FA0113"/>
    <w:rsid w:val="00FA12B2"/>
    <w:rsid w:val="00FA178C"/>
    <w:rsid w:val="00FA7610"/>
    <w:rsid w:val="00FB02BD"/>
    <w:rsid w:val="00FB0827"/>
    <w:rsid w:val="00FB2585"/>
    <w:rsid w:val="00FB398F"/>
    <w:rsid w:val="00FB420F"/>
    <w:rsid w:val="00FB4EF8"/>
    <w:rsid w:val="00FB6692"/>
    <w:rsid w:val="00FB78DD"/>
    <w:rsid w:val="00FC125E"/>
    <w:rsid w:val="00FC1A2B"/>
    <w:rsid w:val="00FC3EF3"/>
    <w:rsid w:val="00FC6C8C"/>
    <w:rsid w:val="00FD14FD"/>
    <w:rsid w:val="00FD2049"/>
    <w:rsid w:val="00FD2140"/>
    <w:rsid w:val="00FD2566"/>
    <w:rsid w:val="00FD4AF4"/>
    <w:rsid w:val="00FD5BDE"/>
    <w:rsid w:val="00FD5DEC"/>
    <w:rsid w:val="00FD68EC"/>
    <w:rsid w:val="00FE0476"/>
    <w:rsid w:val="00FE24A5"/>
    <w:rsid w:val="00FE2618"/>
    <w:rsid w:val="00FE31E5"/>
    <w:rsid w:val="00FE669C"/>
    <w:rsid w:val="00FF06B8"/>
    <w:rsid w:val="00FF18EC"/>
    <w:rsid w:val="00FF19AD"/>
    <w:rsid w:val="00FF1EB5"/>
    <w:rsid w:val="00FF292D"/>
    <w:rsid w:val="00FF298D"/>
    <w:rsid w:val="00FF2E85"/>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342AB40"/>
  <w15:docId w15:val="{75675A89-3255-4955-A422-9579E13C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8122058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618600">
      <w:bodyDiv w:val="1"/>
      <w:marLeft w:val="0"/>
      <w:marRight w:val="0"/>
      <w:marTop w:val="0"/>
      <w:marBottom w:val="0"/>
      <w:divBdr>
        <w:top w:val="none" w:sz="0" w:space="0" w:color="auto"/>
        <w:left w:val="none" w:sz="0" w:space="0" w:color="auto"/>
        <w:bottom w:val="none" w:sz="0" w:space="0" w:color="auto"/>
        <w:right w:val="none" w:sz="0" w:space="0" w:color="auto"/>
      </w:divBdr>
    </w:div>
    <w:div w:id="754397944">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22385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16552810">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71897857">
      <w:bodyDiv w:val="1"/>
      <w:marLeft w:val="0"/>
      <w:marRight w:val="0"/>
      <w:marTop w:val="0"/>
      <w:marBottom w:val="0"/>
      <w:divBdr>
        <w:top w:val="none" w:sz="0" w:space="0" w:color="auto"/>
        <w:left w:val="none" w:sz="0" w:space="0" w:color="auto"/>
        <w:bottom w:val="none" w:sz="0" w:space="0" w:color="auto"/>
        <w:right w:val="none" w:sz="0" w:space="0" w:color="auto"/>
      </w:divBdr>
    </w:div>
    <w:div w:id="18541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19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Energy__" TargetMode="External"/><Relationship Id="rId4" Type="http://schemas.openxmlformats.org/officeDocument/2006/relationships/settings" Target="settings.xml"/><Relationship Id="rId9" Type="http://schemas.openxmlformats.org/officeDocument/2006/relationships/hyperlink" Target="https://www.cystat.gov.cy/en/SubthemeStatistics?s=34"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C534E-61EB-4050-89C6-B29E71E0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4803</CharactersWithSpaces>
  <SharedDoc>false</SharedDoc>
  <HLinks>
    <vt:vector size="30" baseType="variant">
      <vt:variant>
        <vt:i4>1048667</vt:i4>
      </vt:variant>
      <vt:variant>
        <vt:i4>9</vt:i4>
      </vt:variant>
      <vt:variant>
        <vt:i4>0</vt:i4>
      </vt:variant>
      <vt:variant>
        <vt:i4>5</vt:i4>
      </vt:variant>
      <vt:variant>
        <vt:lpwstr>https://www.cystat.gov.cy/en/MethodologicalDetails?m=2196</vt:lpwstr>
      </vt:variant>
      <vt:variant>
        <vt:lpwstr/>
      </vt:variant>
      <vt:variant>
        <vt:i4>4194389</vt:i4>
      </vt:variant>
      <vt:variant>
        <vt:i4>6</vt:i4>
      </vt:variant>
      <vt:variant>
        <vt:i4>0</vt:i4>
      </vt:variant>
      <vt:variant>
        <vt:i4>5</vt:i4>
      </vt:variant>
      <vt:variant>
        <vt:lpwstr>https://www.cystat.gov.cy/en/KeyFiguresList?s=34</vt:lpwstr>
      </vt:variant>
      <vt:variant>
        <vt:lpwstr/>
      </vt:variant>
      <vt:variant>
        <vt:i4>655417</vt:i4>
      </vt:variant>
      <vt:variant>
        <vt:i4>3</vt:i4>
      </vt:variant>
      <vt:variant>
        <vt:i4>0</vt:i4>
      </vt:variant>
      <vt:variant>
        <vt:i4>5</vt:i4>
      </vt:variant>
      <vt:variant>
        <vt:lpwstr>https://cystatdb.cystat.gov.cy/pxweb/en/8.CYSTAT-DB/8.CYSTAT-DB__Energy__</vt:lpwstr>
      </vt:variant>
      <vt:variant>
        <vt:lpwstr/>
      </vt:variant>
      <vt:variant>
        <vt:i4>4980805</vt:i4>
      </vt:variant>
      <vt:variant>
        <vt:i4>0</vt:i4>
      </vt:variant>
      <vt:variant>
        <vt:i4>0</vt:i4>
      </vt:variant>
      <vt:variant>
        <vt:i4>5</vt:i4>
      </vt:variant>
      <vt:variant>
        <vt:lpwstr>https://www.cystat.gov.cy/en/SubthemeStatistics?s=34</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39</cp:revision>
  <cp:lastPrinted>2025-05-27T08:48:00Z</cp:lastPrinted>
  <dcterms:created xsi:type="dcterms:W3CDTF">2024-01-29T06:35:00Z</dcterms:created>
  <dcterms:modified xsi:type="dcterms:W3CDTF">2025-05-27T10:51:00Z</dcterms:modified>
</cp:coreProperties>
</file>