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60CE" w14:textId="5E65B8E3" w:rsidR="00FB55A5" w:rsidRPr="008A2744" w:rsidRDefault="00B43EB1" w:rsidP="009F6337">
      <w:pPr>
        <w:jc w:val="right"/>
        <w:rPr>
          <w:rFonts w:ascii="Verdana" w:hAnsi="Verdana" w:cs="Arial"/>
          <w:sz w:val="18"/>
          <w:szCs w:val="18"/>
          <w:lang w:val="el-GR"/>
        </w:rPr>
      </w:pPr>
      <w:r w:rsidRPr="000F6616">
        <w:rPr>
          <w:rFonts w:ascii="Verdana" w:hAnsi="Verdana" w:cs="Arial"/>
          <w:sz w:val="18"/>
          <w:szCs w:val="18"/>
          <w:lang w:val="el-GR"/>
        </w:rPr>
        <w:t>2</w:t>
      </w:r>
      <w:r w:rsidR="00142848" w:rsidRPr="00B816C5">
        <w:rPr>
          <w:rFonts w:ascii="Verdana" w:hAnsi="Verdana" w:cs="Arial"/>
          <w:sz w:val="18"/>
          <w:szCs w:val="18"/>
          <w:lang w:val="el-GR"/>
        </w:rPr>
        <w:t>7</w:t>
      </w:r>
      <w:r w:rsidRPr="000F6616">
        <w:rPr>
          <w:rFonts w:ascii="Verdana" w:hAnsi="Verdana" w:cs="Arial"/>
          <w:sz w:val="18"/>
          <w:szCs w:val="18"/>
          <w:lang w:val="el-GR"/>
        </w:rPr>
        <w:t xml:space="preserve"> </w:t>
      </w:r>
      <w:r w:rsidR="00142848">
        <w:rPr>
          <w:rFonts w:ascii="Verdana" w:hAnsi="Verdana" w:cs="Arial"/>
          <w:sz w:val="18"/>
          <w:szCs w:val="18"/>
          <w:lang w:val="el-GR"/>
        </w:rPr>
        <w:t>Σεπτεμβρί</w:t>
      </w:r>
      <w:r>
        <w:rPr>
          <w:rFonts w:ascii="Verdana" w:hAnsi="Verdana" w:cs="Arial"/>
          <w:sz w:val="18"/>
          <w:szCs w:val="18"/>
          <w:lang w:val="el-GR"/>
        </w:rPr>
        <w:t>ου</w:t>
      </w:r>
      <w:r w:rsidR="00AB4C5E">
        <w:rPr>
          <w:rFonts w:ascii="Verdana" w:hAnsi="Verdana" w:cs="Arial"/>
          <w:sz w:val="18"/>
          <w:szCs w:val="18"/>
          <w:lang w:val="el-GR"/>
        </w:rPr>
        <w:t>, 202</w:t>
      </w:r>
      <w:r w:rsidR="007C1738">
        <w:rPr>
          <w:rFonts w:ascii="Verdana" w:hAnsi="Verdana" w:cs="Arial"/>
          <w:sz w:val="18"/>
          <w:szCs w:val="18"/>
          <w:lang w:val="el-GR"/>
        </w:rPr>
        <w:t>3</w:t>
      </w:r>
    </w:p>
    <w:p w14:paraId="225A0627" w14:textId="77777777" w:rsidR="00D95CBE" w:rsidRDefault="00D95CBE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05861BF0" w14:textId="77777777" w:rsidR="00A90238" w:rsidRPr="00982D65" w:rsidRDefault="00A90238" w:rsidP="00982D65">
      <w:pPr>
        <w:rPr>
          <w:rFonts w:ascii="Verdana" w:eastAsia="Malgun Gothic" w:hAnsi="Verdana" w:cs="Arial"/>
          <w:b/>
          <w:sz w:val="18"/>
          <w:szCs w:val="18"/>
          <w:lang w:val="el-GR"/>
        </w:rPr>
      </w:pPr>
    </w:p>
    <w:p w14:paraId="72AAD8D0" w14:textId="77777777" w:rsidR="00FB55A5" w:rsidRPr="00CF40F8" w:rsidRDefault="00FB55A5" w:rsidP="00FB55A5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1F4C8AD1" w14:textId="77777777" w:rsidR="00FB55A5" w:rsidRPr="00930ECB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56763317" w14:textId="184C18AE" w:rsidR="00EE3110" w:rsidRPr="00EE3110" w:rsidRDefault="00FB55A5" w:rsidP="00EE3110">
      <w:pPr>
        <w:pStyle w:val="Heading6"/>
        <w:tabs>
          <w:tab w:val="clear" w:pos="6840"/>
        </w:tabs>
        <w:jc w:val="left"/>
        <w:rPr>
          <w:rFonts w:ascii="Verdana" w:hAnsi="Verdana"/>
          <w:szCs w:val="22"/>
          <w:shd w:val="clear" w:color="auto" w:fill="FFFFFF"/>
        </w:rPr>
      </w:pPr>
      <w:r w:rsidRPr="009F6337">
        <w:rPr>
          <w:rFonts w:ascii="Verdana" w:hAnsi="Verdana"/>
          <w:b w:val="0"/>
          <w:szCs w:val="22"/>
          <w:shd w:val="clear" w:color="auto" w:fill="FFFFFF"/>
        </w:rPr>
        <w:t>ΕΙΣΑΓΩΓΕΣ, ΠΩΛΗΣΕΙΣ ΚΑΙ ΑΠΟΘΕΜΑΤΑ ΠΕΤΡΕΛΑΙΟΕΙΔΩΝ:</w:t>
      </w:r>
      <w:r w:rsidRPr="009F6337">
        <w:rPr>
          <w:rFonts w:ascii="Verdana" w:hAnsi="Verdana"/>
          <w:szCs w:val="22"/>
          <w:shd w:val="clear" w:color="auto" w:fill="FFFFFF"/>
        </w:rPr>
        <w:t xml:space="preserve"> </w:t>
      </w:r>
      <w:r w:rsidR="00142848">
        <w:rPr>
          <w:rFonts w:ascii="Verdana" w:hAnsi="Verdana"/>
          <w:szCs w:val="22"/>
          <w:shd w:val="clear" w:color="auto" w:fill="FFFFFF"/>
        </w:rPr>
        <w:t>ΑΥΓΟΥΣΤΟΣ</w:t>
      </w:r>
      <w:r w:rsidRPr="009F6337">
        <w:rPr>
          <w:rFonts w:ascii="Verdana" w:hAnsi="Verdana"/>
          <w:szCs w:val="22"/>
          <w:shd w:val="clear" w:color="auto" w:fill="FFFFFF"/>
        </w:rPr>
        <w:t xml:space="preserve"> 202</w:t>
      </w:r>
      <w:r w:rsidR="00EE3110">
        <w:rPr>
          <w:rFonts w:ascii="Verdana" w:hAnsi="Verdana"/>
          <w:szCs w:val="22"/>
          <w:shd w:val="clear" w:color="auto" w:fill="FFFFFF"/>
        </w:rPr>
        <w:t>3</w:t>
      </w:r>
    </w:p>
    <w:p w14:paraId="0F92D7EB" w14:textId="77777777" w:rsidR="00FB55A5" w:rsidRPr="009F6337" w:rsidRDefault="00FB55A5" w:rsidP="00FB55A5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F720EB1" w14:textId="32D1195C" w:rsidR="009F6337" w:rsidRPr="009F6337" w:rsidRDefault="009F6337" w:rsidP="009F6337">
      <w:pPr>
        <w:jc w:val="center"/>
        <w:rPr>
          <w:rFonts w:ascii="Verdana" w:eastAsia="Malgun Gothic" w:hAnsi="Verdana" w:cs="Arial"/>
          <w:b/>
          <w:bCs/>
          <w:lang w:val="el-GR"/>
        </w:rPr>
      </w:pPr>
      <w:r w:rsidRPr="009F6337">
        <w:rPr>
          <w:rFonts w:ascii="Verdana" w:eastAsia="Malgun Gothic" w:hAnsi="Verdana" w:cs="Arial"/>
          <w:b/>
          <w:bCs/>
          <w:lang w:val="el-GR"/>
        </w:rPr>
        <w:t xml:space="preserve">Ετήσια Μεταβολή στις Πωλήσεις </w:t>
      </w:r>
      <w:r w:rsidR="000F6616" w:rsidRPr="008C3CE6">
        <w:rPr>
          <w:rFonts w:ascii="Verdana" w:eastAsia="Malgun Gothic" w:hAnsi="Verdana" w:cs="Arial"/>
          <w:b/>
          <w:bCs/>
          <w:lang w:val="el-GR"/>
        </w:rPr>
        <w:t>+</w:t>
      </w:r>
      <w:r w:rsidR="007B67BC" w:rsidRPr="007B67BC">
        <w:rPr>
          <w:rFonts w:ascii="Verdana" w:eastAsia="Malgun Gothic" w:hAnsi="Verdana" w:cs="Arial"/>
          <w:b/>
          <w:bCs/>
          <w:lang w:val="el-GR"/>
        </w:rPr>
        <w:t>2</w:t>
      </w:r>
      <w:r w:rsidRPr="009F6337">
        <w:rPr>
          <w:rFonts w:ascii="Verdana" w:eastAsia="Malgun Gothic" w:hAnsi="Verdana" w:cs="Arial"/>
          <w:b/>
          <w:bCs/>
          <w:lang w:val="el-GR"/>
        </w:rPr>
        <w:t>,</w:t>
      </w:r>
      <w:r w:rsidR="007B67BC" w:rsidRPr="007B67BC">
        <w:rPr>
          <w:rFonts w:ascii="Verdana" w:eastAsia="Malgun Gothic" w:hAnsi="Verdana" w:cs="Arial"/>
          <w:b/>
          <w:bCs/>
          <w:lang w:val="el-GR"/>
        </w:rPr>
        <w:t>3</w:t>
      </w:r>
      <w:r w:rsidRPr="009F6337">
        <w:rPr>
          <w:rFonts w:ascii="Verdana" w:eastAsia="Malgun Gothic" w:hAnsi="Verdana" w:cs="Arial"/>
          <w:b/>
          <w:bCs/>
          <w:lang w:val="el-GR"/>
        </w:rPr>
        <w:t>%</w:t>
      </w:r>
      <w:r w:rsidR="00D40B9E">
        <w:rPr>
          <w:rFonts w:ascii="Verdana" w:eastAsia="Malgun Gothic" w:hAnsi="Verdana" w:cs="Arial"/>
          <w:b/>
          <w:bCs/>
          <w:lang w:val="el-GR"/>
        </w:rPr>
        <w:t xml:space="preserve">  </w:t>
      </w:r>
    </w:p>
    <w:p w14:paraId="25AA583F" w14:textId="77777777" w:rsidR="004423CD" w:rsidRPr="009F6337" w:rsidRDefault="004423CD" w:rsidP="004423C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1308285B" w14:textId="6CDB6489" w:rsidR="001530A1" w:rsidRPr="009F6337" w:rsidRDefault="00FB55A5" w:rsidP="004C6340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Κατά τον</w:t>
      </w:r>
      <w:r w:rsidR="00C756F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7B67BC">
        <w:rPr>
          <w:rFonts w:ascii="Verdana" w:hAnsi="Verdana"/>
          <w:sz w:val="18"/>
          <w:szCs w:val="18"/>
          <w:shd w:val="clear" w:color="auto" w:fill="FFFFFF"/>
          <w:lang w:val="el-GR"/>
        </w:rPr>
        <w:t>Αύγουστο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202</w:t>
      </w:r>
      <w:r w:rsidR="008C3CE6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συνολικές πωλήσεις πετρελαιοειδών έφτασαν τους </w:t>
      </w:r>
      <w:bookmarkStart w:id="0" w:name="_Hlk107213034"/>
      <w:r w:rsidR="008C3CE6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7B67BC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03371B" w:rsidRPr="009F633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.</w:t>
      </w:r>
      <w:r w:rsidR="007B67BC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832</w:t>
      </w:r>
      <w:r w:rsidRPr="009F6337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bookmarkEnd w:id="0"/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τόνους, 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σημειώνοντας 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άνοδο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Start w:id="1" w:name="_Hlk107213045"/>
      <w:r w:rsidR="007B67BC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B67BC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bookmarkEnd w:id="1"/>
      <w:r w:rsid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σχέση με τον </w:t>
      </w:r>
      <w:r w:rsidR="007B67BC">
        <w:rPr>
          <w:rFonts w:ascii="Verdana" w:hAnsi="Verdana"/>
          <w:sz w:val="18"/>
          <w:szCs w:val="18"/>
          <w:shd w:val="clear" w:color="auto" w:fill="FFFFFF"/>
          <w:lang w:val="el-GR"/>
        </w:rPr>
        <w:t>Αύγουστο</w:t>
      </w:r>
      <w:r w:rsidR="007B67BC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8A2744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8C3CE6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98789B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Αύξηση </w:t>
      </w:r>
      <w:r w:rsidR="00B43EB1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καταγράφηκε στις προμήθειες πετρελαίο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υ σε αεροπλάνα (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="007B67BC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7B67BC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B43EB1">
        <w:rPr>
          <w:rFonts w:ascii="Verdana" w:hAnsi="Verdana"/>
          <w:sz w:val="18"/>
          <w:szCs w:val="18"/>
          <w:shd w:val="clear" w:color="auto" w:fill="FFFFFF"/>
          <w:lang w:val="el-GR"/>
        </w:rPr>
        <w:t>%),</w:t>
      </w:r>
      <w:r w:rsidR="00B43EB1" w:rsidRPr="00B43E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43EB1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καθώς και στις πωλήσεις</w:t>
      </w:r>
      <w:r w:rsidR="00B816C5" w:rsidRPr="00B816C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4C6340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κηροζίνης (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>22</w:t>
      </w:r>
      <w:r w:rsidR="004C6340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4C6340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="004C6340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4C6340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="004C6340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>, πετρελαίου κίνησης (4,6%), υγραερίου (3,7%) και</w:t>
      </w:r>
      <w:r w:rsidR="004C6340" w:rsidRPr="00B6720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πετρελαίου θέρμανσης (2,5%). </w:t>
      </w:r>
      <w:r w:rsidR="004C6340" w:rsidRP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Αντίθετα, μ</w:t>
      </w:r>
      <w:r w:rsidR="004C6340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είωση σημειώθηκε στις προμήθειες πετρελαίου σε πλοία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4C6340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(-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>23</w:t>
      </w:r>
      <w:r w:rsidR="004C6340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4C6340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%),</w:t>
      </w:r>
      <w:r w:rsidR="004C6340" w:rsidRPr="000F06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>καθώς και στις πωλήσεις ελαφρού μαζούτ (-14,9%) και ασφάλτου (-9,3%).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>Όσ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ον αφορά ειδικότερα στις πωλήσεις από πρατήρια πετρελαιοειδών, αυτές παρουσίασαν </w:t>
      </w:r>
      <w:r w:rsidR="00B67200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τάξης του 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1530A1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,</w:t>
      </w:r>
      <w:r w:rsidR="004C6340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>5</w:t>
      </w:r>
      <w:r w:rsidR="001530A1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 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στους </w:t>
      </w:r>
      <w:r w:rsidR="00E51453">
        <w:rPr>
          <w:rFonts w:ascii="Verdana" w:hAnsi="Verdana"/>
          <w:sz w:val="18"/>
          <w:szCs w:val="18"/>
          <w:shd w:val="clear" w:color="auto" w:fill="FFFFFF"/>
          <w:lang w:val="el-GR"/>
        </w:rPr>
        <w:t>5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>879</w:t>
      </w:r>
      <w:r w:rsidR="001530A1" w:rsidRPr="00FE4292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 </w:t>
      </w:r>
      <w:r w:rsidR="001530A1" w:rsidRPr="00FE4292">
        <w:rPr>
          <w:rFonts w:ascii="Verdana" w:hAnsi="Verdana"/>
          <w:sz w:val="18"/>
          <w:szCs w:val="18"/>
          <w:shd w:val="clear" w:color="auto" w:fill="FFFFFF"/>
          <w:lang w:val="el-GR"/>
        </w:rPr>
        <w:t>τόνους.</w:t>
      </w:r>
    </w:p>
    <w:p w14:paraId="3B00D8C4" w14:textId="77777777" w:rsidR="00FB55A5" w:rsidRPr="009F6337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88A967" w14:textId="08AEE340" w:rsidR="00FB55A5" w:rsidRPr="000E45D3" w:rsidRDefault="00FB55A5" w:rsidP="00E462A0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ολικές πωλήσεις πετρελαιοειδών κατά τον μήνα 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Αύγουστο </w:t>
      </w:r>
      <w:r w:rsidR="00B22CF2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B22CF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3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τον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Ιού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>λ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ιο</w:t>
      </w:r>
      <w:r w:rsidR="00E462A0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613F84" w:rsidRPr="009F6337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613F8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3 σημείωσαν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πτώση</w:t>
      </w:r>
      <w:r w:rsidR="00440B9F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440B9F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4C6340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Pr="008A126B">
        <w:rPr>
          <w:rFonts w:ascii="Verdana" w:eastAsia="Times New Roman" w:hAnsi="Verdana" w:cs="Arial"/>
          <w:color w:val="000000"/>
          <w:sz w:val="18"/>
          <w:szCs w:val="18"/>
          <w:shd w:val="clear" w:color="auto" w:fill="FFFFFF"/>
          <w:lang w:val="el-GR"/>
        </w:rPr>
        <w:t xml:space="preserve">%.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Ενδεικτικά,</w:t>
      </w:r>
      <w:r w:rsidR="00264637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οι </w:t>
      </w:r>
      <w:r w:rsidR="00E462A0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προμήθειες πετρελαίου σε </w:t>
      </w:r>
      <w:r w:rsidR="00312264">
        <w:rPr>
          <w:rFonts w:ascii="Verdana" w:hAnsi="Verdana"/>
          <w:sz w:val="18"/>
          <w:szCs w:val="18"/>
          <w:shd w:val="clear" w:color="auto" w:fill="FFFFFF"/>
          <w:lang w:val="el-GR"/>
        </w:rPr>
        <w:t>αεροπλάνα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62A0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(-</w:t>
      </w:r>
      <w:r w:rsidR="0031226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E462A0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1226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="00E462A0" w:rsidRPr="002620B5">
        <w:rPr>
          <w:rFonts w:ascii="Verdana" w:hAnsi="Verdana"/>
          <w:sz w:val="18"/>
          <w:szCs w:val="18"/>
          <w:shd w:val="clear" w:color="auto" w:fill="FFFFFF"/>
          <w:lang w:val="el-GR"/>
        </w:rPr>
        <w:t>%),</w:t>
      </w:r>
      <w:r w:rsidR="00E462A0" w:rsidRPr="000F06B1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καθώς και οι πωλήσεις </w:t>
      </w:r>
      <w:r w:rsidR="00E462A0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πετρελ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αίου</w:t>
      </w:r>
      <w:r w:rsidR="00E462A0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κίνησης (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-8</w:t>
      </w:r>
      <w:r w:rsidR="00E462A0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12264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E462A0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</w:t>
      </w:r>
      <w:r w:rsidR="00E462A0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βενζίνης (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-</w:t>
      </w:r>
      <w:r w:rsidR="00312264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="00E462A0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12264">
        <w:rPr>
          <w:rFonts w:ascii="Verdana" w:hAnsi="Verdana"/>
          <w:sz w:val="18"/>
          <w:szCs w:val="18"/>
          <w:shd w:val="clear" w:color="auto" w:fill="FFFFFF"/>
          <w:lang w:val="el-GR"/>
        </w:rPr>
        <w:t>2</w:t>
      </w:r>
      <w:r w:rsidR="00E462A0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%)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ενώ αυξήθηκαν οι </w:t>
      </w:r>
      <w:r w:rsidR="00E462A0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προμήθειες πετρελαίου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</w:t>
      </w:r>
      <w:r w:rsidR="00312264">
        <w:rPr>
          <w:rFonts w:ascii="Verdana" w:hAnsi="Verdana"/>
          <w:sz w:val="18"/>
          <w:szCs w:val="18"/>
          <w:shd w:val="clear" w:color="auto" w:fill="FFFFFF"/>
          <w:lang w:val="el-GR"/>
        </w:rPr>
        <w:t>πλοία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(</w:t>
      </w:r>
      <w:r w:rsidR="00312264">
        <w:rPr>
          <w:rFonts w:ascii="Verdana" w:hAnsi="Verdana"/>
          <w:sz w:val="18"/>
          <w:szCs w:val="18"/>
          <w:shd w:val="clear" w:color="auto" w:fill="FFFFFF"/>
          <w:lang w:val="el-GR"/>
        </w:rPr>
        <w:t>50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12264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  <w:r w:rsidR="007C64E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ολικά αποθέματα πετρελαιοειδών στο τέλος </w:t>
      </w:r>
      <w:bookmarkStart w:id="2" w:name="_Hlk106979418"/>
      <w:r w:rsidR="00312264">
        <w:rPr>
          <w:rFonts w:ascii="Verdana" w:hAnsi="Verdana"/>
          <w:sz w:val="18"/>
          <w:szCs w:val="18"/>
          <w:shd w:val="clear" w:color="auto" w:fill="FFFFFF"/>
          <w:lang w:val="el-GR"/>
        </w:rPr>
        <w:t>Αυγούστου</w:t>
      </w:r>
      <w:r w:rsidR="00440B9F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2"/>
      <w:r w:rsidR="00856783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DD7F94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312264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1F5381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312264">
        <w:rPr>
          <w:rFonts w:ascii="Verdana" w:hAnsi="Verdana"/>
          <w:sz w:val="18"/>
          <w:szCs w:val="18"/>
          <w:shd w:val="clear" w:color="auto" w:fill="FFFFFF"/>
          <w:lang w:val="el-GR"/>
        </w:rPr>
        <w:t>11</w:t>
      </w:r>
      <w:r w:rsidR="00B67200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312264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>% σε σχέση με το τέλος του προηγούμενου μήνα.</w:t>
      </w:r>
    </w:p>
    <w:p w14:paraId="57D791DC" w14:textId="77777777" w:rsidR="007B4BFD" w:rsidRDefault="007B4BFD" w:rsidP="00DD7F9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4037CAB" w14:textId="17CCCA9F" w:rsidR="007B4BFD" w:rsidRPr="00982D65" w:rsidRDefault="007B4BFD" w:rsidP="00DD7F9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περίοδο Ιανουαρίου – </w:t>
      </w:r>
      <w:r w:rsidR="00E21894">
        <w:rPr>
          <w:rFonts w:ascii="Verdana" w:hAnsi="Verdana"/>
          <w:sz w:val="18"/>
          <w:szCs w:val="18"/>
          <w:shd w:val="clear" w:color="auto" w:fill="FFFFFF"/>
          <w:lang w:val="el-GR"/>
        </w:rPr>
        <w:t>Αυγούστου</w:t>
      </w:r>
      <w:r w:rsidR="00E21894" w:rsidRPr="008A126B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202</w:t>
      </w:r>
      <w:r w:rsidR="004A2A58" w:rsidRPr="004A2A58">
        <w:rPr>
          <w:rFonts w:ascii="Verdana" w:hAnsi="Verdana"/>
          <w:sz w:val="18"/>
          <w:szCs w:val="18"/>
          <w:shd w:val="clear" w:color="auto" w:fill="FFFFFF"/>
          <w:lang w:val="el-GR"/>
        </w:rPr>
        <w:t>3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οι ολικές πωλήσεις πετρελαιοειδών σημείωσαν </w:t>
      </w:r>
      <w:r w:rsidR="00E2189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οριακή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πτώση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462A0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E21894">
        <w:rPr>
          <w:rFonts w:ascii="Verdana" w:hAnsi="Verdana"/>
          <w:sz w:val="18"/>
          <w:szCs w:val="18"/>
          <w:shd w:val="clear" w:color="auto" w:fill="FFFFFF"/>
          <w:lang w:val="el-GR"/>
        </w:rPr>
        <w:t>1</w:t>
      </w:r>
      <w:r w:rsidRPr="00194386">
        <w:rPr>
          <w:rFonts w:ascii="Verdana" w:hAnsi="Verdana"/>
          <w:sz w:val="18"/>
          <w:szCs w:val="18"/>
          <w:shd w:val="clear" w:color="auto" w:fill="FFFFFF"/>
          <w:lang w:val="el-GR"/>
        </w:rPr>
        <w:t>% σε σύγκριση με την αντίστοιχη περίοδο του προηγούμενου έτους</w:t>
      </w:r>
      <w:r w:rsidR="00982D65" w:rsidRPr="00982D65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B97E098" w14:textId="77777777" w:rsidR="00E21894" w:rsidRDefault="00E21894" w:rsidP="00523C5A">
      <w:pPr>
        <w:jc w:val="center"/>
        <w:rPr>
          <w:rFonts w:ascii="Verdana" w:hAnsi="Verdana"/>
          <w:noProof/>
          <w:sz w:val="18"/>
          <w:szCs w:val="18"/>
          <w:shd w:val="clear" w:color="auto" w:fill="FFFFFF"/>
          <w:lang w:val="el-GR"/>
        </w:rPr>
      </w:pPr>
    </w:p>
    <w:p w14:paraId="4690FB2F" w14:textId="0FB58ADC" w:rsidR="00E21894" w:rsidRDefault="009D2E0E" w:rsidP="007F2A89">
      <w:pPr>
        <w:jc w:val="center"/>
        <w:rPr>
          <w:noProof/>
          <w:lang w:val="el-GR"/>
        </w:rPr>
      </w:pPr>
      <w:r>
        <w:rPr>
          <w:noProof/>
        </w:rPr>
        <w:drawing>
          <wp:inline distT="0" distB="0" distL="0" distR="0" wp14:anchorId="429CE0E1" wp14:editId="0F0BE21C">
            <wp:extent cx="6115050" cy="3971925"/>
            <wp:effectExtent l="0" t="0" r="0" b="9525"/>
            <wp:docPr id="1210691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5BC1B0F-18C4-44D5-9893-B1B00549FC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D19A0C9" w14:textId="77777777" w:rsidR="008012F8" w:rsidRPr="009D2E0E" w:rsidRDefault="008012F8" w:rsidP="00FB55A5">
      <w:pPr>
        <w:tabs>
          <w:tab w:val="left" w:pos="1080"/>
          <w:tab w:val="left" w:pos="6840"/>
        </w:tabs>
        <w:rPr>
          <w:rFonts w:ascii="Verdana" w:hAnsi="Verdana"/>
          <w:sz w:val="18"/>
          <w:szCs w:val="18"/>
          <w:lang w:val="el-GR"/>
        </w:rPr>
      </w:pPr>
    </w:p>
    <w:tbl>
      <w:tblPr>
        <w:tblW w:w="10025" w:type="dxa"/>
        <w:jc w:val="center"/>
        <w:tblLook w:val="04A0" w:firstRow="1" w:lastRow="0" w:firstColumn="1" w:lastColumn="0" w:noHBand="0" w:noVBand="1"/>
      </w:tblPr>
      <w:tblGrid>
        <w:gridCol w:w="2325"/>
        <w:gridCol w:w="1264"/>
        <w:gridCol w:w="57"/>
        <w:gridCol w:w="1208"/>
        <w:gridCol w:w="1264"/>
        <w:gridCol w:w="1266"/>
        <w:gridCol w:w="1320"/>
        <w:gridCol w:w="1321"/>
      </w:tblGrid>
      <w:tr w:rsidR="002735B6" w:rsidRPr="00A90238" w14:paraId="7A4D4DC8" w14:textId="77777777" w:rsidTr="00936193">
        <w:trPr>
          <w:gridAfter w:val="5"/>
          <w:wAfter w:w="6379" w:type="dxa"/>
          <w:trHeight w:val="47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4E17B" w14:textId="58433145" w:rsidR="002735B6" w:rsidRPr="00A90238" w:rsidRDefault="002735B6" w:rsidP="00936193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lastRenderedPageBreak/>
              <w:t>Πίν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ακας 1</w:t>
            </w:r>
            <w: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eastAsia="en-CY" w:bidi="he-IL"/>
              </w:rPr>
              <w:t xml:space="preserve">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 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  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  <w:t xml:space="preserve">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    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eastAsia="en-CY" w:bidi="he-IL"/>
              </w:rPr>
              <w:t xml:space="preserve"> </w:t>
            </w: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       </w:t>
            </w:r>
          </w:p>
        </w:tc>
        <w:tc>
          <w:tcPr>
            <w:tcW w:w="1321" w:type="dxa"/>
            <w:gridSpan w:val="2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B1B1DA7" w14:textId="77777777" w:rsidR="002735B6" w:rsidRPr="00A90238" w:rsidRDefault="002735B6" w:rsidP="00936193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</w:p>
        </w:tc>
      </w:tr>
      <w:tr w:rsidR="002735B6" w:rsidRPr="00A90238" w14:paraId="2BC3904F" w14:textId="77777777" w:rsidTr="00936193">
        <w:trPr>
          <w:trHeight w:val="613"/>
          <w:jc w:val="center"/>
        </w:trPr>
        <w:tc>
          <w:tcPr>
            <w:tcW w:w="2325" w:type="dxa"/>
            <w:vMerge w:val="restart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02ADE1C1" w14:textId="77777777" w:rsidR="002735B6" w:rsidRPr="00A90238" w:rsidRDefault="002735B6" w:rsidP="00936193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Προϊόντ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5059" w:type="dxa"/>
            <w:gridSpan w:val="5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3BA5266" w14:textId="77777777" w:rsidR="002735B6" w:rsidRPr="00A90238" w:rsidRDefault="002735B6" w:rsidP="00936193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l-GR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Ολικές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Πωλήσεις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(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τόνοι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2641" w:type="dxa"/>
            <w:gridSpan w:val="2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7DF7F01D" w14:textId="77777777" w:rsidR="002735B6" w:rsidRPr="00A90238" w:rsidRDefault="002735B6" w:rsidP="00936193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αβολή (%)</w:t>
            </w:r>
          </w:p>
        </w:tc>
      </w:tr>
      <w:tr w:rsidR="002735B6" w:rsidRPr="00A90238" w14:paraId="2AEBD0C3" w14:textId="77777777" w:rsidTr="00936193">
        <w:trPr>
          <w:trHeight w:val="1085"/>
          <w:jc w:val="center"/>
        </w:trPr>
        <w:tc>
          <w:tcPr>
            <w:tcW w:w="2325" w:type="dxa"/>
            <w:vMerge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vAlign w:val="center"/>
            <w:hideMark/>
          </w:tcPr>
          <w:p w14:paraId="0883DF46" w14:textId="77777777" w:rsidR="002735B6" w:rsidRPr="00A90238" w:rsidRDefault="002735B6" w:rsidP="002735B6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4619393A" w14:textId="5084CCD2" w:rsidR="002735B6" w:rsidRPr="00A90238" w:rsidRDefault="002735B6" w:rsidP="002735B6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Α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υ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γ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br/>
              <w:t>2023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50B533C5" w14:textId="087F13E7" w:rsidR="002735B6" w:rsidRPr="00A90238" w:rsidRDefault="002735B6" w:rsidP="002735B6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Α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υ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γ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br/>
              <w:t>2022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528FF444" w14:textId="0A9846B1" w:rsidR="002735B6" w:rsidRPr="00A90238" w:rsidRDefault="002735B6" w:rsidP="002735B6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 xml:space="preserve"> 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-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 xml:space="preserve"> 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Α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υ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γ 2023                   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779ABD86" w14:textId="187E763D" w:rsidR="002735B6" w:rsidRPr="00A90238" w:rsidRDefault="002735B6" w:rsidP="002735B6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 - Α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υ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γ 2022                 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0665C24E" w14:textId="54F0A2A8" w:rsidR="002735B6" w:rsidRPr="00A90238" w:rsidRDefault="002735B6" w:rsidP="002735B6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Α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υ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γ 2023 / 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br/>
              <w:t>Α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υ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γ 2022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76FD50B5" w14:textId="0B8AA975" w:rsidR="002735B6" w:rsidRDefault="002735B6" w:rsidP="002735B6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 xml:space="preserve"> 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-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 xml:space="preserve"> 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Α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υ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γ 2023 / </w:t>
            </w:r>
          </w:p>
          <w:p w14:paraId="78C4A49B" w14:textId="412BD9D4" w:rsidR="002735B6" w:rsidRPr="00A90238" w:rsidRDefault="002735B6" w:rsidP="002735B6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 - Α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υ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γ 2022</w:t>
            </w:r>
          </w:p>
        </w:tc>
      </w:tr>
      <w:tr w:rsidR="002735B6" w:rsidRPr="00A90238" w14:paraId="3113C7AC" w14:textId="77777777" w:rsidTr="00936193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48575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Βενζίνη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Αμόλυ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βδη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2F70B152" w14:textId="6CF54670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28.981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14F6C23" w14:textId="379A2C8D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27.610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EF429EC" w14:textId="4DAB2F95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214.477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7F906D8" w14:textId="1EAB114B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201.507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7886A94" w14:textId="10FEA0DF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5,0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76D8F00" w14:textId="08826606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6,4</w:t>
            </w:r>
          </w:p>
        </w:tc>
      </w:tr>
      <w:tr w:rsidR="002735B6" w:rsidRPr="00A90238" w14:paraId="2F090F97" w14:textId="77777777" w:rsidTr="00936193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FCEB3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Βενζίνη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Αερο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πλάνων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4B09923A" w14:textId="0248C086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93B95CF" w14:textId="169E0048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DEEFEC5" w14:textId="5B659230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4B07381" w14:textId="1C67E9FB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bottom"/>
            <w:hideMark/>
          </w:tcPr>
          <w:p w14:paraId="204BEE96" w14:textId="501BE3BD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C0CB85A" w14:textId="6F69B38C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77,8</w:t>
            </w:r>
          </w:p>
        </w:tc>
      </w:tr>
      <w:tr w:rsidR="002735B6" w:rsidRPr="00A90238" w14:paraId="271D4FFA" w14:textId="77777777" w:rsidTr="00936193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7E4DB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Αερο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πλάνων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0903669A" w14:textId="11B132DB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34.931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283C888" w14:textId="41C70DC7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31.040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4B0F826" w14:textId="1975D820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194.728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42CB57A" w14:textId="302D47A5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167.914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23AE3EA" w14:textId="4181BF88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12,5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8462C46" w14:textId="1FEEFB80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16,0</w:t>
            </w:r>
          </w:p>
        </w:tc>
      </w:tr>
      <w:tr w:rsidR="002735B6" w:rsidRPr="00A90238" w14:paraId="67903B1B" w14:textId="77777777" w:rsidTr="00936193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1EC6F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Κηροζίνη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3B282428" w14:textId="78EB2F4F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DFFF777" w14:textId="42A81EE1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FC5370B" w14:textId="3B65B2AE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6.468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BDD7E48" w14:textId="4202FDA8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9.784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B426F77" w14:textId="69BC0768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22,2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EBB03DD" w14:textId="3C662FEF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-33,9</w:t>
            </w:r>
          </w:p>
        </w:tc>
      </w:tr>
      <w:tr w:rsidR="002735B6" w:rsidRPr="00A90238" w14:paraId="31A99B2F" w14:textId="77777777" w:rsidTr="00936193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86489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Κίνησης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45759A8F" w14:textId="21998478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27.850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BB74208" w14:textId="38F1E6C7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26.616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06CFDD4" w14:textId="35ECFAFD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227.894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0528E74" w14:textId="57EC6FE3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215.106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A2FA2D9" w14:textId="5713D5BB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4,6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0874D35" w14:textId="7B3DD794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5,9</w:t>
            </w:r>
          </w:p>
        </w:tc>
      </w:tr>
      <w:tr w:rsidR="002735B6" w:rsidRPr="00A90238" w14:paraId="057C19DA" w14:textId="77777777" w:rsidTr="00936193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32500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Γεωργικό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αιο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3D9F636A" w14:textId="00864B29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1.790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6B5C15C" w14:textId="3FD394B2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1.601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5C7B6D2" w14:textId="12E2D2A0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12.922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9BD6C4E" w14:textId="6262084D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15.339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2F0DA41" w14:textId="2D2947BB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11,8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CF1DB70" w14:textId="6E5968FC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-15,8</w:t>
            </w:r>
          </w:p>
        </w:tc>
      </w:tr>
      <w:tr w:rsidR="002735B6" w:rsidRPr="00A90238" w14:paraId="2AEAF681" w14:textId="77777777" w:rsidTr="00936193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88296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Θέρμ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ανσης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4CB6656B" w14:textId="3FDE00A8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3.522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C5DAB2B" w14:textId="294A1E03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3.435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07C3650" w14:textId="6A8B49D3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54.920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83C5C8D" w14:textId="0B01B24A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63.430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EB75D9E" w14:textId="2D4BC12A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2,5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B8F7E3E" w14:textId="43CB5E27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-13,4</w:t>
            </w:r>
          </w:p>
        </w:tc>
      </w:tr>
      <w:tr w:rsidR="002735B6" w:rsidRPr="00A90238" w14:paraId="56E6BAE6" w14:textId="77777777" w:rsidTr="00936193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F6E82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αιο Να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υτιλί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6C3F3B2E" w14:textId="38EC0FAD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6.637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0CE3844" w14:textId="5FA20DEC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8.722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251598E" w14:textId="145A9E66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54.990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5E54FB0" w14:textId="62992962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89.702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92EE821" w14:textId="20F49FF7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-23,9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78C27FB" w14:textId="783ACF7E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-38,7</w:t>
            </w:r>
          </w:p>
        </w:tc>
      </w:tr>
      <w:tr w:rsidR="002735B6" w:rsidRPr="00A90238" w14:paraId="3037F1E4" w14:textId="77777777" w:rsidTr="00936193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CE6FD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Ελ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αφρύ Μα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ζούτ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5A566528" w14:textId="702A2F39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14.620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F738314" w14:textId="6B147F1C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17.188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D785E0C" w14:textId="6EF82B37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107.334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DBCCCA6" w14:textId="041CE27B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116.393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F03D16C" w14:textId="407CDC7D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-14,9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0860344" w14:textId="19C929EF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-7,8</w:t>
            </w:r>
          </w:p>
        </w:tc>
      </w:tr>
      <w:tr w:rsidR="002735B6" w:rsidRPr="00A90238" w14:paraId="4EB7D97E" w14:textId="77777777" w:rsidTr="00936193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7756B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Βα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ρύ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Μα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ζούτ</w:t>
            </w:r>
            <w:proofErr w:type="spellEnd"/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69707B0C" w14:textId="0A5B0B91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713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B2D769E" w14:textId="23438328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36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A2C5D85" w14:textId="7FD69709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9.035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30C9427" w14:textId="07578E23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6.554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49C7808" w14:textId="755E62DB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1.880,6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1B598E9" w14:textId="3A6C939F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37,9</w:t>
            </w:r>
          </w:p>
        </w:tc>
      </w:tr>
      <w:tr w:rsidR="002735B6" w:rsidRPr="00A90238" w14:paraId="55AB7D11" w14:textId="77777777" w:rsidTr="00936193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F8F1C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Λι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παντικά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Λάδι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1BC22B4C" w14:textId="1BC06294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242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303BB7C" w14:textId="18B65B59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220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13C325A" w14:textId="3FB7FED6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1.929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D648A47" w14:textId="036A48CA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1.774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5199FA2" w14:textId="39A4590A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10,0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30DDB86" w14:textId="10A8D9DB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8,7</w:t>
            </w:r>
          </w:p>
        </w:tc>
      </w:tr>
      <w:tr w:rsidR="002735B6" w:rsidRPr="00A90238" w14:paraId="2CDC98AB" w14:textId="77777777" w:rsidTr="00936193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9E9C4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Άσφ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αλτος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5EB9CFF4" w14:textId="5F7064B3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1.965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96BB5FC" w14:textId="63B0399C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2.167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4313F11" w14:textId="3F263CF3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22.588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04D43B3" w14:textId="60DB8F7F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17.541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F2AD94F" w14:textId="0BC956F4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-9,3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19DF76C8" w14:textId="5E98686D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28,8</w:t>
            </w:r>
          </w:p>
        </w:tc>
      </w:tr>
      <w:tr w:rsidR="002735B6" w:rsidRPr="00A90238" w14:paraId="56CEC8CA" w14:textId="77777777" w:rsidTr="00936193">
        <w:trPr>
          <w:trHeight w:val="421"/>
          <w:jc w:val="center"/>
        </w:trPr>
        <w:tc>
          <w:tcPr>
            <w:tcW w:w="2325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25D9B2F0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Υγρ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αέριο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84" w:type="dxa"/>
            </w:tcMar>
            <w:vAlign w:val="center"/>
            <w:hideMark/>
          </w:tcPr>
          <w:p w14:paraId="2BB25A5C" w14:textId="2FC0EBB8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3.524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74414599" w14:textId="36607214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3.398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717F80B" w14:textId="3E596F91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37.346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3D938268" w14:textId="64498AD5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40.749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EFEA366" w14:textId="1F0AD773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3,7</w:t>
            </w:r>
          </w:p>
        </w:tc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9CF752A" w14:textId="2FE7AEB3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color w:val="2F5496"/>
                <w:sz w:val="18"/>
                <w:szCs w:val="18"/>
                <w:lang w:val="en-CY" w:eastAsia="en-CY" w:bidi="he-IL"/>
              </w:rPr>
              <w:t>-8,4</w:t>
            </w:r>
          </w:p>
        </w:tc>
      </w:tr>
      <w:tr w:rsidR="002735B6" w:rsidRPr="00A90238" w14:paraId="37DAEE8B" w14:textId="77777777" w:rsidTr="00936193">
        <w:trPr>
          <w:trHeight w:val="628"/>
          <w:jc w:val="center"/>
        </w:trPr>
        <w:tc>
          <w:tcPr>
            <w:tcW w:w="2325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55F9C2E0" w14:textId="77777777" w:rsidR="002735B6" w:rsidRPr="00A90238" w:rsidRDefault="002735B6" w:rsidP="002735B6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Σύνολο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  </w:t>
            </w:r>
          </w:p>
        </w:tc>
        <w:tc>
          <w:tcPr>
            <w:tcW w:w="1264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69B5EEE1" w14:textId="55973AAA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124.832</w:t>
            </w:r>
          </w:p>
        </w:tc>
        <w:tc>
          <w:tcPr>
            <w:tcW w:w="1265" w:type="dxa"/>
            <w:gridSpan w:val="2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39A0FF9" w14:textId="4B4909B7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122.078</w:t>
            </w:r>
          </w:p>
        </w:tc>
        <w:tc>
          <w:tcPr>
            <w:tcW w:w="1264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48637BF4" w14:textId="31F91C04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944.647</w:t>
            </w:r>
          </w:p>
        </w:tc>
        <w:tc>
          <w:tcPr>
            <w:tcW w:w="1266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2B9717D5" w14:textId="742841C4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945.802</w:t>
            </w:r>
          </w:p>
        </w:tc>
        <w:tc>
          <w:tcPr>
            <w:tcW w:w="1320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5E7A1833" w14:textId="2CAC051E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2,3</w:t>
            </w:r>
          </w:p>
        </w:tc>
        <w:tc>
          <w:tcPr>
            <w:tcW w:w="1321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84" w:type="dxa"/>
            </w:tcMar>
            <w:vAlign w:val="center"/>
            <w:hideMark/>
          </w:tcPr>
          <w:p w14:paraId="0CFF43DB" w14:textId="500237F2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-0,1</w:t>
            </w:r>
          </w:p>
        </w:tc>
      </w:tr>
    </w:tbl>
    <w:p w14:paraId="2A88B40A" w14:textId="77777777" w:rsidR="00B26445" w:rsidRDefault="00B26445" w:rsidP="00FB55A5">
      <w:pPr>
        <w:tabs>
          <w:tab w:val="left" w:pos="1080"/>
          <w:tab w:val="left" w:pos="6840"/>
        </w:tabs>
        <w:rPr>
          <w:rFonts w:ascii="Verdana" w:hAnsi="Verdana"/>
          <w:sz w:val="18"/>
          <w:szCs w:val="18"/>
        </w:rPr>
      </w:pPr>
    </w:p>
    <w:p w14:paraId="0B5722C4" w14:textId="77777777" w:rsidR="002735B6" w:rsidRDefault="002735B6" w:rsidP="00FB55A5">
      <w:pPr>
        <w:tabs>
          <w:tab w:val="left" w:pos="1080"/>
          <w:tab w:val="left" w:pos="6840"/>
        </w:tabs>
        <w:rPr>
          <w:rFonts w:ascii="Verdana" w:hAnsi="Verdana"/>
          <w:sz w:val="18"/>
          <w:szCs w:val="18"/>
        </w:rPr>
      </w:pPr>
    </w:p>
    <w:tbl>
      <w:tblPr>
        <w:tblW w:w="10105" w:type="dxa"/>
        <w:jc w:val="center"/>
        <w:tblCellMar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1174"/>
        <w:gridCol w:w="1289"/>
        <w:gridCol w:w="1289"/>
        <w:gridCol w:w="1291"/>
        <w:gridCol w:w="1346"/>
        <w:gridCol w:w="1346"/>
      </w:tblGrid>
      <w:tr w:rsidR="002735B6" w:rsidRPr="00A90238" w14:paraId="751AEA5F" w14:textId="77777777" w:rsidTr="00936193">
        <w:trPr>
          <w:trHeight w:val="450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2A0C3" w14:textId="326131E5" w:rsidR="002735B6" w:rsidRPr="00A90238" w:rsidRDefault="002735B6" w:rsidP="00936193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Πίν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ακας 2                     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536E3A05" w14:textId="77777777" w:rsidR="002735B6" w:rsidRPr="00A90238" w:rsidRDefault="002735B6" w:rsidP="00936193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46B4C235" w14:textId="77777777" w:rsidR="002735B6" w:rsidRPr="00A90238" w:rsidRDefault="002735B6" w:rsidP="00936193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F8B56C7" w14:textId="77777777" w:rsidR="002735B6" w:rsidRPr="00A90238" w:rsidRDefault="002735B6" w:rsidP="00936193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3F8CDCDF" w14:textId="77777777" w:rsidR="002735B6" w:rsidRPr="00A90238" w:rsidRDefault="002735B6" w:rsidP="00936193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1A0222EB" w14:textId="77777777" w:rsidR="002735B6" w:rsidRPr="00A90238" w:rsidRDefault="002735B6" w:rsidP="00936193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5F0244EC" w14:textId="77777777" w:rsidR="002735B6" w:rsidRPr="00A90238" w:rsidRDefault="002735B6" w:rsidP="00936193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</w:p>
        </w:tc>
      </w:tr>
      <w:tr w:rsidR="002735B6" w:rsidRPr="00A90238" w14:paraId="06762497" w14:textId="77777777" w:rsidTr="00936193">
        <w:trPr>
          <w:trHeight w:val="585"/>
          <w:jc w:val="center"/>
        </w:trPr>
        <w:tc>
          <w:tcPr>
            <w:tcW w:w="2370" w:type="dxa"/>
            <w:vMerge w:val="restart"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249E3A25" w14:textId="77777777" w:rsidR="002735B6" w:rsidRPr="00A90238" w:rsidRDefault="002735B6" w:rsidP="00936193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Προϊόντ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5043" w:type="dxa"/>
            <w:gridSpan w:val="4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65296C30" w14:textId="77777777" w:rsidR="002735B6" w:rsidRPr="00A90238" w:rsidRDefault="002735B6" w:rsidP="00936193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Πωλήσεις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από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Πρ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ατήρια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Πετρελ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αιοειδών (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τόνοι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)</w:t>
            </w:r>
          </w:p>
        </w:tc>
        <w:tc>
          <w:tcPr>
            <w:tcW w:w="2692" w:type="dxa"/>
            <w:gridSpan w:val="2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012869F9" w14:textId="77777777" w:rsidR="002735B6" w:rsidRPr="00A90238" w:rsidRDefault="002735B6" w:rsidP="00936193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Ποσοστι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αία </w:t>
            </w: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Μετ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αβολή (%)</w:t>
            </w:r>
          </w:p>
        </w:tc>
      </w:tr>
      <w:tr w:rsidR="002735B6" w:rsidRPr="00A90238" w14:paraId="519A36C3" w14:textId="77777777" w:rsidTr="00936193">
        <w:trPr>
          <w:trHeight w:val="1035"/>
          <w:jc w:val="center"/>
        </w:trPr>
        <w:tc>
          <w:tcPr>
            <w:tcW w:w="2370" w:type="dxa"/>
            <w:vMerge/>
            <w:tcBorders>
              <w:top w:val="single" w:sz="8" w:space="0" w:color="1F497D"/>
              <w:left w:val="nil"/>
              <w:bottom w:val="single" w:sz="8" w:space="0" w:color="1F497D"/>
              <w:right w:val="nil"/>
            </w:tcBorders>
            <w:vAlign w:val="center"/>
            <w:hideMark/>
          </w:tcPr>
          <w:p w14:paraId="7D6671FF" w14:textId="77777777" w:rsidR="002735B6" w:rsidRPr="00A90238" w:rsidRDefault="002735B6" w:rsidP="002735B6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5E30315D" w14:textId="5AA36D53" w:rsidR="002735B6" w:rsidRPr="00A90238" w:rsidRDefault="002735B6" w:rsidP="002735B6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Α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υ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γ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br/>
              <w:t>2023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79E2A2C2" w14:textId="59DF51FC" w:rsidR="002735B6" w:rsidRPr="00A90238" w:rsidRDefault="002735B6" w:rsidP="002735B6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Α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υ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γ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br/>
              <w:t>2022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068AF4DA" w14:textId="620F3A2C" w:rsidR="002735B6" w:rsidRPr="00A90238" w:rsidRDefault="002735B6" w:rsidP="002735B6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 xml:space="preserve"> 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-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 xml:space="preserve"> 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Α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υ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γ 2023                    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1BDFF2CA" w14:textId="5907C1F3" w:rsidR="002735B6" w:rsidRPr="00A90238" w:rsidRDefault="002735B6" w:rsidP="002735B6">
            <w:pPr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 - Α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υ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γ 2022                    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7971ED92" w14:textId="6B521130" w:rsidR="002735B6" w:rsidRPr="00A90238" w:rsidRDefault="002735B6" w:rsidP="002735B6">
            <w:pPr>
              <w:tabs>
                <w:tab w:val="left" w:pos="990"/>
              </w:tabs>
              <w:ind w:right="123"/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 Α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υ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γ 2023 / 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br/>
              <w:t>Α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υ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γ 2022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8" w:space="0" w:color="1F497D"/>
              <w:right w:val="nil"/>
            </w:tcBorders>
            <w:shd w:val="clear" w:color="auto" w:fill="auto"/>
            <w:vAlign w:val="center"/>
            <w:hideMark/>
          </w:tcPr>
          <w:p w14:paraId="79B7CB95" w14:textId="77777777" w:rsidR="002735B6" w:rsidRDefault="002735B6" w:rsidP="002735B6">
            <w:pPr>
              <w:jc w:val="center"/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 xml:space="preserve"> 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-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 xml:space="preserve"> 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Α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υ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 xml:space="preserve">γ 2023 / </w:t>
            </w:r>
          </w:p>
          <w:p w14:paraId="6C353E0C" w14:textId="1B09FBBB" w:rsidR="002735B6" w:rsidRPr="00A90238" w:rsidRDefault="002735B6" w:rsidP="002735B6">
            <w:pPr>
              <w:tabs>
                <w:tab w:val="left" w:pos="1050"/>
                <w:tab w:val="left" w:pos="1215"/>
              </w:tabs>
              <w:ind w:right="73"/>
              <w:jc w:val="center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Ιαν - Α</w:t>
            </w:r>
            <w:r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l-GR" w:eastAsia="en-CY" w:bidi="he-IL"/>
              </w:rPr>
              <w:t>υ</w:t>
            </w:r>
            <w:r w:rsidRPr="00576024">
              <w:rPr>
                <w:rFonts w:ascii="Verdana" w:eastAsia="Times New Roman" w:hAnsi="Verdana" w:cs="Arial"/>
                <w:b/>
                <w:bCs/>
                <w:color w:val="2F5496"/>
                <w:sz w:val="18"/>
                <w:szCs w:val="18"/>
                <w:lang w:val="en-CY" w:eastAsia="en-CY" w:bidi="he-IL"/>
              </w:rPr>
              <w:t>γ 2022</w:t>
            </w:r>
          </w:p>
        </w:tc>
      </w:tr>
      <w:tr w:rsidR="002735B6" w:rsidRPr="00A90238" w14:paraId="51D4E13B" w14:textId="77777777" w:rsidTr="00936193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3BFF7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Βενζίνη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Αμόλυ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βδη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70583A7F" w14:textId="7847956C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28.700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3C91D31" w14:textId="3B2F09BB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27.231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55718870" w14:textId="73A7C67A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212.291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7F8C0DE5" w14:textId="7EA694FA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198.912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AFE08E5" w14:textId="51A54C4E" w:rsidR="002735B6" w:rsidRPr="00A90238" w:rsidRDefault="002735B6" w:rsidP="002735B6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5,4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EA81906" w14:textId="6DF70E2F" w:rsidR="002735B6" w:rsidRPr="00A90238" w:rsidRDefault="002735B6" w:rsidP="002735B6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6,7</w:t>
            </w:r>
          </w:p>
        </w:tc>
      </w:tr>
      <w:tr w:rsidR="002735B6" w:rsidRPr="00A90238" w14:paraId="2C251CFC" w14:textId="77777777" w:rsidTr="00936193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17D68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Κηροζίνη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75C4EAFA" w14:textId="15F5F923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1E775DC0" w14:textId="3918AD5C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64545C00" w14:textId="0784C2B7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4.924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135A5042" w14:textId="1370F038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7.667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AC5A8CE" w14:textId="49761967" w:rsidR="002735B6" w:rsidRPr="00A90238" w:rsidRDefault="002735B6" w:rsidP="002735B6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44,1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5BE99C7C" w14:textId="2CDA9638" w:rsidR="002735B6" w:rsidRPr="00A90238" w:rsidRDefault="002735B6" w:rsidP="002735B6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-35,8</w:t>
            </w:r>
          </w:p>
        </w:tc>
      </w:tr>
      <w:tr w:rsidR="002735B6" w:rsidRPr="00A90238" w14:paraId="00245788" w14:textId="77777777" w:rsidTr="00936193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5C484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Κίνησης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71E0D50A" w14:textId="185ACB68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22.852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5959DFB6" w14:textId="47D3AA2D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21.640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67E8255A" w14:textId="5ACDA597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180.178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4FEDDE89" w14:textId="74FE16DE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171.495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737F1CBC" w14:textId="329E104B" w:rsidR="002735B6" w:rsidRPr="00A90238" w:rsidRDefault="002735B6" w:rsidP="002735B6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5,6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6E7E58DF" w14:textId="61AFDC01" w:rsidR="002735B6" w:rsidRPr="00A90238" w:rsidRDefault="002735B6" w:rsidP="002735B6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5,1</w:t>
            </w:r>
          </w:p>
        </w:tc>
      </w:tr>
      <w:tr w:rsidR="002735B6" w:rsidRPr="00A90238" w14:paraId="535F4B63" w14:textId="77777777" w:rsidTr="00936193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E9AE8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Γεωργικό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αιο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35C966FD" w14:textId="0CF66E68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1.209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A80BC50" w14:textId="55B79AB7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1.184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7C50D67" w14:textId="370904A5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8.960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2D9FCEB5" w14:textId="6640CE9A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10.513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66C9C89F" w14:textId="21B3ACCB" w:rsidR="002735B6" w:rsidRPr="00A90238" w:rsidRDefault="002735B6" w:rsidP="002735B6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2,1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662277EA" w14:textId="541C40B3" w:rsidR="002735B6" w:rsidRPr="00A90238" w:rsidRDefault="002735B6" w:rsidP="002735B6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-14,8</w:t>
            </w:r>
          </w:p>
        </w:tc>
      </w:tr>
      <w:tr w:rsidR="002735B6" w:rsidRPr="00A90238" w14:paraId="3058AC5F" w14:textId="77777777" w:rsidTr="00936193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BE6B7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Πετρέλ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αιο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Θέρμ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ανσης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542EB479" w14:textId="04A72EA1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1.925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1ECE766D" w14:textId="5711C3E6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1.798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71A1FFB9" w14:textId="79F068B4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32.612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6EDC4B06" w14:textId="38348C78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39.023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143717E6" w14:textId="68C0AA2D" w:rsidR="002735B6" w:rsidRPr="00A90238" w:rsidRDefault="002735B6" w:rsidP="002735B6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7,1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209C89A1" w14:textId="30132C5F" w:rsidR="002735B6" w:rsidRPr="00A90238" w:rsidRDefault="002735B6" w:rsidP="002735B6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-16,4</w:t>
            </w:r>
          </w:p>
        </w:tc>
      </w:tr>
      <w:tr w:rsidR="002735B6" w:rsidRPr="00A90238" w14:paraId="5A477DCE" w14:textId="77777777" w:rsidTr="00936193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98BE8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Ελ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αφρύ Μα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ζούτ</w:t>
            </w:r>
            <w:proofErr w:type="spellEnd"/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38D9237D" w14:textId="349C2E69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34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7D3354F0" w14:textId="1FA806F9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29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54E75EC" w14:textId="4D672A1F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309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1E0EA698" w14:textId="4EF477DE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305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319D01D" w14:textId="16B93B3B" w:rsidR="002735B6" w:rsidRPr="00A90238" w:rsidRDefault="002735B6" w:rsidP="002735B6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17,2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051B989" w14:textId="432F3DCA" w:rsidR="002735B6" w:rsidRPr="00A90238" w:rsidRDefault="002735B6" w:rsidP="002735B6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1,3</w:t>
            </w:r>
          </w:p>
        </w:tc>
      </w:tr>
      <w:tr w:rsidR="002735B6" w:rsidRPr="00A90238" w14:paraId="2BD31B1C" w14:textId="77777777" w:rsidTr="00936193">
        <w:trPr>
          <w:trHeight w:val="402"/>
          <w:jc w:val="center"/>
        </w:trPr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23B28" w14:textId="77777777" w:rsidR="002735B6" w:rsidRPr="00A90238" w:rsidRDefault="002735B6" w:rsidP="002735B6">
            <w:pPr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Λι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παντικά </w:t>
            </w:r>
            <w:proofErr w:type="spellStart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Λάδι</w:t>
            </w:r>
            <w:proofErr w:type="spellEnd"/>
            <w:r w:rsidRPr="00A90238"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  <w:t>α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right w:w="227" w:type="dxa"/>
            </w:tcMar>
            <w:vAlign w:val="center"/>
            <w:hideMark/>
          </w:tcPr>
          <w:p w14:paraId="67941DEF" w14:textId="022373C6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110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84D40B4" w14:textId="6906E496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102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6B7FBEE" w14:textId="5F0A0C34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789</w:t>
            </w: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5B489853" w14:textId="02047D7C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710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0B089135" w14:textId="44A6A037" w:rsidR="002735B6" w:rsidRPr="00A90238" w:rsidRDefault="002735B6" w:rsidP="002735B6">
            <w:pPr>
              <w:ind w:right="123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7,8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62B744B1" w14:textId="5C6A000D" w:rsidR="002735B6" w:rsidRPr="00A90238" w:rsidRDefault="002735B6" w:rsidP="002735B6">
            <w:pPr>
              <w:ind w:right="186"/>
              <w:jc w:val="right"/>
              <w:rPr>
                <w:rFonts w:ascii="Verdana" w:eastAsia="Times New Roman" w:hAnsi="Verdana" w:cs="Arial"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color w:val="2F5496"/>
                <w:sz w:val="18"/>
                <w:szCs w:val="18"/>
              </w:rPr>
              <w:t>11,1</w:t>
            </w:r>
          </w:p>
        </w:tc>
      </w:tr>
      <w:tr w:rsidR="002735B6" w:rsidRPr="00A90238" w14:paraId="4D0C4A43" w14:textId="77777777" w:rsidTr="00936193">
        <w:trPr>
          <w:trHeight w:val="600"/>
          <w:jc w:val="center"/>
        </w:trPr>
        <w:tc>
          <w:tcPr>
            <w:tcW w:w="2370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vAlign w:val="center"/>
            <w:hideMark/>
          </w:tcPr>
          <w:p w14:paraId="5CC3CEB9" w14:textId="77777777" w:rsidR="002735B6" w:rsidRPr="00A90238" w:rsidRDefault="002735B6" w:rsidP="002735B6">
            <w:pPr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proofErr w:type="spellStart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>Σύνολο</w:t>
            </w:r>
            <w:proofErr w:type="spellEnd"/>
            <w:r w:rsidRPr="00A90238"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  <w:t xml:space="preserve">    </w:t>
            </w:r>
          </w:p>
        </w:tc>
        <w:tc>
          <w:tcPr>
            <w:tcW w:w="1174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5EDE68F8" w14:textId="77545052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54.879</w:t>
            </w:r>
          </w:p>
        </w:tc>
        <w:tc>
          <w:tcPr>
            <w:tcW w:w="1289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156DE32A" w14:textId="52FA0859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52.018</w:t>
            </w:r>
          </w:p>
        </w:tc>
        <w:tc>
          <w:tcPr>
            <w:tcW w:w="1289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3B07968" w14:textId="1030BC28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440.063</w:t>
            </w:r>
          </w:p>
        </w:tc>
        <w:tc>
          <w:tcPr>
            <w:tcW w:w="1291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142E58A2" w14:textId="2B61EF43" w:rsidR="002735B6" w:rsidRPr="00A90238" w:rsidRDefault="002735B6" w:rsidP="002735B6">
            <w:pPr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428.625</w:t>
            </w:r>
          </w:p>
        </w:tc>
        <w:tc>
          <w:tcPr>
            <w:tcW w:w="1346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510B0E20" w14:textId="06A5709C" w:rsidR="002735B6" w:rsidRPr="00A90238" w:rsidRDefault="002735B6" w:rsidP="002735B6">
            <w:pPr>
              <w:ind w:right="123"/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5,5</w:t>
            </w:r>
          </w:p>
        </w:tc>
        <w:tc>
          <w:tcPr>
            <w:tcW w:w="1346" w:type="dxa"/>
            <w:tcBorders>
              <w:top w:val="single" w:sz="8" w:space="0" w:color="2F5496"/>
              <w:left w:val="nil"/>
              <w:bottom w:val="single" w:sz="8" w:space="0" w:color="2F5496"/>
              <w:right w:val="nil"/>
            </w:tcBorders>
            <w:shd w:val="clear" w:color="auto" w:fill="auto"/>
            <w:tcMar>
              <w:right w:w="227" w:type="dxa"/>
            </w:tcMar>
            <w:vAlign w:val="center"/>
            <w:hideMark/>
          </w:tcPr>
          <w:p w14:paraId="3029C235" w14:textId="3FB4A0B7" w:rsidR="002735B6" w:rsidRPr="00A90238" w:rsidRDefault="002735B6" w:rsidP="002735B6">
            <w:pPr>
              <w:ind w:right="186"/>
              <w:jc w:val="right"/>
              <w:rPr>
                <w:rFonts w:ascii="Verdana" w:eastAsia="Times New Roman" w:hAnsi="Verdana" w:cs="Arial"/>
                <w:b/>
                <w:bCs/>
                <w:color w:val="2F5496" w:themeColor="accent1" w:themeShade="BF"/>
                <w:sz w:val="18"/>
                <w:szCs w:val="18"/>
                <w:lang w:val="en-CY" w:eastAsia="en-CY" w:bidi="he-IL"/>
              </w:rPr>
            </w:pPr>
            <w:r>
              <w:rPr>
                <w:rFonts w:ascii="Verdana" w:hAnsi="Verdana" w:cs="Arial"/>
                <w:b/>
                <w:bCs/>
                <w:color w:val="2F5496"/>
                <w:sz w:val="18"/>
                <w:szCs w:val="18"/>
              </w:rPr>
              <w:t>2,7</w:t>
            </w:r>
          </w:p>
        </w:tc>
      </w:tr>
    </w:tbl>
    <w:p w14:paraId="5356ED18" w14:textId="77777777" w:rsidR="002735B6" w:rsidRPr="002735B6" w:rsidRDefault="002735B6" w:rsidP="00FB55A5">
      <w:pPr>
        <w:tabs>
          <w:tab w:val="left" w:pos="1080"/>
          <w:tab w:val="left" w:pos="6840"/>
        </w:tabs>
        <w:rPr>
          <w:rFonts w:ascii="Verdana" w:hAnsi="Verdana"/>
          <w:sz w:val="18"/>
          <w:szCs w:val="18"/>
        </w:rPr>
      </w:pPr>
    </w:p>
    <w:p w14:paraId="797CE836" w14:textId="4FCC7DDC" w:rsidR="00FB55A5" w:rsidRPr="00576024" w:rsidRDefault="00FB55A5" w:rsidP="00A90238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</w:rPr>
      </w:pPr>
      <w:r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  <w:r w:rsidR="00576024" w:rsidRPr="00576024">
        <w:rPr>
          <w:rFonts w:ascii="Verdana" w:eastAsia="Malgun Gothic" w:hAnsi="Verdana" w:cs="Arial"/>
          <w:b/>
          <w:u w:val="single"/>
          <w:lang w:val="el-GR"/>
        </w:rPr>
        <w:t xml:space="preserve"> </w:t>
      </w:r>
      <w:r w:rsidR="00576024">
        <w:rPr>
          <w:rFonts w:ascii="Verdana" w:eastAsia="Malgun Gothic" w:hAnsi="Verdana" w:cs="Arial"/>
          <w:b/>
          <w:u w:val="single"/>
        </w:rPr>
        <w:t xml:space="preserve"> </w:t>
      </w:r>
    </w:p>
    <w:p w14:paraId="47E550AF" w14:textId="77777777" w:rsidR="00FB55A5" w:rsidRPr="001937BC" w:rsidRDefault="00FB55A5" w:rsidP="00FB55A5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3552729" w14:textId="63FA0C4D" w:rsidR="00FB55A5" w:rsidRPr="00405879" w:rsidRDefault="00FB55A5" w:rsidP="00FB55A5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34CC24B7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16A94BA3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H συλλογή στοιχείων για τις Εισαγωγές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Πωλήσεις και Αποθέματα Πετρελαιοειδών</w:t>
      </w:r>
      <w:r>
        <w:rPr>
          <w:rFonts w:ascii="Verdana" w:hAnsi="Verdana"/>
          <w:sz w:val="18"/>
          <w:szCs w:val="18"/>
          <w:lang w:val="el-GR"/>
        </w:rPr>
        <w:t xml:space="preserve"> </w:t>
      </w:r>
      <w:r w:rsidRPr="001937BC">
        <w:rPr>
          <w:rFonts w:ascii="Verdana" w:hAnsi="Verdana"/>
          <w:sz w:val="18"/>
          <w:szCs w:val="18"/>
          <w:lang w:val="el-GR"/>
        </w:rPr>
        <w:t>διεξάγεται σε μηνιαία βάση.</w:t>
      </w:r>
    </w:p>
    <w:p w14:paraId="77C766CE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</w:p>
    <w:p w14:paraId="37BFEEB0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lang w:val="el-GR"/>
        </w:rPr>
        <w:t>Αφορά τις πωλήσεις πετρελαιοει</w:t>
      </w:r>
      <w:r>
        <w:rPr>
          <w:rFonts w:ascii="Verdana" w:hAnsi="Verdana"/>
          <w:sz w:val="18"/>
          <w:szCs w:val="18"/>
          <w:lang w:val="el-GR"/>
        </w:rPr>
        <w:t>δών από πρατήρια πετρελαιοειδών και τις πωλήσεις</w:t>
      </w:r>
      <w:r w:rsidRPr="001937BC">
        <w:rPr>
          <w:rFonts w:ascii="Verdana" w:hAnsi="Verdana"/>
          <w:sz w:val="18"/>
          <w:szCs w:val="18"/>
          <w:lang w:val="el-GR"/>
        </w:rPr>
        <w:t xml:space="preserve"> σε κυβερνητικά τμήματα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στις Βρετανικές Βάσεις και</w:t>
      </w:r>
      <w:r>
        <w:rPr>
          <w:rFonts w:ascii="Verdana" w:hAnsi="Verdana"/>
          <w:sz w:val="18"/>
          <w:szCs w:val="18"/>
          <w:lang w:val="el-GR"/>
        </w:rPr>
        <w:t xml:space="preserve"> στα</w:t>
      </w:r>
      <w:r w:rsidRPr="001937BC">
        <w:rPr>
          <w:rFonts w:ascii="Verdana" w:hAnsi="Verdana"/>
          <w:sz w:val="18"/>
          <w:szCs w:val="18"/>
          <w:lang w:val="el-GR"/>
        </w:rPr>
        <w:t xml:space="preserve"> Ηνωμένα Έθνη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σε πλοία και σε άλλους πελάτες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καθώς και τα αποθέματα στο τέλος κάθε μήνα. </w:t>
      </w:r>
      <w:r>
        <w:rPr>
          <w:rFonts w:ascii="Verdana" w:hAnsi="Verdana"/>
          <w:sz w:val="18"/>
          <w:szCs w:val="18"/>
          <w:lang w:val="el-GR"/>
        </w:rPr>
        <w:t xml:space="preserve">Καλύπτονται μόνο οι εταιρείες πετρελαιοειδών. </w:t>
      </w:r>
      <w:r w:rsidRPr="001937BC">
        <w:rPr>
          <w:rFonts w:ascii="Verdana" w:hAnsi="Verdana"/>
          <w:sz w:val="18"/>
          <w:szCs w:val="18"/>
          <w:lang w:val="el-GR"/>
        </w:rPr>
        <w:t>Επιπρόσθετα</w:t>
      </w:r>
      <w:r>
        <w:rPr>
          <w:rFonts w:ascii="Verdana" w:hAnsi="Verdana"/>
          <w:sz w:val="18"/>
          <w:szCs w:val="18"/>
          <w:lang w:val="el-GR"/>
        </w:rPr>
        <w:t>,</w:t>
      </w:r>
      <w:r w:rsidRPr="001937BC">
        <w:rPr>
          <w:rFonts w:ascii="Verdana" w:hAnsi="Verdana"/>
          <w:sz w:val="18"/>
          <w:szCs w:val="18"/>
          <w:lang w:val="el-GR"/>
        </w:rPr>
        <w:t xml:space="preserve"> περιλαμβάνει και τις εισαγωγές πετρελαιοειδών απευθείας από την Αρχή Ηλεκτρισμού Κύπρου (ΑΗΚ) και τη μεταποιητική βιομηχανία.</w:t>
      </w:r>
    </w:p>
    <w:p w14:paraId="540C0531" w14:textId="77777777" w:rsidR="00FB55A5" w:rsidRPr="00FB55A5" w:rsidRDefault="00FB55A5" w:rsidP="00FB55A5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6C2FFB25" w14:textId="20B2972F" w:rsidR="00FB55A5" w:rsidRPr="001937BC" w:rsidRDefault="00FB55A5" w:rsidP="00FB55A5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852630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1937BC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07C2AC30" w14:textId="77777777" w:rsidR="00FB55A5" w:rsidRPr="004F7605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25456B9" w14:textId="77777777" w:rsidR="00FB55A5" w:rsidRPr="001937BC" w:rsidRDefault="00FB55A5" w:rsidP="00FB55A5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Η συλλογή των δεδομένων γίνεται σε μηνιαία βάση από τη Στατιστική Υπηρεσία, η οποία λαμβάνει ηλεκτρονικά το ειδικά διαμορφωμένο ερωτηματολόγιο από</w:t>
      </w:r>
      <w:r w:rsidRPr="00F859E5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κάθε μία από τις εν λόγω εταιρείες.</w:t>
      </w:r>
    </w:p>
    <w:p w14:paraId="088FD446" w14:textId="77777777" w:rsidR="00E42235" w:rsidRPr="00E42235" w:rsidRDefault="00E42235" w:rsidP="00E42235">
      <w:pPr>
        <w:rPr>
          <w:rFonts w:ascii="Verdana" w:hAnsi="Verdana"/>
          <w:b/>
          <w:bCs/>
          <w:color w:val="0000CC"/>
          <w:sz w:val="18"/>
          <w:szCs w:val="18"/>
          <w:lang w:val="el-GR" w:bidi="he-IL"/>
        </w:rPr>
      </w:pPr>
    </w:p>
    <w:p w14:paraId="10CF2579" w14:textId="77777777" w:rsidR="00FB55A5" w:rsidRPr="00FB55A5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75DD5497" w14:textId="4B60D81D" w:rsidR="00FB55A5" w:rsidRPr="001937BC" w:rsidRDefault="00FB55A5" w:rsidP="00FB55A5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b/>
          <w:i/>
          <w:sz w:val="18"/>
          <w:szCs w:val="18"/>
          <w:lang w:val="el-GR"/>
        </w:rPr>
      </w:pPr>
      <w:r w:rsidRPr="001937BC">
        <w:rPr>
          <w:rFonts w:ascii="Verdana" w:eastAsia="Malgun Gothic" w:hAnsi="Verdana" w:cs="Arial"/>
          <w:b/>
          <w:i/>
          <w:sz w:val="18"/>
          <w:szCs w:val="18"/>
          <w:lang w:val="el-GR"/>
        </w:rPr>
        <w:t>Για περισσότερες πληροφορίες:</w:t>
      </w:r>
      <w:r w:rsidR="00F93135">
        <w:rPr>
          <w:rFonts w:ascii="Verdana" w:eastAsia="Malgun Gothic" w:hAnsi="Verdana" w:cs="Arial"/>
          <w:b/>
          <w:i/>
          <w:sz w:val="18"/>
          <w:szCs w:val="18"/>
          <w:lang w:val="el-GR"/>
        </w:rPr>
        <w:t xml:space="preserve"> </w:t>
      </w:r>
    </w:p>
    <w:p w14:paraId="4703298E" w14:textId="77777777" w:rsidR="00C91550" w:rsidRPr="00C91550" w:rsidRDefault="00C91550" w:rsidP="00C91550">
      <w:pPr>
        <w:tabs>
          <w:tab w:val="left" w:pos="5400"/>
        </w:tabs>
        <w:rPr>
          <w:rFonts w:ascii="Verdana" w:hAnsi="Verdana"/>
          <w:sz w:val="18"/>
          <w:szCs w:val="18"/>
          <w:lang w:val="el-GR"/>
        </w:rPr>
      </w:pPr>
      <w:r w:rsidRPr="00C9155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9" w:history="1">
        <w:r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Ενέργεια</w:t>
        </w:r>
      </w:hyperlink>
    </w:p>
    <w:p w14:paraId="5F5DFA6F" w14:textId="77777777" w:rsidR="00C91550" w:rsidRPr="00C91550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0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CYSTAT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-</w:t>
        </w:r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</w:rPr>
          <w:t>DB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35D69F6" w14:textId="77777777" w:rsidR="00C91550" w:rsidRPr="00E42235" w:rsidRDefault="00000000" w:rsidP="00C91550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C91550" w:rsidRPr="00C91550">
          <w:rPr>
            <w:rFonts w:ascii="Verdana" w:hAnsi="Verdana"/>
            <w:color w:val="0000FF"/>
            <w:sz w:val="18"/>
            <w:szCs w:val="18"/>
            <w:u w:val="single"/>
            <w:lang w:val="el-GR"/>
          </w:rPr>
          <w:t>Προκαθορισμένοι Πίνακες</w:t>
        </w:r>
      </w:hyperlink>
      <w:r w:rsidR="00C91550" w:rsidRPr="00C91550">
        <w:rPr>
          <w:rFonts w:ascii="Verdana" w:hAnsi="Verdana"/>
          <w:sz w:val="18"/>
          <w:szCs w:val="18"/>
          <w:lang w:val="el-GR"/>
        </w:rPr>
        <w:t xml:space="preserve"> (</w:t>
      </w:r>
      <w:r w:rsidR="00C91550" w:rsidRPr="00C91550">
        <w:rPr>
          <w:rFonts w:ascii="Verdana" w:hAnsi="Verdana"/>
          <w:sz w:val="18"/>
          <w:szCs w:val="18"/>
        </w:rPr>
        <w:t>Excel</w:t>
      </w:r>
      <w:r w:rsidR="00C91550" w:rsidRPr="00C91550">
        <w:rPr>
          <w:rFonts w:ascii="Verdana" w:hAnsi="Verdana"/>
          <w:sz w:val="18"/>
          <w:szCs w:val="18"/>
          <w:lang w:val="el-GR"/>
        </w:rPr>
        <w:t>)</w:t>
      </w:r>
    </w:p>
    <w:p w14:paraId="21B6E2F4" w14:textId="77777777" w:rsidR="003D646B" w:rsidRDefault="00000000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hyperlink r:id="rId12" w:tooltip="Μεθοδολογικές Πληροφορίες" w:history="1">
        <w:r w:rsidR="003D646B">
          <w:rPr>
            <w:rStyle w:val="Hyperlink"/>
            <w:rFonts w:ascii="Verdana" w:eastAsia="Malgun Gothic" w:hAnsi="Verdana" w:cs="Arial"/>
            <w:sz w:val="18"/>
            <w:szCs w:val="18"/>
            <w:lang w:val="el-GR"/>
          </w:rPr>
          <w:t>Μεθοδολογικές Πληροφορίες</w:t>
        </w:r>
      </w:hyperlink>
    </w:p>
    <w:p w14:paraId="002D634A" w14:textId="77777777" w:rsidR="00B04256" w:rsidRDefault="00B04256" w:rsidP="003D646B">
      <w:pPr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846CDA5" w14:textId="77777777" w:rsidR="00FB55A5" w:rsidRPr="003F118C" w:rsidRDefault="00B04256" w:rsidP="00FB55A5">
      <w:pPr>
        <w:ind w:right="-79"/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3F118C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3F118C">
        <w:rPr>
          <w:rFonts w:ascii="Verdana" w:hAnsi="Verdana"/>
          <w:b/>
          <w:bCs/>
          <w:sz w:val="18"/>
          <w:szCs w:val="18"/>
        </w:rPr>
        <w:t>Excel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Δεκέμβριο 2022. Για τον Ιανουάριο 2023 και μετέπειτα, η ενημέρωση γίνεται μόνο στη Βάση Δεδομένων </w:t>
      </w:r>
      <w:r w:rsidRPr="003F118C">
        <w:rPr>
          <w:rFonts w:ascii="Verdana" w:hAnsi="Verdana"/>
          <w:b/>
          <w:bCs/>
          <w:sz w:val="18"/>
          <w:szCs w:val="18"/>
        </w:rPr>
        <w:t>CYSTAT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3F118C">
        <w:rPr>
          <w:rFonts w:ascii="Verdana" w:hAnsi="Verdana"/>
          <w:b/>
          <w:bCs/>
          <w:sz w:val="18"/>
          <w:szCs w:val="18"/>
        </w:rPr>
        <w:t>DB</w:t>
      </w:r>
      <w:r w:rsidRPr="003F118C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7F4C22E2" w14:textId="77777777" w:rsidR="00B04256" w:rsidRPr="00B04256" w:rsidRDefault="00B04256" w:rsidP="00FB55A5">
      <w:pPr>
        <w:ind w:right="-79"/>
        <w:jc w:val="both"/>
        <w:rPr>
          <w:rFonts w:ascii="Verdana" w:hAnsi="Verdana"/>
          <w:sz w:val="18"/>
          <w:szCs w:val="18"/>
          <w:lang w:val="el-GR"/>
        </w:rPr>
      </w:pPr>
    </w:p>
    <w:p w14:paraId="26E32E91" w14:textId="77777777" w:rsidR="00FB55A5" w:rsidRDefault="00FB55A5" w:rsidP="00FB55A5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1937BC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747E2AE4" w14:textId="77777777" w:rsidR="00DE5D35" w:rsidRDefault="00FB55A5" w:rsidP="00FB55A5">
      <w:pPr>
        <w:rPr>
          <w:rStyle w:val="Hyperlink"/>
          <w:rFonts w:ascii="Verdana" w:hAnsi="Verdana"/>
          <w:sz w:val="18"/>
          <w:szCs w:val="18"/>
          <w:lang w:val="el-GR"/>
        </w:rPr>
      </w:pP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Ναυσικά Αποστόλου: </w:t>
      </w:r>
      <w:proofErr w:type="spellStart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.: 22602199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1937BC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1937BC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1937BC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1937BC">
        <w:rPr>
          <w:rFonts w:ascii="Verdana" w:hAnsi="Verdana"/>
          <w:sz w:val="18"/>
          <w:szCs w:val="18"/>
          <w:shd w:val="clear" w:color="auto" w:fill="FFFFFF"/>
        </w:rPr>
        <w:t> </w:t>
      </w:r>
      <w:hyperlink r:id="rId13" w:history="1">
        <w:r w:rsidR="00F46406" w:rsidRPr="005D0E81">
          <w:rPr>
            <w:rStyle w:val="Hyperlink"/>
            <w:rFonts w:ascii="Verdana" w:hAnsi="Verdana"/>
            <w:sz w:val="18"/>
            <w:szCs w:val="18"/>
            <w:lang w:val="el-GR"/>
          </w:rPr>
          <w:t>napostolou@cystat.mof.gov.cy</w:t>
        </w:r>
      </w:hyperlink>
    </w:p>
    <w:p w14:paraId="3C03475F" w14:textId="5BAAAF8C" w:rsidR="00405879" w:rsidRPr="00B760F0" w:rsidRDefault="00405879" w:rsidP="00E25966">
      <w:pPr>
        <w:rPr>
          <w:sz w:val="20"/>
          <w:szCs w:val="20"/>
          <w:lang w:val="el-GR" w:eastAsia="en-CY"/>
        </w:rPr>
      </w:pPr>
    </w:p>
    <w:sectPr w:rsidR="00405879" w:rsidRPr="00B760F0" w:rsidSect="00D95CBE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811" w:right="1134" w:bottom="1021" w:left="1134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0859EC" w14:textId="77777777" w:rsidR="003561AD" w:rsidRDefault="003561AD" w:rsidP="00FB398F">
      <w:r>
        <w:separator/>
      </w:r>
    </w:p>
  </w:endnote>
  <w:endnote w:type="continuationSeparator" w:id="0">
    <w:p w14:paraId="5927FFAD" w14:textId="77777777" w:rsidR="003561AD" w:rsidRDefault="003561AD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2A8D1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4E7EC8">
      <w:rPr>
        <w:noProof/>
      </w:rPr>
      <w:t>3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4BE11" w14:textId="77777777" w:rsidR="004E4F42" w:rsidRPr="00A12E81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el-GR"/>
      </w:rPr>
    </w:pPr>
    <w:r w:rsidRPr="00A12E81">
      <w:rPr>
        <w:rFonts w:ascii="Arial" w:hAnsi="Arial" w:cs="Arial"/>
        <w:i/>
        <w:iCs/>
        <w:sz w:val="16"/>
        <w:szCs w:val="16"/>
        <w:lang w:val="el-GR"/>
      </w:rPr>
      <w:t>Διεύθυνση: Μιχα</w:t>
    </w:r>
    <w:r w:rsidR="00FD5B5F" w:rsidRPr="00A12E81">
      <w:rPr>
        <w:rFonts w:ascii="Arial" w:hAnsi="Arial" w:cs="Arial"/>
        <w:i/>
        <w:iCs/>
        <w:sz w:val="16"/>
        <w:szCs w:val="16"/>
        <w:lang w:val="el-GR"/>
      </w:rPr>
      <w:t>ήλ</w:t>
    </w:r>
    <w:r w:rsidRPr="00A12E81">
      <w:rPr>
        <w:rFonts w:ascii="Arial" w:hAnsi="Arial" w:cs="Arial"/>
        <w:i/>
        <w:iCs/>
        <w:sz w:val="16"/>
        <w:szCs w:val="16"/>
        <w:lang w:val="el-GR"/>
      </w:rPr>
      <w:t xml:space="preserve"> </w:t>
    </w: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Καραολή</w:t>
    </w:r>
    <w:proofErr w:type="spellEnd"/>
    <w:r w:rsidRPr="00A12E81">
      <w:rPr>
        <w:rFonts w:ascii="Arial" w:hAnsi="Arial" w:cs="Arial"/>
        <w:i/>
        <w:iCs/>
        <w:sz w:val="16"/>
        <w:szCs w:val="16"/>
        <w:lang w:val="el-GR"/>
      </w:rPr>
      <w:t>, 1444 Λευκωσία, Κύπρος</w:t>
    </w:r>
  </w:p>
  <w:p w14:paraId="422C6C2A" w14:textId="77777777" w:rsidR="004E4F42" w:rsidRPr="00A12E81" w:rsidRDefault="00D67EF5" w:rsidP="000932CF">
    <w:pPr>
      <w:pStyle w:val="Footer"/>
      <w:tabs>
        <w:tab w:val="left" w:pos="4500"/>
      </w:tabs>
      <w:jc w:val="center"/>
      <w:rPr>
        <w:rFonts w:ascii="Arial" w:hAnsi="Arial" w:cs="Arial"/>
        <w:i/>
        <w:iCs/>
        <w:sz w:val="16"/>
        <w:szCs w:val="16"/>
        <w:lang w:val="de-DE"/>
      </w:rPr>
    </w:pPr>
    <w:proofErr w:type="spellStart"/>
    <w:r w:rsidRPr="00A12E81">
      <w:rPr>
        <w:rFonts w:ascii="Arial" w:hAnsi="Arial" w:cs="Arial"/>
        <w:i/>
        <w:iCs/>
        <w:sz w:val="16"/>
        <w:szCs w:val="16"/>
        <w:lang w:val="el-GR"/>
      </w:rPr>
      <w:t>Τηλ</w:t>
    </w:r>
    <w:proofErr w:type="spellEnd"/>
    <w:r w:rsidRPr="00B816C5">
      <w:rPr>
        <w:rFonts w:ascii="Arial" w:hAnsi="Arial" w:cs="Arial"/>
        <w:i/>
        <w:iCs/>
        <w:sz w:val="16"/>
        <w:szCs w:val="16"/>
        <w:lang w:val="el-GR"/>
      </w:rPr>
      <w:t xml:space="preserve">.:  22 602129, </w:t>
    </w:r>
    <w:r w:rsidR="004E4F42" w:rsidRPr="00A12E81">
      <w:rPr>
        <w:rFonts w:ascii="Arial" w:hAnsi="Arial" w:cs="Arial"/>
        <w:i/>
        <w:iCs/>
        <w:sz w:val="16"/>
        <w:szCs w:val="16"/>
        <w:lang w:val="el-GR"/>
      </w:rPr>
      <w:t>Φαξ</w:t>
    </w:r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:  22 661313, E-mail: </w:t>
    </w:r>
    <w:r w:rsidR="00000000">
      <w:fldChar w:fldCharType="begin"/>
    </w:r>
    <w:r w:rsidR="00000000">
      <w:instrText>HYPERLINK</w:instrText>
    </w:r>
    <w:r w:rsidR="00000000" w:rsidRPr="009D2E0E">
      <w:rPr>
        <w:lang w:val="el-GR"/>
      </w:rPr>
      <w:instrText xml:space="preserve"> "</w:instrText>
    </w:r>
    <w:r w:rsidR="00000000">
      <w:instrText>mailto</w:instrText>
    </w:r>
    <w:r w:rsidR="00000000" w:rsidRPr="009D2E0E">
      <w:rPr>
        <w:lang w:val="el-GR"/>
      </w:rPr>
      <w:instrText>:</w:instrText>
    </w:r>
    <w:r w:rsidR="00000000">
      <w:instrText>enquiries</w:instrText>
    </w:r>
    <w:r w:rsidR="00000000" w:rsidRPr="009D2E0E">
      <w:rPr>
        <w:lang w:val="el-GR"/>
      </w:rPr>
      <w:instrText>@</w:instrText>
    </w:r>
    <w:r w:rsidR="00000000">
      <w:instrText>cystat</w:instrText>
    </w:r>
    <w:r w:rsidR="00000000" w:rsidRPr="009D2E0E">
      <w:rPr>
        <w:lang w:val="el-GR"/>
      </w:rPr>
      <w:instrText>.</w:instrText>
    </w:r>
    <w:r w:rsidR="00000000">
      <w:instrText>mof</w:instrText>
    </w:r>
    <w:r w:rsidR="00000000" w:rsidRPr="009D2E0E">
      <w:rPr>
        <w:lang w:val="el-GR"/>
      </w:rPr>
      <w:instrText>.</w:instrText>
    </w:r>
    <w:r w:rsidR="00000000">
      <w:instrText>gov</w:instrText>
    </w:r>
    <w:r w:rsidR="00000000" w:rsidRPr="009D2E0E">
      <w:rPr>
        <w:lang w:val="el-GR"/>
      </w:rPr>
      <w:instrText>.</w:instrText>
    </w:r>
    <w:r w:rsidR="00000000">
      <w:instrText>cy</w:instrText>
    </w:r>
    <w:r w:rsidR="00000000" w:rsidRPr="009D2E0E">
      <w:rPr>
        <w:lang w:val="el-GR"/>
      </w:rPr>
      <w:instrText>"</w:instrText>
    </w:r>
    <w:r w:rsidR="00000000">
      <w:fldChar w:fldCharType="separate"/>
    </w:r>
    <w:r w:rsidR="004E4F42" w:rsidRPr="00A12E81">
      <w:rPr>
        <w:rStyle w:val="Hyperlink"/>
        <w:rFonts w:ascii="Arial" w:hAnsi="Arial" w:cs="Arial"/>
        <w:i/>
        <w:iCs/>
        <w:sz w:val="16"/>
        <w:szCs w:val="16"/>
        <w:lang w:val="de-DE"/>
      </w:rPr>
      <w:t>enquiries@cystat.mof.gov.cy</w:t>
    </w:r>
    <w:r w:rsidR="00000000">
      <w:rPr>
        <w:rStyle w:val="Hyperlink"/>
        <w:rFonts w:ascii="Arial" w:hAnsi="Arial" w:cs="Arial"/>
        <w:i/>
        <w:iCs/>
        <w:sz w:val="16"/>
        <w:szCs w:val="16"/>
        <w:lang w:val="de-DE"/>
      </w:rPr>
      <w:fldChar w:fldCharType="end"/>
    </w:r>
    <w:r w:rsidR="004E4F42" w:rsidRPr="00A12E81">
      <w:rPr>
        <w:rFonts w:ascii="Arial" w:hAnsi="Arial" w:cs="Arial"/>
        <w:i/>
        <w:iCs/>
        <w:sz w:val="16"/>
        <w:szCs w:val="16"/>
        <w:lang w:val="de-DE"/>
      </w:rPr>
      <w:t xml:space="preserve">  </w:t>
    </w:r>
  </w:p>
  <w:p w14:paraId="3D3E66DE" w14:textId="77777777" w:rsidR="004E4F42" w:rsidRPr="00A12E81" w:rsidRDefault="004E4F42" w:rsidP="000932CF">
    <w:pPr>
      <w:pStyle w:val="Footer"/>
      <w:tabs>
        <w:tab w:val="left" w:pos="4500"/>
      </w:tabs>
      <w:jc w:val="center"/>
      <w:rPr>
        <w:rFonts w:ascii="Verdana" w:hAnsi="Verdana" w:cs="Arial"/>
        <w:sz w:val="16"/>
        <w:szCs w:val="16"/>
      </w:rPr>
    </w:pPr>
    <w:r w:rsidRPr="00A12E81">
      <w:rPr>
        <w:rFonts w:ascii="Arial" w:hAnsi="Arial" w:cs="Arial"/>
        <w:i/>
        <w:iCs/>
        <w:sz w:val="16"/>
        <w:szCs w:val="16"/>
      </w:rPr>
      <w:t xml:space="preserve">Web site: </w:t>
    </w:r>
    <w:hyperlink r:id="rId1" w:history="1"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http://www.cystat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  <w:lang w:val="en-GB"/>
        </w:rPr>
        <w:t>.</w:t>
      </w:r>
      <w:r w:rsidRPr="00A12E81">
        <w:rPr>
          <w:rStyle w:val="Hyperlink"/>
          <w:rFonts w:ascii="Arial" w:hAnsi="Arial" w:cs="Arial"/>
          <w:i/>
          <w:iCs/>
          <w:sz w:val="16"/>
          <w:szCs w:val="16"/>
        </w:rPr>
        <w:t>gov.cy</w:t>
      </w:r>
    </w:hyperlink>
    <w:r w:rsidRPr="00A12E81">
      <w:rPr>
        <w:rFonts w:ascii="Verdana" w:hAnsi="Verdana" w:cs="Arial"/>
        <w:i/>
        <w:iC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FB4F5" w14:textId="77777777" w:rsidR="003561AD" w:rsidRDefault="003561AD" w:rsidP="00FB398F">
      <w:r>
        <w:separator/>
      </w:r>
    </w:p>
  </w:footnote>
  <w:footnote w:type="continuationSeparator" w:id="0">
    <w:p w14:paraId="3E1E5163" w14:textId="77777777" w:rsidR="003561AD" w:rsidRDefault="003561AD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A05B4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A437" w14:textId="77777777" w:rsidR="004E4F42" w:rsidRDefault="003F118C" w:rsidP="00D95CBE">
    <w:pPr>
      <w:pStyle w:val="Header"/>
      <w:tabs>
        <w:tab w:val="clear" w:pos="4153"/>
        <w:tab w:val="clear" w:pos="8306"/>
        <w:tab w:val="left" w:pos="4080"/>
      </w:tabs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CFC8B3" wp14:editId="3F536A85">
              <wp:simplePos x="0" y="0"/>
              <wp:positionH relativeFrom="column">
                <wp:posOffset>4454525</wp:posOffset>
              </wp:positionH>
              <wp:positionV relativeFrom="paragraph">
                <wp:posOffset>936625</wp:posOffset>
              </wp:positionV>
              <wp:extent cx="1828800" cy="438150"/>
              <wp:effectExtent l="0" t="0" r="0" b="0"/>
              <wp:wrapNone/>
              <wp:docPr id="3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EA8B23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05E8656E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CFC8B3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350.75pt;margin-top:73.75pt;width:2in;height:3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1RN8gEAAMo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" stroked="f">
              <v:textbox>
                <w:txbxContent>
                  <w:p w14:paraId="09EA8B23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05E8656E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E2A54F1" wp14:editId="39099F95">
              <wp:simplePos x="0" y="0"/>
              <wp:positionH relativeFrom="column">
                <wp:posOffset>4716780</wp:posOffset>
              </wp:positionH>
              <wp:positionV relativeFrom="paragraph">
                <wp:posOffset>26035</wp:posOffset>
              </wp:positionV>
              <wp:extent cx="1669415" cy="910590"/>
              <wp:effectExtent l="11430" t="6985" r="12700" b="12065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9415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46A883" w14:textId="77777777" w:rsidR="004E4F42" w:rsidRDefault="003F118C" w:rsidP="000932CF">
                          <w:r w:rsidRPr="00B96284">
                            <w:rPr>
                              <w:noProof/>
                            </w:rPr>
                            <w:drawing>
                              <wp:inline distT="0" distB="0" distL="0" distR="0" wp14:anchorId="0243B310" wp14:editId="7A390DC7">
                                <wp:extent cx="1476375" cy="809625"/>
                                <wp:effectExtent l="0" t="0" r="0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6375" cy="8096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A54F1" id="Text Box 14" o:spid="_x0000_s1027" type="#_x0000_t202" style="position:absolute;margin-left:371.4pt;margin-top:2.05pt;width:131.45pt;height:71.7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" strokecolor="white">
              <v:textbox style="mso-fit-shape-to-text:t">
                <w:txbxContent>
                  <w:p w14:paraId="5C46A883" w14:textId="77777777" w:rsidR="004E4F42" w:rsidRDefault="003F118C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0243B310" wp14:editId="7A390DC7">
                          <wp:extent cx="1476375" cy="809625"/>
                          <wp:effectExtent l="0" t="0" r="0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6375" cy="809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</w:rPr>
      <w:drawing>
        <wp:anchor distT="0" distB="0" distL="114300" distR="114300" simplePos="0" relativeHeight="251656704" behindDoc="0" locked="0" layoutInCell="1" allowOverlap="1" wp14:anchorId="413BDEB0" wp14:editId="30DACB53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                                                                                 </w:t>
    </w:r>
    <w:r w:rsidR="00C93716">
      <w:rPr>
        <w:rFonts w:ascii="Arial" w:hAnsi="Arial" w:cs="Arial"/>
        <w:bCs/>
        <w:sz w:val="18"/>
        <w:szCs w:val="18"/>
      </w:rPr>
      <w:t xml:space="preserve">     </w:t>
    </w:r>
    <w:r w:rsidR="00D95CBE">
      <w:rPr>
        <w:rFonts w:ascii="Arial" w:hAnsi="Arial" w:cs="Arial"/>
        <w:bCs/>
        <w:sz w:val="18"/>
        <w:szCs w:val="18"/>
        <w:lang w:val="en-US"/>
      </w:rPr>
      <w:t xml:space="preserve">          </w:t>
    </w:r>
    <w:r w:rsidRPr="00815F28">
      <w:rPr>
        <w:noProof/>
      </w:rPr>
      <w:drawing>
        <wp:inline distT="0" distB="0" distL="0" distR="0" wp14:anchorId="54B6EA45" wp14:editId="08463EF9">
          <wp:extent cx="1543050" cy="942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B60F5">
      <w:rPr>
        <w:rFonts w:ascii="Arial" w:hAnsi="Arial" w:cs="Arial"/>
        <w:bCs/>
        <w:sz w:val="18"/>
        <w:szCs w:val="18"/>
      </w:rPr>
      <w:tab/>
    </w:r>
  </w:p>
  <w:p w14:paraId="51EAC525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</w:p>
  <w:p w14:paraId="3699FD53" w14:textId="5ED333ED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4C982DAC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5886887">
    <w:abstractNumId w:val="5"/>
  </w:num>
  <w:num w:numId="2" w16cid:durableId="11346982">
    <w:abstractNumId w:val="2"/>
  </w:num>
  <w:num w:numId="3" w16cid:durableId="289941188">
    <w:abstractNumId w:val="3"/>
  </w:num>
  <w:num w:numId="4" w16cid:durableId="1658725001">
    <w:abstractNumId w:val="4"/>
  </w:num>
  <w:num w:numId="5" w16cid:durableId="272908784">
    <w:abstractNumId w:val="1"/>
  </w:num>
  <w:num w:numId="6" w16cid:durableId="1767575292">
    <w:abstractNumId w:val="6"/>
  </w:num>
  <w:num w:numId="7" w16cid:durableId="230581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98F"/>
    <w:rsid w:val="00002458"/>
    <w:rsid w:val="00002D1E"/>
    <w:rsid w:val="00004E08"/>
    <w:rsid w:val="0000542E"/>
    <w:rsid w:val="000059B2"/>
    <w:rsid w:val="00007B44"/>
    <w:rsid w:val="00012EC9"/>
    <w:rsid w:val="00013E40"/>
    <w:rsid w:val="000148F1"/>
    <w:rsid w:val="000161B1"/>
    <w:rsid w:val="00017E99"/>
    <w:rsid w:val="00022E82"/>
    <w:rsid w:val="00025A39"/>
    <w:rsid w:val="0002765A"/>
    <w:rsid w:val="00027853"/>
    <w:rsid w:val="00030E18"/>
    <w:rsid w:val="00031D32"/>
    <w:rsid w:val="0003371B"/>
    <w:rsid w:val="00034A14"/>
    <w:rsid w:val="0003603D"/>
    <w:rsid w:val="000365A4"/>
    <w:rsid w:val="00045088"/>
    <w:rsid w:val="00045390"/>
    <w:rsid w:val="00045A06"/>
    <w:rsid w:val="0004770A"/>
    <w:rsid w:val="00050391"/>
    <w:rsid w:val="00055291"/>
    <w:rsid w:val="00055BB9"/>
    <w:rsid w:val="000563D3"/>
    <w:rsid w:val="00057162"/>
    <w:rsid w:val="00057E44"/>
    <w:rsid w:val="00061299"/>
    <w:rsid w:val="00066FA8"/>
    <w:rsid w:val="000671E6"/>
    <w:rsid w:val="00070576"/>
    <w:rsid w:val="00072074"/>
    <w:rsid w:val="000752BB"/>
    <w:rsid w:val="00076C03"/>
    <w:rsid w:val="00081ADF"/>
    <w:rsid w:val="000839A4"/>
    <w:rsid w:val="00084A02"/>
    <w:rsid w:val="00084BF7"/>
    <w:rsid w:val="000869DB"/>
    <w:rsid w:val="000870E9"/>
    <w:rsid w:val="00092DD6"/>
    <w:rsid w:val="000932CF"/>
    <w:rsid w:val="000942E5"/>
    <w:rsid w:val="00096ED8"/>
    <w:rsid w:val="000A0203"/>
    <w:rsid w:val="000A1A88"/>
    <w:rsid w:val="000A2B5C"/>
    <w:rsid w:val="000A32B3"/>
    <w:rsid w:val="000A3601"/>
    <w:rsid w:val="000A6FA8"/>
    <w:rsid w:val="000B0A64"/>
    <w:rsid w:val="000B3367"/>
    <w:rsid w:val="000B40DB"/>
    <w:rsid w:val="000B4267"/>
    <w:rsid w:val="000B5492"/>
    <w:rsid w:val="000B579E"/>
    <w:rsid w:val="000C0A04"/>
    <w:rsid w:val="000C1070"/>
    <w:rsid w:val="000C122B"/>
    <w:rsid w:val="000C1B8D"/>
    <w:rsid w:val="000C2BF6"/>
    <w:rsid w:val="000C3B16"/>
    <w:rsid w:val="000C4E72"/>
    <w:rsid w:val="000D1E7A"/>
    <w:rsid w:val="000D3C4D"/>
    <w:rsid w:val="000E24B1"/>
    <w:rsid w:val="000E2735"/>
    <w:rsid w:val="000E32D6"/>
    <w:rsid w:val="000E42D7"/>
    <w:rsid w:val="000E45D3"/>
    <w:rsid w:val="000E4B59"/>
    <w:rsid w:val="000E57F2"/>
    <w:rsid w:val="000E5E60"/>
    <w:rsid w:val="000E72A7"/>
    <w:rsid w:val="000F06B1"/>
    <w:rsid w:val="000F1162"/>
    <w:rsid w:val="000F3467"/>
    <w:rsid w:val="000F38DE"/>
    <w:rsid w:val="000F3C74"/>
    <w:rsid w:val="000F532A"/>
    <w:rsid w:val="000F5886"/>
    <w:rsid w:val="000F5D6C"/>
    <w:rsid w:val="000F6616"/>
    <w:rsid w:val="000F7308"/>
    <w:rsid w:val="000F762B"/>
    <w:rsid w:val="00103E27"/>
    <w:rsid w:val="001046DA"/>
    <w:rsid w:val="00106852"/>
    <w:rsid w:val="00107DBB"/>
    <w:rsid w:val="00110F9D"/>
    <w:rsid w:val="00114A67"/>
    <w:rsid w:val="00114BC1"/>
    <w:rsid w:val="0011536F"/>
    <w:rsid w:val="001248A2"/>
    <w:rsid w:val="00124E88"/>
    <w:rsid w:val="001253B6"/>
    <w:rsid w:val="001257BC"/>
    <w:rsid w:val="001262C3"/>
    <w:rsid w:val="00127320"/>
    <w:rsid w:val="00127456"/>
    <w:rsid w:val="001312D8"/>
    <w:rsid w:val="0013137B"/>
    <w:rsid w:val="001353D3"/>
    <w:rsid w:val="00142848"/>
    <w:rsid w:val="00143ED6"/>
    <w:rsid w:val="0015118B"/>
    <w:rsid w:val="001519CE"/>
    <w:rsid w:val="001530A1"/>
    <w:rsid w:val="001540D4"/>
    <w:rsid w:val="00161CF3"/>
    <w:rsid w:val="00162C00"/>
    <w:rsid w:val="001639EF"/>
    <w:rsid w:val="00163D46"/>
    <w:rsid w:val="001648A2"/>
    <w:rsid w:val="0016589F"/>
    <w:rsid w:val="001702EA"/>
    <w:rsid w:val="0017769A"/>
    <w:rsid w:val="00181155"/>
    <w:rsid w:val="0018250A"/>
    <w:rsid w:val="00183DFC"/>
    <w:rsid w:val="00184384"/>
    <w:rsid w:val="0018527E"/>
    <w:rsid w:val="0018595E"/>
    <w:rsid w:val="00186717"/>
    <w:rsid w:val="00187789"/>
    <w:rsid w:val="00187FFC"/>
    <w:rsid w:val="00194386"/>
    <w:rsid w:val="001959E3"/>
    <w:rsid w:val="001A1480"/>
    <w:rsid w:val="001A2018"/>
    <w:rsid w:val="001A2191"/>
    <w:rsid w:val="001A4860"/>
    <w:rsid w:val="001A4C47"/>
    <w:rsid w:val="001B08E9"/>
    <w:rsid w:val="001B1BD4"/>
    <w:rsid w:val="001B2C39"/>
    <w:rsid w:val="001B3675"/>
    <w:rsid w:val="001B5E10"/>
    <w:rsid w:val="001B6AB3"/>
    <w:rsid w:val="001B73D5"/>
    <w:rsid w:val="001B7F49"/>
    <w:rsid w:val="001C0681"/>
    <w:rsid w:val="001C22B4"/>
    <w:rsid w:val="001C549B"/>
    <w:rsid w:val="001C62B3"/>
    <w:rsid w:val="001C6A58"/>
    <w:rsid w:val="001C6D54"/>
    <w:rsid w:val="001C7C8C"/>
    <w:rsid w:val="001D0D6A"/>
    <w:rsid w:val="001D20A4"/>
    <w:rsid w:val="001D53A1"/>
    <w:rsid w:val="001E00D1"/>
    <w:rsid w:val="001E0E58"/>
    <w:rsid w:val="001E14F3"/>
    <w:rsid w:val="001E15ED"/>
    <w:rsid w:val="001E3856"/>
    <w:rsid w:val="001E47CD"/>
    <w:rsid w:val="001E61AA"/>
    <w:rsid w:val="001E7658"/>
    <w:rsid w:val="001F5381"/>
    <w:rsid w:val="001F5498"/>
    <w:rsid w:val="001F7A6D"/>
    <w:rsid w:val="00201F28"/>
    <w:rsid w:val="0020309E"/>
    <w:rsid w:val="00206189"/>
    <w:rsid w:val="0021061B"/>
    <w:rsid w:val="00210B58"/>
    <w:rsid w:val="00210E84"/>
    <w:rsid w:val="00216B06"/>
    <w:rsid w:val="00222423"/>
    <w:rsid w:val="00225807"/>
    <w:rsid w:val="00225B28"/>
    <w:rsid w:val="0022606C"/>
    <w:rsid w:val="00226891"/>
    <w:rsid w:val="00230D9B"/>
    <w:rsid w:val="002313AC"/>
    <w:rsid w:val="0023347D"/>
    <w:rsid w:val="002356C2"/>
    <w:rsid w:val="00235FB2"/>
    <w:rsid w:val="00236ECE"/>
    <w:rsid w:val="00237BC1"/>
    <w:rsid w:val="00237FC7"/>
    <w:rsid w:val="002430B4"/>
    <w:rsid w:val="002447D0"/>
    <w:rsid w:val="002454C5"/>
    <w:rsid w:val="00245E19"/>
    <w:rsid w:val="00246AEB"/>
    <w:rsid w:val="00247871"/>
    <w:rsid w:val="00250005"/>
    <w:rsid w:val="0025254F"/>
    <w:rsid w:val="0025566D"/>
    <w:rsid w:val="0025595C"/>
    <w:rsid w:val="00256E2A"/>
    <w:rsid w:val="00257149"/>
    <w:rsid w:val="002576E7"/>
    <w:rsid w:val="00260357"/>
    <w:rsid w:val="00261FC4"/>
    <w:rsid w:val="002620B5"/>
    <w:rsid w:val="00264637"/>
    <w:rsid w:val="00264F04"/>
    <w:rsid w:val="00267554"/>
    <w:rsid w:val="002735B6"/>
    <w:rsid w:val="00273C8A"/>
    <w:rsid w:val="0027474C"/>
    <w:rsid w:val="00274E2B"/>
    <w:rsid w:val="002818A5"/>
    <w:rsid w:val="00281B73"/>
    <w:rsid w:val="00281D55"/>
    <w:rsid w:val="0028338F"/>
    <w:rsid w:val="0028381B"/>
    <w:rsid w:val="002915C4"/>
    <w:rsid w:val="0029215E"/>
    <w:rsid w:val="00292B36"/>
    <w:rsid w:val="00293BF0"/>
    <w:rsid w:val="00297E6B"/>
    <w:rsid w:val="002A1D1C"/>
    <w:rsid w:val="002A4D64"/>
    <w:rsid w:val="002A67D9"/>
    <w:rsid w:val="002B4969"/>
    <w:rsid w:val="002B6554"/>
    <w:rsid w:val="002B6788"/>
    <w:rsid w:val="002B7DAA"/>
    <w:rsid w:val="002C3834"/>
    <w:rsid w:val="002C6C73"/>
    <w:rsid w:val="002C7AF3"/>
    <w:rsid w:val="002D0045"/>
    <w:rsid w:val="002D05F0"/>
    <w:rsid w:val="002D2829"/>
    <w:rsid w:val="002D4064"/>
    <w:rsid w:val="002D7D4A"/>
    <w:rsid w:val="002E0EE8"/>
    <w:rsid w:val="002E28AD"/>
    <w:rsid w:val="002E383B"/>
    <w:rsid w:val="002E3846"/>
    <w:rsid w:val="002E3F78"/>
    <w:rsid w:val="002F400C"/>
    <w:rsid w:val="002F4D76"/>
    <w:rsid w:val="002F6D26"/>
    <w:rsid w:val="002F75BE"/>
    <w:rsid w:val="0030231E"/>
    <w:rsid w:val="003042C4"/>
    <w:rsid w:val="00304CB4"/>
    <w:rsid w:val="00306B28"/>
    <w:rsid w:val="00312264"/>
    <w:rsid w:val="00312C52"/>
    <w:rsid w:val="00313F37"/>
    <w:rsid w:val="003141D0"/>
    <w:rsid w:val="003168C1"/>
    <w:rsid w:val="00322FBE"/>
    <w:rsid w:val="00325570"/>
    <w:rsid w:val="00325632"/>
    <w:rsid w:val="003263AF"/>
    <w:rsid w:val="00327549"/>
    <w:rsid w:val="003341A3"/>
    <w:rsid w:val="003342A5"/>
    <w:rsid w:val="00334616"/>
    <w:rsid w:val="00336C36"/>
    <w:rsid w:val="00337486"/>
    <w:rsid w:val="003403B5"/>
    <w:rsid w:val="00343278"/>
    <w:rsid w:val="00343702"/>
    <w:rsid w:val="00343815"/>
    <w:rsid w:val="0035178C"/>
    <w:rsid w:val="003522BB"/>
    <w:rsid w:val="00352F6C"/>
    <w:rsid w:val="00354298"/>
    <w:rsid w:val="003556EA"/>
    <w:rsid w:val="003561AD"/>
    <w:rsid w:val="003640B7"/>
    <w:rsid w:val="00377170"/>
    <w:rsid w:val="0038153A"/>
    <w:rsid w:val="00383AC7"/>
    <w:rsid w:val="00386FC7"/>
    <w:rsid w:val="00390A32"/>
    <w:rsid w:val="003A0859"/>
    <w:rsid w:val="003A1142"/>
    <w:rsid w:val="003A1E91"/>
    <w:rsid w:val="003A241F"/>
    <w:rsid w:val="003A40F2"/>
    <w:rsid w:val="003A43E9"/>
    <w:rsid w:val="003A50D1"/>
    <w:rsid w:val="003A667A"/>
    <w:rsid w:val="003B0EF6"/>
    <w:rsid w:val="003B13F7"/>
    <w:rsid w:val="003B196D"/>
    <w:rsid w:val="003B2710"/>
    <w:rsid w:val="003B4608"/>
    <w:rsid w:val="003B5DC6"/>
    <w:rsid w:val="003B60F5"/>
    <w:rsid w:val="003B706F"/>
    <w:rsid w:val="003C2392"/>
    <w:rsid w:val="003C5174"/>
    <w:rsid w:val="003C5240"/>
    <w:rsid w:val="003C76E6"/>
    <w:rsid w:val="003D14E0"/>
    <w:rsid w:val="003D1EA5"/>
    <w:rsid w:val="003D3348"/>
    <w:rsid w:val="003D3471"/>
    <w:rsid w:val="003D646B"/>
    <w:rsid w:val="003D6822"/>
    <w:rsid w:val="003D724C"/>
    <w:rsid w:val="003E0CE2"/>
    <w:rsid w:val="003E2627"/>
    <w:rsid w:val="003E3E46"/>
    <w:rsid w:val="003E6FF5"/>
    <w:rsid w:val="003F118C"/>
    <w:rsid w:val="003F1C6D"/>
    <w:rsid w:val="003F2CBC"/>
    <w:rsid w:val="003F45FC"/>
    <w:rsid w:val="003F49E4"/>
    <w:rsid w:val="003F4D2F"/>
    <w:rsid w:val="003F5E32"/>
    <w:rsid w:val="003F69B6"/>
    <w:rsid w:val="003F75F6"/>
    <w:rsid w:val="003F7F2C"/>
    <w:rsid w:val="004037A2"/>
    <w:rsid w:val="00404670"/>
    <w:rsid w:val="00404939"/>
    <w:rsid w:val="00405879"/>
    <w:rsid w:val="00414CA0"/>
    <w:rsid w:val="004217D5"/>
    <w:rsid w:val="00422F54"/>
    <w:rsid w:val="00425B2C"/>
    <w:rsid w:val="00431516"/>
    <w:rsid w:val="004361B3"/>
    <w:rsid w:val="00436DD3"/>
    <w:rsid w:val="00440B9F"/>
    <w:rsid w:val="004423CD"/>
    <w:rsid w:val="0044249D"/>
    <w:rsid w:val="0044379F"/>
    <w:rsid w:val="004438DB"/>
    <w:rsid w:val="0044405C"/>
    <w:rsid w:val="00444FCC"/>
    <w:rsid w:val="00446FB1"/>
    <w:rsid w:val="0045145A"/>
    <w:rsid w:val="00452753"/>
    <w:rsid w:val="0045603D"/>
    <w:rsid w:val="0046078F"/>
    <w:rsid w:val="00463214"/>
    <w:rsid w:val="0046434D"/>
    <w:rsid w:val="00464F69"/>
    <w:rsid w:val="00464FEB"/>
    <w:rsid w:val="004656FA"/>
    <w:rsid w:val="00471D77"/>
    <w:rsid w:val="00475566"/>
    <w:rsid w:val="00475587"/>
    <w:rsid w:val="00480BC2"/>
    <w:rsid w:val="0049261A"/>
    <w:rsid w:val="004929C2"/>
    <w:rsid w:val="00493FDD"/>
    <w:rsid w:val="00495727"/>
    <w:rsid w:val="0049586B"/>
    <w:rsid w:val="00495D7C"/>
    <w:rsid w:val="00497B3F"/>
    <w:rsid w:val="004A2A58"/>
    <w:rsid w:val="004A3E44"/>
    <w:rsid w:val="004B1F39"/>
    <w:rsid w:val="004B2018"/>
    <w:rsid w:val="004B20DE"/>
    <w:rsid w:val="004B2896"/>
    <w:rsid w:val="004B31D7"/>
    <w:rsid w:val="004B378C"/>
    <w:rsid w:val="004B38E9"/>
    <w:rsid w:val="004B3FBA"/>
    <w:rsid w:val="004B6599"/>
    <w:rsid w:val="004C0966"/>
    <w:rsid w:val="004C2A4B"/>
    <w:rsid w:val="004C390D"/>
    <w:rsid w:val="004C394D"/>
    <w:rsid w:val="004C6340"/>
    <w:rsid w:val="004C6CA7"/>
    <w:rsid w:val="004D071F"/>
    <w:rsid w:val="004D2721"/>
    <w:rsid w:val="004D4357"/>
    <w:rsid w:val="004D4950"/>
    <w:rsid w:val="004E2393"/>
    <w:rsid w:val="004E25AC"/>
    <w:rsid w:val="004E2605"/>
    <w:rsid w:val="004E288E"/>
    <w:rsid w:val="004E3745"/>
    <w:rsid w:val="004E42BE"/>
    <w:rsid w:val="004E4F42"/>
    <w:rsid w:val="004E5CEE"/>
    <w:rsid w:val="004E63D5"/>
    <w:rsid w:val="004E65F9"/>
    <w:rsid w:val="004E7EC8"/>
    <w:rsid w:val="004F03FD"/>
    <w:rsid w:val="004F2C9D"/>
    <w:rsid w:val="004F2DB2"/>
    <w:rsid w:val="004F46C5"/>
    <w:rsid w:val="004F52F0"/>
    <w:rsid w:val="004F6250"/>
    <w:rsid w:val="004F6542"/>
    <w:rsid w:val="004F677C"/>
    <w:rsid w:val="004F6D8F"/>
    <w:rsid w:val="00505503"/>
    <w:rsid w:val="005064E5"/>
    <w:rsid w:val="00507F2E"/>
    <w:rsid w:val="0051107B"/>
    <w:rsid w:val="00512CE8"/>
    <w:rsid w:val="00512F9C"/>
    <w:rsid w:val="005132ED"/>
    <w:rsid w:val="00514E41"/>
    <w:rsid w:val="00521DFE"/>
    <w:rsid w:val="00523C5A"/>
    <w:rsid w:val="00527CDB"/>
    <w:rsid w:val="005335B9"/>
    <w:rsid w:val="005341C9"/>
    <w:rsid w:val="005369CA"/>
    <w:rsid w:val="00536D0B"/>
    <w:rsid w:val="00536DE9"/>
    <w:rsid w:val="00536F27"/>
    <w:rsid w:val="00540703"/>
    <w:rsid w:val="00541E08"/>
    <w:rsid w:val="00542B81"/>
    <w:rsid w:val="00545330"/>
    <w:rsid w:val="00545F21"/>
    <w:rsid w:val="00554FE0"/>
    <w:rsid w:val="00555107"/>
    <w:rsid w:val="00556AAC"/>
    <w:rsid w:val="005576DF"/>
    <w:rsid w:val="0055789A"/>
    <w:rsid w:val="00560952"/>
    <w:rsid w:val="005652D1"/>
    <w:rsid w:val="005660A0"/>
    <w:rsid w:val="00566A4F"/>
    <w:rsid w:val="00567D64"/>
    <w:rsid w:val="00576024"/>
    <w:rsid w:val="005765CB"/>
    <w:rsid w:val="00583042"/>
    <w:rsid w:val="00591B64"/>
    <w:rsid w:val="005978D4"/>
    <w:rsid w:val="00597A21"/>
    <w:rsid w:val="005A0D3D"/>
    <w:rsid w:val="005A1338"/>
    <w:rsid w:val="005A19B8"/>
    <w:rsid w:val="005A23FA"/>
    <w:rsid w:val="005B2A67"/>
    <w:rsid w:val="005B2F45"/>
    <w:rsid w:val="005B3DCD"/>
    <w:rsid w:val="005B4AD4"/>
    <w:rsid w:val="005B5602"/>
    <w:rsid w:val="005B61F8"/>
    <w:rsid w:val="005B790A"/>
    <w:rsid w:val="005C2798"/>
    <w:rsid w:val="005C36C3"/>
    <w:rsid w:val="005C56DD"/>
    <w:rsid w:val="005C56EE"/>
    <w:rsid w:val="005D1714"/>
    <w:rsid w:val="005D6116"/>
    <w:rsid w:val="005D760E"/>
    <w:rsid w:val="005D7638"/>
    <w:rsid w:val="005E5534"/>
    <w:rsid w:val="005E66E0"/>
    <w:rsid w:val="005E6A43"/>
    <w:rsid w:val="005F12F5"/>
    <w:rsid w:val="005F1EAE"/>
    <w:rsid w:val="005F483D"/>
    <w:rsid w:val="005F538F"/>
    <w:rsid w:val="005F5586"/>
    <w:rsid w:val="005F5696"/>
    <w:rsid w:val="005F7C7D"/>
    <w:rsid w:val="006007C7"/>
    <w:rsid w:val="006044B7"/>
    <w:rsid w:val="006052E8"/>
    <w:rsid w:val="006071CE"/>
    <w:rsid w:val="006075B5"/>
    <w:rsid w:val="0061018C"/>
    <w:rsid w:val="0061094E"/>
    <w:rsid w:val="00613440"/>
    <w:rsid w:val="00613BE3"/>
    <w:rsid w:val="00613D45"/>
    <w:rsid w:val="00613F84"/>
    <w:rsid w:val="00615E04"/>
    <w:rsid w:val="0062327B"/>
    <w:rsid w:val="00624B50"/>
    <w:rsid w:val="00627ACA"/>
    <w:rsid w:val="00632777"/>
    <w:rsid w:val="00633750"/>
    <w:rsid w:val="00633A66"/>
    <w:rsid w:val="00634491"/>
    <w:rsid w:val="00634F6C"/>
    <w:rsid w:val="0063679C"/>
    <w:rsid w:val="00637055"/>
    <w:rsid w:val="006413E2"/>
    <w:rsid w:val="00641D59"/>
    <w:rsid w:val="00642BD8"/>
    <w:rsid w:val="00643161"/>
    <w:rsid w:val="00644507"/>
    <w:rsid w:val="00646880"/>
    <w:rsid w:val="00647D2A"/>
    <w:rsid w:val="00651C4C"/>
    <w:rsid w:val="006537BB"/>
    <w:rsid w:val="00653A57"/>
    <w:rsid w:val="00655DC1"/>
    <w:rsid w:val="0065643E"/>
    <w:rsid w:val="00660C23"/>
    <w:rsid w:val="0066453F"/>
    <w:rsid w:val="00665974"/>
    <w:rsid w:val="00667E07"/>
    <w:rsid w:val="00671785"/>
    <w:rsid w:val="00672BA9"/>
    <w:rsid w:val="00673005"/>
    <w:rsid w:val="00676AA8"/>
    <w:rsid w:val="006804BE"/>
    <w:rsid w:val="00682706"/>
    <w:rsid w:val="00682728"/>
    <w:rsid w:val="0068434A"/>
    <w:rsid w:val="00687772"/>
    <w:rsid w:val="0069008E"/>
    <w:rsid w:val="0069087E"/>
    <w:rsid w:val="006925C4"/>
    <w:rsid w:val="00696D73"/>
    <w:rsid w:val="006A02B7"/>
    <w:rsid w:val="006A6AD8"/>
    <w:rsid w:val="006A7019"/>
    <w:rsid w:val="006B46D5"/>
    <w:rsid w:val="006B46F4"/>
    <w:rsid w:val="006B4ABA"/>
    <w:rsid w:val="006C39BB"/>
    <w:rsid w:val="006C7AF3"/>
    <w:rsid w:val="006D0B9D"/>
    <w:rsid w:val="006D602A"/>
    <w:rsid w:val="006D6548"/>
    <w:rsid w:val="006E0E20"/>
    <w:rsid w:val="006E19F0"/>
    <w:rsid w:val="006E2689"/>
    <w:rsid w:val="006E30CA"/>
    <w:rsid w:val="006E4256"/>
    <w:rsid w:val="006E4BBA"/>
    <w:rsid w:val="006E5F43"/>
    <w:rsid w:val="006E60A6"/>
    <w:rsid w:val="006E79AC"/>
    <w:rsid w:val="006F0F69"/>
    <w:rsid w:val="006F116B"/>
    <w:rsid w:val="006F117F"/>
    <w:rsid w:val="006F13DF"/>
    <w:rsid w:val="006F2780"/>
    <w:rsid w:val="006F3809"/>
    <w:rsid w:val="006F4214"/>
    <w:rsid w:val="006F69FB"/>
    <w:rsid w:val="006F7283"/>
    <w:rsid w:val="00702F26"/>
    <w:rsid w:val="0070313E"/>
    <w:rsid w:val="00703799"/>
    <w:rsid w:val="00704D1D"/>
    <w:rsid w:val="00704DE1"/>
    <w:rsid w:val="00705C5C"/>
    <w:rsid w:val="00710C61"/>
    <w:rsid w:val="00711475"/>
    <w:rsid w:val="007116CE"/>
    <w:rsid w:val="00716401"/>
    <w:rsid w:val="00720A6A"/>
    <w:rsid w:val="00721BD0"/>
    <w:rsid w:val="007223BC"/>
    <w:rsid w:val="00723BF8"/>
    <w:rsid w:val="0072548A"/>
    <w:rsid w:val="007277A6"/>
    <w:rsid w:val="00733A8C"/>
    <w:rsid w:val="0074028F"/>
    <w:rsid w:val="007437AB"/>
    <w:rsid w:val="00745425"/>
    <w:rsid w:val="007457DC"/>
    <w:rsid w:val="00747B6B"/>
    <w:rsid w:val="00747D04"/>
    <w:rsid w:val="007534F8"/>
    <w:rsid w:val="0075413E"/>
    <w:rsid w:val="007545AD"/>
    <w:rsid w:val="00757ADE"/>
    <w:rsid w:val="007605FE"/>
    <w:rsid w:val="00763722"/>
    <w:rsid w:val="00764081"/>
    <w:rsid w:val="00764BC1"/>
    <w:rsid w:val="0076604A"/>
    <w:rsid w:val="00766B90"/>
    <w:rsid w:val="00770869"/>
    <w:rsid w:val="00770C2E"/>
    <w:rsid w:val="00772FE4"/>
    <w:rsid w:val="007738AA"/>
    <w:rsid w:val="0078022C"/>
    <w:rsid w:val="00780A62"/>
    <w:rsid w:val="00783241"/>
    <w:rsid w:val="00784BDC"/>
    <w:rsid w:val="00785684"/>
    <w:rsid w:val="00786CF4"/>
    <w:rsid w:val="007924A2"/>
    <w:rsid w:val="00792F28"/>
    <w:rsid w:val="007946A6"/>
    <w:rsid w:val="0079543F"/>
    <w:rsid w:val="00795880"/>
    <w:rsid w:val="007A1268"/>
    <w:rsid w:val="007A15D5"/>
    <w:rsid w:val="007A270B"/>
    <w:rsid w:val="007A4099"/>
    <w:rsid w:val="007A4367"/>
    <w:rsid w:val="007B0867"/>
    <w:rsid w:val="007B15EA"/>
    <w:rsid w:val="007B1AC1"/>
    <w:rsid w:val="007B4B39"/>
    <w:rsid w:val="007B4BFD"/>
    <w:rsid w:val="007B5A08"/>
    <w:rsid w:val="007B67BC"/>
    <w:rsid w:val="007B693D"/>
    <w:rsid w:val="007C1738"/>
    <w:rsid w:val="007C1EA2"/>
    <w:rsid w:val="007C4CDC"/>
    <w:rsid w:val="007C597A"/>
    <w:rsid w:val="007C6102"/>
    <w:rsid w:val="007C64E6"/>
    <w:rsid w:val="007D0380"/>
    <w:rsid w:val="007D602E"/>
    <w:rsid w:val="007E041B"/>
    <w:rsid w:val="007E199A"/>
    <w:rsid w:val="007E20FC"/>
    <w:rsid w:val="007E2415"/>
    <w:rsid w:val="007E39F3"/>
    <w:rsid w:val="007E405E"/>
    <w:rsid w:val="007E68F4"/>
    <w:rsid w:val="007E6DE2"/>
    <w:rsid w:val="007F2A89"/>
    <w:rsid w:val="007F31BA"/>
    <w:rsid w:val="007F4078"/>
    <w:rsid w:val="0080014B"/>
    <w:rsid w:val="008012F8"/>
    <w:rsid w:val="00801793"/>
    <w:rsid w:val="00803642"/>
    <w:rsid w:val="00805BA7"/>
    <w:rsid w:val="00806EA2"/>
    <w:rsid w:val="00812A2B"/>
    <w:rsid w:val="00814A4C"/>
    <w:rsid w:val="00814BDA"/>
    <w:rsid w:val="00816BF0"/>
    <w:rsid w:val="0082356C"/>
    <w:rsid w:val="00831AAB"/>
    <w:rsid w:val="00833BCD"/>
    <w:rsid w:val="00834287"/>
    <w:rsid w:val="00834B82"/>
    <w:rsid w:val="00834E38"/>
    <w:rsid w:val="0083574E"/>
    <w:rsid w:val="0083640C"/>
    <w:rsid w:val="008374E3"/>
    <w:rsid w:val="00837953"/>
    <w:rsid w:val="0084157B"/>
    <w:rsid w:val="00842BFB"/>
    <w:rsid w:val="00846B85"/>
    <w:rsid w:val="00847DC3"/>
    <w:rsid w:val="00847F49"/>
    <w:rsid w:val="00850A90"/>
    <w:rsid w:val="00850E1B"/>
    <w:rsid w:val="00851807"/>
    <w:rsid w:val="00852630"/>
    <w:rsid w:val="008528B3"/>
    <w:rsid w:val="008535C5"/>
    <w:rsid w:val="00853765"/>
    <w:rsid w:val="00854660"/>
    <w:rsid w:val="0085516F"/>
    <w:rsid w:val="00856783"/>
    <w:rsid w:val="00856A94"/>
    <w:rsid w:val="00860C57"/>
    <w:rsid w:val="00863FFB"/>
    <w:rsid w:val="00866CA5"/>
    <w:rsid w:val="00867186"/>
    <w:rsid w:val="00867CBF"/>
    <w:rsid w:val="00870AF6"/>
    <w:rsid w:val="00877452"/>
    <w:rsid w:val="00877BB5"/>
    <w:rsid w:val="00881268"/>
    <w:rsid w:val="0088394A"/>
    <w:rsid w:val="008860BD"/>
    <w:rsid w:val="00887399"/>
    <w:rsid w:val="0088779E"/>
    <w:rsid w:val="008912AF"/>
    <w:rsid w:val="00892114"/>
    <w:rsid w:val="00892CB9"/>
    <w:rsid w:val="008935CB"/>
    <w:rsid w:val="00894FE2"/>
    <w:rsid w:val="0089556E"/>
    <w:rsid w:val="00897F25"/>
    <w:rsid w:val="008A06DF"/>
    <w:rsid w:val="008A126B"/>
    <w:rsid w:val="008A2744"/>
    <w:rsid w:val="008A5918"/>
    <w:rsid w:val="008B0E7E"/>
    <w:rsid w:val="008B1A54"/>
    <w:rsid w:val="008B29F0"/>
    <w:rsid w:val="008B3C0A"/>
    <w:rsid w:val="008B65BD"/>
    <w:rsid w:val="008B7900"/>
    <w:rsid w:val="008C3CE6"/>
    <w:rsid w:val="008C71BF"/>
    <w:rsid w:val="008C7FE0"/>
    <w:rsid w:val="008D0A7A"/>
    <w:rsid w:val="008D4AC9"/>
    <w:rsid w:val="008D5717"/>
    <w:rsid w:val="008E018D"/>
    <w:rsid w:val="008E3A27"/>
    <w:rsid w:val="008E415F"/>
    <w:rsid w:val="008E44A9"/>
    <w:rsid w:val="008E6362"/>
    <w:rsid w:val="008E66FB"/>
    <w:rsid w:val="008E6B4D"/>
    <w:rsid w:val="008E6BFF"/>
    <w:rsid w:val="008F21AF"/>
    <w:rsid w:val="008F2400"/>
    <w:rsid w:val="008F61BA"/>
    <w:rsid w:val="008F6E3C"/>
    <w:rsid w:val="008F7871"/>
    <w:rsid w:val="008F7C55"/>
    <w:rsid w:val="009018FC"/>
    <w:rsid w:val="009123FC"/>
    <w:rsid w:val="00913967"/>
    <w:rsid w:val="00914A23"/>
    <w:rsid w:val="00915D53"/>
    <w:rsid w:val="00930754"/>
    <w:rsid w:val="00934F68"/>
    <w:rsid w:val="009355AC"/>
    <w:rsid w:val="00935F38"/>
    <w:rsid w:val="00936E21"/>
    <w:rsid w:val="00937586"/>
    <w:rsid w:val="00937A69"/>
    <w:rsid w:val="009405B0"/>
    <w:rsid w:val="00942294"/>
    <w:rsid w:val="00946676"/>
    <w:rsid w:val="00947889"/>
    <w:rsid w:val="009478BD"/>
    <w:rsid w:val="0095600D"/>
    <w:rsid w:val="00960E98"/>
    <w:rsid w:val="009633B3"/>
    <w:rsid w:val="00963A82"/>
    <w:rsid w:val="00972147"/>
    <w:rsid w:val="00972912"/>
    <w:rsid w:val="00976D1F"/>
    <w:rsid w:val="00980523"/>
    <w:rsid w:val="00981C81"/>
    <w:rsid w:val="00982D65"/>
    <w:rsid w:val="00982F81"/>
    <w:rsid w:val="009869F2"/>
    <w:rsid w:val="0098789B"/>
    <w:rsid w:val="009923AF"/>
    <w:rsid w:val="009963EE"/>
    <w:rsid w:val="009A09EF"/>
    <w:rsid w:val="009A2D24"/>
    <w:rsid w:val="009A456C"/>
    <w:rsid w:val="009A4A56"/>
    <w:rsid w:val="009A5E30"/>
    <w:rsid w:val="009B00E0"/>
    <w:rsid w:val="009B292A"/>
    <w:rsid w:val="009B6F56"/>
    <w:rsid w:val="009B76D5"/>
    <w:rsid w:val="009C0E86"/>
    <w:rsid w:val="009C165D"/>
    <w:rsid w:val="009C3CEA"/>
    <w:rsid w:val="009C54CE"/>
    <w:rsid w:val="009C583D"/>
    <w:rsid w:val="009C5962"/>
    <w:rsid w:val="009D2611"/>
    <w:rsid w:val="009D2E0E"/>
    <w:rsid w:val="009D440E"/>
    <w:rsid w:val="009D77BF"/>
    <w:rsid w:val="009D79D2"/>
    <w:rsid w:val="009E02CA"/>
    <w:rsid w:val="009E19E1"/>
    <w:rsid w:val="009E247C"/>
    <w:rsid w:val="009E31BA"/>
    <w:rsid w:val="009F028E"/>
    <w:rsid w:val="009F0528"/>
    <w:rsid w:val="009F0806"/>
    <w:rsid w:val="009F233B"/>
    <w:rsid w:val="009F6337"/>
    <w:rsid w:val="00A004A0"/>
    <w:rsid w:val="00A01D5D"/>
    <w:rsid w:val="00A0297C"/>
    <w:rsid w:val="00A05D16"/>
    <w:rsid w:val="00A0659F"/>
    <w:rsid w:val="00A073F9"/>
    <w:rsid w:val="00A079BA"/>
    <w:rsid w:val="00A12E81"/>
    <w:rsid w:val="00A14E8C"/>
    <w:rsid w:val="00A15BA2"/>
    <w:rsid w:val="00A1625B"/>
    <w:rsid w:val="00A20C70"/>
    <w:rsid w:val="00A25594"/>
    <w:rsid w:val="00A25711"/>
    <w:rsid w:val="00A268DD"/>
    <w:rsid w:val="00A27EB3"/>
    <w:rsid w:val="00A30AAF"/>
    <w:rsid w:val="00A33875"/>
    <w:rsid w:val="00A357D8"/>
    <w:rsid w:val="00A360A1"/>
    <w:rsid w:val="00A368E0"/>
    <w:rsid w:val="00A402B3"/>
    <w:rsid w:val="00A44ED7"/>
    <w:rsid w:val="00A47C39"/>
    <w:rsid w:val="00A536E9"/>
    <w:rsid w:val="00A53C29"/>
    <w:rsid w:val="00A53E3F"/>
    <w:rsid w:val="00A544B7"/>
    <w:rsid w:val="00A55EF2"/>
    <w:rsid w:val="00A618CF"/>
    <w:rsid w:val="00A62770"/>
    <w:rsid w:val="00A62EEB"/>
    <w:rsid w:val="00A660FF"/>
    <w:rsid w:val="00A718DF"/>
    <w:rsid w:val="00A73395"/>
    <w:rsid w:val="00A73CEE"/>
    <w:rsid w:val="00A76A05"/>
    <w:rsid w:val="00A771E3"/>
    <w:rsid w:val="00A81E0F"/>
    <w:rsid w:val="00A8203D"/>
    <w:rsid w:val="00A82B4C"/>
    <w:rsid w:val="00A8539F"/>
    <w:rsid w:val="00A90238"/>
    <w:rsid w:val="00A91158"/>
    <w:rsid w:val="00A93A4C"/>
    <w:rsid w:val="00A94D5D"/>
    <w:rsid w:val="00A95C13"/>
    <w:rsid w:val="00AA1D9B"/>
    <w:rsid w:val="00AA2543"/>
    <w:rsid w:val="00AA2F69"/>
    <w:rsid w:val="00AA2FC2"/>
    <w:rsid w:val="00AA3804"/>
    <w:rsid w:val="00AA5464"/>
    <w:rsid w:val="00AA55C2"/>
    <w:rsid w:val="00AB0ACA"/>
    <w:rsid w:val="00AB0B31"/>
    <w:rsid w:val="00AB1D41"/>
    <w:rsid w:val="00AB2915"/>
    <w:rsid w:val="00AB2D2D"/>
    <w:rsid w:val="00AB4C5E"/>
    <w:rsid w:val="00AB714D"/>
    <w:rsid w:val="00AB7EFF"/>
    <w:rsid w:val="00AC5706"/>
    <w:rsid w:val="00AC5E9A"/>
    <w:rsid w:val="00AC68E0"/>
    <w:rsid w:val="00AC704B"/>
    <w:rsid w:val="00AD04A1"/>
    <w:rsid w:val="00AD1654"/>
    <w:rsid w:val="00AD553E"/>
    <w:rsid w:val="00AD5848"/>
    <w:rsid w:val="00AD58B7"/>
    <w:rsid w:val="00AD61E7"/>
    <w:rsid w:val="00AE2EE0"/>
    <w:rsid w:val="00AE5ADA"/>
    <w:rsid w:val="00AF16D6"/>
    <w:rsid w:val="00AF6145"/>
    <w:rsid w:val="00B01386"/>
    <w:rsid w:val="00B01BB5"/>
    <w:rsid w:val="00B026CC"/>
    <w:rsid w:val="00B03E3B"/>
    <w:rsid w:val="00B04256"/>
    <w:rsid w:val="00B04AF4"/>
    <w:rsid w:val="00B04F1E"/>
    <w:rsid w:val="00B05214"/>
    <w:rsid w:val="00B1003C"/>
    <w:rsid w:val="00B14D5D"/>
    <w:rsid w:val="00B22CF2"/>
    <w:rsid w:val="00B26445"/>
    <w:rsid w:val="00B2730E"/>
    <w:rsid w:val="00B30D97"/>
    <w:rsid w:val="00B31074"/>
    <w:rsid w:val="00B3181A"/>
    <w:rsid w:val="00B35A7C"/>
    <w:rsid w:val="00B35F8B"/>
    <w:rsid w:val="00B417A9"/>
    <w:rsid w:val="00B43EB1"/>
    <w:rsid w:val="00B44A6C"/>
    <w:rsid w:val="00B44ECD"/>
    <w:rsid w:val="00B450D1"/>
    <w:rsid w:val="00B52E01"/>
    <w:rsid w:val="00B53636"/>
    <w:rsid w:val="00B53D47"/>
    <w:rsid w:val="00B54A25"/>
    <w:rsid w:val="00B616AA"/>
    <w:rsid w:val="00B618C3"/>
    <w:rsid w:val="00B62A89"/>
    <w:rsid w:val="00B63652"/>
    <w:rsid w:val="00B668B0"/>
    <w:rsid w:val="00B66C47"/>
    <w:rsid w:val="00B67200"/>
    <w:rsid w:val="00B70F5C"/>
    <w:rsid w:val="00B7141D"/>
    <w:rsid w:val="00B71873"/>
    <w:rsid w:val="00B73980"/>
    <w:rsid w:val="00B75AE5"/>
    <w:rsid w:val="00B760F0"/>
    <w:rsid w:val="00B800C0"/>
    <w:rsid w:val="00B8132B"/>
    <w:rsid w:val="00B816C5"/>
    <w:rsid w:val="00B8213A"/>
    <w:rsid w:val="00B84C5A"/>
    <w:rsid w:val="00B84E52"/>
    <w:rsid w:val="00B85379"/>
    <w:rsid w:val="00B85558"/>
    <w:rsid w:val="00B858F5"/>
    <w:rsid w:val="00B93668"/>
    <w:rsid w:val="00B93D3D"/>
    <w:rsid w:val="00B955CB"/>
    <w:rsid w:val="00B9718A"/>
    <w:rsid w:val="00BA151C"/>
    <w:rsid w:val="00BA2CC5"/>
    <w:rsid w:val="00BA34A0"/>
    <w:rsid w:val="00BA68C6"/>
    <w:rsid w:val="00BB12F1"/>
    <w:rsid w:val="00BB276E"/>
    <w:rsid w:val="00BB3FEE"/>
    <w:rsid w:val="00BB5EB0"/>
    <w:rsid w:val="00BC00EA"/>
    <w:rsid w:val="00BC0352"/>
    <w:rsid w:val="00BC0539"/>
    <w:rsid w:val="00BC245A"/>
    <w:rsid w:val="00BC6D0A"/>
    <w:rsid w:val="00BD0FFB"/>
    <w:rsid w:val="00BD16FA"/>
    <w:rsid w:val="00BD41C3"/>
    <w:rsid w:val="00BD488B"/>
    <w:rsid w:val="00BD6616"/>
    <w:rsid w:val="00BD75A1"/>
    <w:rsid w:val="00BD7850"/>
    <w:rsid w:val="00BD7CCC"/>
    <w:rsid w:val="00BE002A"/>
    <w:rsid w:val="00BE0283"/>
    <w:rsid w:val="00BE1BC9"/>
    <w:rsid w:val="00BE46FC"/>
    <w:rsid w:val="00BE5CDA"/>
    <w:rsid w:val="00BE608F"/>
    <w:rsid w:val="00BE6876"/>
    <w:rsid w:val="00BF23BB"/>
    <w:rsid w:val="00BF2D24"/>
    <w:rsid w:val="00BF33DD"/>
    <w:rsid w:val="00BF52D2"/>
    <w:rsid w:val="00BF5755"/>
    <w:rsid w:val="00BF5BD2"/>
    <w:rsid w:val="00BF684B"/>
    <w:rsid w:val="00C016F3"/>
    <w:rsid w:val="00C03F3F"/>
    <w:rsid w:val="00C07BFD"/>
    <w:rsid w:val="00C15193"/>
    <w:rsid w:val="00C15609"/>
    <w:rsid w:val="00C15F6A"/>
    <w:rsid w:val="00C16942"/>
    <w:rsid w:val="00C235CB"/>
    <w:rsid w:val="00C23EA7"/>
    <w:rsid w:val="00C2470F"/>
    <w:rsid w:val="00C254C3"/>
    <w:rsid w:val="00C256F3"/>
    <w:rsid w:val="00C270A2"/>
    <w:rsid w:val="00C315B5"/>
    <w:rsid w:val="00C3233C"/>
    <w:rsid w:val="00C35994"/>
    <w:rsid w:val="00C35E28"/>
    <w:rsid w:val="00C426AF"/>
    <w:rsid w:val="00C469C1"/>
    <w:rsid w:val="00C500CD"/>
    <w:rsid w:val="00C50659"/>
    <w:rsid w:val="00C519D6"/>
    <w:rsid w:val="00C51B39"/>
    <w:rsid w:val="00C5338A"/>
    <w:rsid w:val="00C54EF9"/>
    <w:rsid w:val="00C56BBF"/>
    <w:rsid w:val="00C572AA"/>
    <w:rsid w:val="00C57A9A"/>
    <w:rsid w:val="00C6016A"/>
    <w:rsid w:val="00C60B3F"/>
    <w:rsid w:val="00C623EB"/>
    <w:rsid w:val="00C62F44"/>
    <w:rsid w:val="00C6300F"/>
    <w:rsid w:val="00C635A8"/>
    <w:rsid w:val="00C64C6B"/>
    <w:rsid w:val="00C6678E"/>
    <w:rsid w:val="00C66F2E"/>
    <w:rsid w:val="00C6785C"/>
    <w:rsid w:val="00C7002B"/>
    <w:rsid w:val="00C70E74"/>
    <w:rsid w:val="00C70FD1"/>
    <w:rsid w:val="00C72B76"/>
    <w:rsid w:val="00C7318E"/>
    <w:rsid w:val="00C733AA"/>
    <w:rsid w:val="00C7367A"/>
    <w:rsid w:val="00C74333"/>
    <w:rsid w:val="00C74E68"/>
    <w:rsid w:val="00C756F6"/>
    <w:rsid w:val="00C82E26"/>
    <w:rsid w:val="00C83027"/>
    <w:rsid w:val="00C84B8A"/>
    <w:rsid w:val="00C84FAF"/>
    <w:rsid w:val="00C85E65"/>
    <w:rsid w:val="00C87CA1"/>
    <w:rsid w:val="00C911B4"/>
    <w:rsid w:val="00C91550"/>
    <w:rsid w:val="00C91934"/>
    <w:rsid w:val="00C91B3B"/>
    <w:rsid w:val="00C92C30"/>
    <w:rsid w:val="00C93716"/>
    <w:rsid w:val="00C94262"/>
    <w:rsid w:val="00C96A74"/>
    <w:rsid w:val="00C976E1"/>
    <w:rsid w:val="00CA148E"/>
    <w:rsid w:val="00CA1D93"/>
    <w:rsid w:val="00CA3A9A"/>
    <w:rsid w:val="00CA5E9A"/>
    <w:rsid w:val="00CB5F7F"/>
    <w:rsid w:val="00CB6438"/>
    <w:rsid w:val="00CB6BC1"/>
    <w:rsid w:val="00CB7021"/>
    <w:rsid w:val="00CB710F"/>
    <w:rsid w:val="00CD3294"/>
    <w:rsid w:val="00CD4524"/>
    <w:rsid w:val="00CD5C6B"/>
    <w:rsid w:val="00CD6027"/>
    <w:rsid w:val="00CD784D"/>
    <w:rsid w:val="00CE29AF"/>
    <w:rsid w:val="00CE3D59"/>
    <w:rsid w:val="00CF025A"/>
    <w:rsid w:val="00CF0B80"/>
    <w:rsid w:val="00CF2355"/>
    <w:rsid w:val="00CF3A1C"/>
    <w:rsid w:val="00CF40F8"/>
    <w:rsid w:val="00D008DA"/>
    <w:rsid w:val="00D024B0"/>
    <w:rsid w:val="00D02859"/>
    <w:rsid w:val="00D0416F"/>
    <w:rsid w:val="00D04B73"/>
    <w:rsid w:val="00D04CE0"/>
    <w:rsid w:val="00D04F74"/>
    <w:rsid w:val="00D05851"/>
    <w:rsid w:val="00D06632"/>
    <w:rsid w:val="00D10FED"/>
    <w:rsid w:val="00D11736"/>
    <w:rsid w:val="00D12EE8"/>
    <w:rsid w:val="00D14CDF"/>
    <w:rsid w:val="00D15FF1"/>
    <w:rsid w:val="00D167F4"/>
    <w:rsid w:val="00D17323"/>
    <w:rsid w:val="00D1733F"/>
    <w:rsid w:val="00D2092A"/>
    <w:rsid w:val="00D2216D"/>
    <w:rsid w:val="00D31A6F"/>
    <w:rsid w:val="00D32DC3"/>
    <w:rsid w:val="00D33518"/>
    <w:rsid w:val="00D353D1"/>
    <w:rsid w:val="00D367DB"/>
    <w:rsid w:val="00D36E05"/>
    <w:rsid w:val="00D40B9E"/>
    <w:rsid w:val="00D44F27"/>
    <w:rsid w:val="00D45304"/>
    <w:rsid w:val="00D46165"/>
    <w:rsid w:val="00D461C7"/>
    <w:rsid w:val="00D476FC"/>
    <w:rsid w:val="00D50424"/>
    <w:rsid w:val="00D523D2"/>
    <w:rsid w:val="00D525C9"/>
    <w:rsid w:val="00D54047"/>
    <w:rsid w:val="00D543C3"/>
    <w:rsid w:val="00D57D3E"/>
    <w:rsid w:val="00D620FA"/>
    <w:rsid w:val="00D66E02"/>
    <w:rsid w:val="00D67EF5"/>
    <w:rsid w:val="00D71A61"/>
    <w:rsid w:val="00D75917"/>
    <w:rsid w:val="00D76249"/>
    <w:rsid w:val="00D862D1"/>
    <w:rsid w:val="00D93C5B"/>
    <w:rsid w:val="00D95CBE"/>
    <w:rsid w:val="00D968F8"/>
    <w:rsid w:val="00DA2526"/>
    <w:rsid w:val="00DA2913"/>
    <w:rsid w:val="00DA5C22"/>
    <w:rsid w:val="00DA7D12"/>
    <w:rsid w:val="00DB25ED"/>
    <w:rsid w:val="00DB62B5"/>
    <w:rsid w:val="00DB6505"/>
    <w:rsid w:val="00DB744B"/>
    <w:rsid w:val="00DC23CF"/>
    <w:rsid w:val="00DC6562"/>
    <w:rsid w:val="00DC6CB8"/>
    <w:rsid w:val="00DC7416"/>
    <w:rsid w:val="00DD0069"/>
    <w:rsid w:val="00DD1944"/>
    <w:rsid w:val="00DD1A90"/>
    <w:rsid w:val="00DD1FAA"/>
    <w:rsid w:val="00DD2919"/>
    <w:rsid w:val="00DD298A"/>
    <w:rsid w:val="00DD7F94"/>
    <w:rsid w:val="00DE0339"/>
    <w:rsid w:val="00DE130D"/>
    <w:rsid w:val="00DE24CF"/>
    <w:rsid w:val="00DE407C"/>
    <w:rsid w:val="00DE5D35"/>
    <w:rsid w:val="00DE7C7D"/>
    <w:rsid w:val="00DF2992"/>
    <w:rsid w:val="00DF2D0C"/>
    <w:rsid w:val="00DF6B5A"/>
    <w:rsid w:val="00DF7EEE"/>
    <w:rsid w:val="00E00058"/>
    <w:rsid w:val="00E01B9D"/>
    <w:rsid w:val="00E028DF"/>
    <w:rsid w:val="00E02F5D"/>
    <w:rsid w:val="00E0468F"/>
    <w:rsid w:val="00E04F5E"/>
    <w:rsid w:val="00E0522E"/>
    <w:rsid w:val="00E059A2"/>
    <w:rsid w:val="00E114E0"/>
    <w:rsid w:val="00E120F4"/>
    <w:rsid w:val="00E12625"/>
    <w:rsid w:val="00E15CC9"/>
    <w:rsid w:val="00E1613D"/>
    <w:rsid w:val="00E17172"/>
    <w:rsid w:val="00E21366"/>
    <w:rsid w:val="00E21894"/>
    <w:rsid w:val="00E21E42"/>
    <w:rsid w:val="00E24DE3"/>
    <w:rsid w:val="00E25966"/>
    <w:rsid w:val="00E31365"/>
    <w:rsid w:val="00E3181C"/>
    <w:rsid w:val="00E3280A"/>
    <w:rsid w:val="00E33F73"/>
    <w:rsid w:val="00E3467C"/>
    <w:rsid w:val="00E372AF"/>
    <w:rsid w:val="00E37D68"/>
    <w:rsid w:val="00E40EAE"/>
    <w:rsid w:val="00E42235"/>
    <w:rsid w:val="00E436AC"/>
    <w:rsid w:val="00E44F7A"/>
    <w:rsid w:val="00E44FF8"/>
    <w:rsid w:val="00E462A0"/>
    <w:rsid w:val="00E47656"/>
    <w:rsid w:val="00E478D6"/>
    <w:rsid w:val="00E5066A"/>
    <w:rsid w:val="00E51453"/>
    <w:rsid w:val="00E52CF9"/>
    <w:rsid w:val="00E54397"/>
    <w:rsid w:val="00E54950"/>
    <w:rsid w:val="00E57AF9"/>
    <w:rsid w:val="00E625E3"/>
    <w:rsid w:val="00E63F34"/>
    <w:rsid w:val="00E63FEA"/>
    <w:rsid w:val="00E6715A"/>
    <w:rsid w:val="00E74974"/>
    <w:rsid w:val="00E749E5"/>
    <w:rsid w:val="00E75DC9"/>
    <w:rsid w:val="00E81610"/>
    <w:rsid w:val="00E8199E"/>
    <w:rsid w:val="00E841B3"/>
    <w:rsid w:val="00E84910"/>
    <w:rsid w:val="00E85B28"/>
    <w:rsid w:val="00E87F0B"/>
    <w:rsid w:val="00E91976"/>
    <w:rsid w:val="00E947A6"/>
    <w:rsid w:val="00E97FC7"/>
    <w:rsid w:val="00EA05C2"/>
    <w:rsid w:val="00EA0690"/>
    <w:rsid w:val="00EA3956"/>
    <w:rsid w:val="00EA4FD8"/>
    <w:rsid w:val="00EA5404"/>
    <w:rsid w:val="00EA545E"/>
    <w:rsid w:val="00EA7012"/>
    <w:rsid w:val="00EA7136"/>
    <w:rsid w:val="00EB26FA"/>
    <w:rsid w:val="00EB325A"/>
    <w:rsid w:val="00EC02A5"/>
    <w:rsid w:val="00EC0ABC"/>
    <w:rsid w:val="00EC176B"/>
    <w:rsid w:val="00EC33CD"/>
    <w:rsid w:val="00EC5BE5"/>
    <w:rsid w:val="00EC7BB1"/>
    <w:rsid w:val="00ED2650"/>
    <w:rsid w:val="00ED721A"/>
    <w:rsid w:val="00EE165B"/>
    <w:rsid w:val="00EE279B"/>
    <w:rsid w:val="00EE3110"/>
    <w:rsid w:val="00EE393D"/>
    <w:rsid w:val="00EE3C03"/>
    <w:rsid w:val="00EE742D"/>
    <w:rsid w:val="00EE7BBC"/>
    <w:rsid w:val="00EF01CF"/>
    <w:rsid w:val="00EF201A"/>
    <w:rsid w:val="00EF285F"/>
    <w:rsid w:val="00EF5941"/>
    <w:rsid w:val="00EF64F1"/>
    <w:rsid w:val="00EF6A47"/>
    <w:rsid w:val="00EF7AF9"/>
    <w:rsid w:val="00F00952"/>
    <w:rsid w:val="00F00E74"/>
    <w:rsid w:val="00F01495"/>
    <w:rsid w:val="00F02DBE"/>
    <w:rsid w:val="00F06335"/>
    <w:rsid w:val="00F06A09"/>
    <w:rsid w:val="00F07DDB"/>
    <w:rsid w:val="00F100C8"/>
    <w:rsid w:val="00F10138"/>
    <w:rsid w:val="00F13DBA"/>
    <w:rsid w:val="00F13F92"/>
    <w:rsid w:val="00F1487D"/>
    <w:rsid w:val="00F22ECA"/>
    <w:rsid w:val="00F23348"/>
    <w:rsid w:val="00F240E8"/>
    <w:rsid w:val="00F244FA"/>
    <w:rsid w:val="00F366A2"/>
    <w:rsid w:val="00F42B8F"/>
    <w:rsid w:val="00F44F43"/>
    <w:rsid w:val="00F450E1"/>
    <w:rsid w:val="00F455DA"/>
    <w:rsid w:val="00F46406"/>
    <w:rsid w:val="00F4748E"/>
    <w:rsid w:val="00F50DF4"/>
    <w:rsid w:val="00F512D7"/>
    <w:rsid w:val="00F557DF"/>
    <w:rsid w:val="00F57AFE"/>
    <w:rsid w:val="00F6278E"/>
    <w:rsid w:val="00F63C41"/>
    <w:rsid w:val="00F63E96"/>
    <w:rsid w:val="00F6421C"/>
    <w:rsid w:val="00F6426A"/>
    <w:rsid w:val="00F701E3"/>
    <w:rsid w:val="00F71008"/>
    <w:rsid w:val="00F71F8C"/>
    <w:rsid w:val="00F7702D"/>
    <w:rsid w:val="00F86AD4"/>
    <w:rsid w:val="00F87D45"/>
    <w:rsid w:val="00F93135"/>
    <w:rsid w:val="00F97F28"/>
    <w:rsid w:val="00FA0113"/>
    <w:rsid w:val="00FA0431"/>
    <w:rsid w:val="00FA12B2"/>
    <w:rsid w:val="00FA23CE"/>
    <w:rsid w:val="00FA7610"/>
    <w:rsid w:val="00FB02BD"/>
    <w:rsid w:val="00FB37AA"/>
    <w:rsid w:val="00FB37ED"/>
    <w:rsid w:val="00FB398F"/>
    <w:rsid w:val="00FB4EF8"/>
    <w:rsid w:val="00FB54AE"/>
    <w:rsid w:val="00FB55A5"/>
    <w:rsid w:val="00FB6DA6"/>
    <w:rsid w:val="00FB709A"/>
    <w:rsid w:val="00FB78DD"/>
    <w:rsid w:val="00FC3EF3"/>
    <w:rsid w:val="00FC5D35"/>
    <w:rsid w:val="00FC7560"/>
    <w:rsid w:val="00FD0547"/>
    <w:rsid w:val="00FD2049"/>
    <w:rsid w:val="00FD2140"/>
    <w:rsid w:val="00FD3D04"/>
    <w:rsid w:val="00FD43A9"/>
    <w:rsid w:val="00FD5B5F"/>
    <w:rsid w:val="00FD5BDE"/>
    <w:rsid w:val="00FD68EC"/>
    <w:rsid w:val="00FE07B6"/>
    <w:rsid w:val="00FE24A5"/>
    <w:rsid w:val="00FE31E5"/>
    <w:rsid w:val="00FE4292"/>
    <w:rsid w:val="00FE466D"/>
    <w:rsid w:val="00FE53DC"/>
    <w:rsid w:val="00FE631A"/>
    <w:rsid w:val="00FF19AD"/>
    <w:rsid w:val="00FF1EB5"/>
    <w:rsid w:val="00FF292D"/>
    <w:rsid w:val="00FF298D"/>
    <w:rsid w:val="00FF4B55"/>
    <w:rsid w:val="00FF6287"/>
    <w:rsid w:val="00FF6A74"/>
    <w:rsid w:val="00FF6D2D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Y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3E7FCD"/>
  <w15:chartTrackingRefBased/>
  <w15:docId w15:val="{507735FF-94EF-4B6C-A455-45C11B654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Y" w:eastAsia="en-C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66D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styleId="FollowedHyperlink">
    <w:name w:val="FollowedHyperlink"/>
    <w:uiPriority w:val="99"/>
    <w:semiHidden/>
    <w:unhideWhenUsed/>
    <w:rsid w:val="00A536E9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1C6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mailto:napostolou@cystat.mof.gov.cy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ystat.gov.cy/el/MethodologicalDetails?m=2195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ystat.gov.cy/el/KeyFiguresList?s=3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cystatdb.cystat.gov.cy/pxweb/el/8.CYSTAT-DB/8.CYSTAT-DB__Energy__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ystat.gov.cy/el/SubthemeStatistics?s=34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ystat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 b="1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r>
              <a:rPr lang="el-GR" u="none"/>
              <a:t>Πωλήσεις Πετρελαιοειδών</a:t>
            </a:r>
          </a:p>
        </c:rich>
      </c:tx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26167987401574805"/>
          <c:y val="9.8654841093865478E-2"/>
          <c:w val="0.67130607874015735"/>
          <c:h val="0.7320076121305236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Sheet1!$O$4</c:f>
              <c:strCache>
                <c:ptCount val="1"/>
                <c:pt idx="0">
                  <c:v>Αύγουστος 2023</c:v>
                </c:pt>
              </c:strCache>
            </c:strRef>
          </c:tx>
          <c:spPr>
            <a:solidFill>
              <a:srgbClr val="4F81BD"/>
            </a:solidFill>
          </c:spPr>
          <c:invertIfNegative val="0"/>
          <c:cat>
            <c:strRef>
              <c:f>Sheet1!$N$5:$N$15</c:f>
              <c:strCache>
                <c:ptCount val="11"/>
                <c:pt idx="0">
                  <c:v>Υγραέριο</c:v>
                </c:pt>
                <c:pt idx="1">
                  <c:v>Άσφαλτος</c:v>
                </c:pt>
                <c:pt idx="2">
                  <c:v>Βαρύ Μαζούτ</c:v>
                </c:pt>
                <c:pt idx="3">
                  <c:v>Ελαφρύ Μαζούτ</c:v>
                </c:pt>
                <c:pt idx="4">
                  <c:v>Πετρέλαιο Ναυτιλίας</c:v>
                </c:pt>
                <c:pt idx="5">
                  <c:v>Πετρέλαιο Θέρμανσης</c:v>
                </c:pt>
                <c:pt idx="6">
                  <c:v>Γεωργικό Πετρέλαιο</c:v>
                </c:pt>
                <c:pt idx="7">
                  <c:v>Πετρέλαιο Κίνησης</c:v>
                </c:pt>
                <c:pt idx="8">
                  <c:v>Κηροζίνη</c:v>
                </c:pt>
                <c:pt idx="9">
                  <c:v>Πετρέλαιο Αεροπλάνων</c:v>
                </c:pt>
                <c:pt idx="10">
                  <c:v>Βενζίνη Αμόλυβδη</c:v>
                </c:pt>
              </c:strCache>
            </c:strRef>
          </c:cat>
          <c:val>
            <c:numRef>
              <c:f>Sheet1!$O$5:$O$15</c:f>
              <c:numCache>
                <c:formatCode>_-* #,##0_-;\-* #,##0_-;_-* "-"??_-;_-@_-</c:formatCode>
                <c:ptCount val="11"/>
                <c:pt idx="0">
                  <c:v>3524</c:v>
                </c:pt>
                <c:pt idx="1">
                  <c:v>1965</c:v>
                </c:pt>
                <c:pt idx="2">
                  <c:v>713</c:v>
                </c:pt>
                <c:pt idx="3">
                  <c:v>14620</c:v>
                </c:pt>
                <c:pt idx="4">
                  <c:v>6637</c:v>
                </c:pt>
                <c:pt idx="5">
                  <c:v>3522</c:v>
                </c:pt>
                <c:pt idx="6">
                  <c:v>1790</c:v>
                </c:pt>
                <c:pt idx="7">
                  <c:v>27850</c:v>
                </c:pt>
                <c:pt idx="8">
                  <c:v>55</c:v>
                </c:pt>
                <c:pt idx="9">
                  <c:v>34931</c:v>
                </c:pt>
                <c:pt idx="10">
                  <c:v>28981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3D9-490D-811C-C54EB70008B9}"/>
            </c:ext>
          </c:extLst>
        </c:ser>
        <c:ser>
          <c:idx val="1"/>
          <c:order val="1"/>
          <c:tx>
            <c:strRef>
              <c:f>Sheet1!$P$4</c:f>
              <c:strCache>
                <c:ptCount val="1"/>
                <c:pt idx="0">
                  <c:v>Αύγουστος 2022</c:v>
                </c:pt>
              </c:strCache>
            </c:strRef>
          </c:tx>
          <c:spPr>
            <a:solidFill>
              <a:srgbClr val="C0504D"/>
            </a:solidFill>
          </c:spPr>
          <c:invertIfNegative val="0"/>
          <c:cat>
            <c:strRef>
              <c:f>Sheet1!$N$5:$N$15</c:f>
              <c:strCache>
                <c:ptCount val="11"/>
                <c:pt idx="0">
                  <c:v>Υγραέριο</c:v>
                </c:pt>
                <c:pt idx="1">
                  <c:v>Άσφαλτος</c:v>
                </c:pt>
                <c:pt idx="2">
                  <c:v>Βαρύ Μαζούτ</c:v>
                </c:pt>
                <c:pt idx="3">
                  <c:v>Ελαφρύ Μαζούτ</c:v>
                </c:pt>
                <c:pt idx="4">
                  <c:v>Πετρέλαιο Ναυτιλίας</c:v>
                </c:pt>
                <c:pt idx="5">
                  <c:v>Πετρέλαιο Θέρμανσης</c:v>
                </c:pt>
                <c:pt idx="6">
                  <c:v>Γεωργικό Πετρέλαιο</c:v>
                </c:pt>
                <c:pt idx="7">
                  <c:v>Πετρέλαιο Κίνησης</c:v>
                </c:pt>
                <c:pt idx="8">
                  <c:v>Κηροζίνη</c:v>
                </c:pt>
                <c:pt idx="9">
                  <c:v>Πετρέλαιο Αεροπλάνων</c:v>
                </c:pt>
                <c:pt idx="10">
                  <c:v>Βενζίνη Αμόλυβδη</c:v>
                </c:pt>
              </c:strCache>
            </c:strRef>
          </c:cat>
          <c:val>
            <c:numRef>
              <c:f>Sheet1!$P$5:$P$15</c:f>
              <c:numCache>
                <c:formatCode>_-* #,##0_-;\-* #,##0_-;_-* "-"??_-;_-@_-</c:formatCode>
                <c:ptCount val="11"/>
                <c:pt idx="0">
                  <c:v>3398</c:v>
                </c:pt>
                <c:pt idx="1">
                  <c:v>2167</c:v>
                </c:pt>
                <c:pt idx="2">
                  <c:v>36</c:v>
                </c:pt>
                <c:pt idx="3">
                  <c:v>17188</c:v>
                </c:pt>
                <c:pt idx="4">
                  <c:v>8722</c:v>
                </c:pt>
                <c:pt idx="5">
                  <c:v>3435</c:v>
                </c:pt>
                <c:pt idx="6">
                  <c:v>1601</c:v>
                </c:pt>
                <c:pt idx="7">
                  <c:v>26616</c:v>
                </c:pt>
                <c:pt idx="8">
                  <c:v>45</c:v>
                </c:pt>
                <c:pt idx="9">
                  <c:v>31040</c:v>
                </c:pt>
                <c:pt idx="10">
                  <c:v>27610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3D9-490D-811C-C54EB70008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980664192"/>
        <c:axId val="1"/>
      </c:barChart>
      <c:catAx>
        <c:axId val="980664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CY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35000"/>
          <c:min val="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/>
              <a:lstStyle/>
              <a:p>
                <a:pPr>
                  <a:defRPr sz="900" b="1" i="0" u="none" strike="noStrike" baseline="0">
                    <a:solidFill>
                      <a:srgbClr val="000000"/>
                    </a:solidFill>
                    <a:latin typeface="Verdana"/>
                    <a:ea typeface="Verdana"/>
                    <a:cs typeface="Verdana"/>
                  </a:defRPr>
                </a:pPr>
                <a:r>
                  <a:rPr lang="el-GR"/>
                  <a:t>Τόνοι</a:t>
                </a:r>
              </a:p>
            </c:rich>
          </c:tx>
          <c:layout>
            <c:manualLayout>
              <c:xMode val="edge"/>
              <c:yMode val="edge"/>
              <c:x val="0.47312344172940823"/>
              <c:y val="0.94736089238845145"/>
            </c:manualLayout>
          </c:layout>
          <c:overlay val="0"/>
        </c:title>
        <c:numFmt formatCode="#,##0" sourceLinked="0"/>
        <c:majorTickMark val="none"/>
        <c:minorTickMark val="none"/>
        <c:tickLblPos val="nextTo"/>
        <c:spPr>
          <a:ln w="9525">
            <a:noFill/>
          </a:ln>
        </c:spPr>
        <c:txPr>
          <a:bodyPr rot="27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Verdana"/>
                <a:ea typeface="Verdana"/>
                <a:cs typeface="Verdana"/>
              </a:defRPr>
            </a:pPr>
            <a:endParaRPr lang="en-CY"/>
          </a:p>
        </c:txPr>
        <c:crossAx val="980664192"/>
        <c:crosses val="autoZero"/>
        <c:crossBetween val="between"/>
        <c:majorUnit val="2500"/>
        <c:minorUnit val="500"/>
      </c:valAx>
      <c:spPr>
        <a:noFill/>
        <a:ln w="12700">
          <a:solidFill>
            <a:schemeClr val="tx1">
              <a:lumMod val="15000"/>
              <a:lumOff val="85000"/>
            </a:schemeClr>
          </a:solidFill>
        </a:ln>
      </c:spPr>
    </c:plotArea>
    <c:legend>
      <c:legendPos val="r"/>
      <c:layout>
        <c:manualLayout>
          <c:xMode val="edge"/>
          <c:yMode val="edge"/>
          <c:x val="0"/>
          <c:y val="0.88980674025916251"/>
          <c:w val="0.26287156765954717"/>
          <c:h val="0.10373643972469543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900" b="0" i="0" u="none" strike="noStrike" baseline="0">
              <a:solidFill>
                <a:srgbClr val="000000"/>
              </a:solidFill>
              <a:latin typeface="Verdana"/>
              <a:ea typeface="Verdana"/>
              <a:cs typeface="Verdana"/>
            </a:defRPr>
          </a:pPr>
          <a:endParaRPr lang="en-CY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rgbClr val="558ED5">
          <a:alpha val="49804"/>
        </a:srgb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en-CY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B34D5-EEA9-428F-8665-58FD48F1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3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4577</CharactersWithSpaces>
  <SharedDoc>false</SharedDoc>
  <HLinks>
    <vt:vector size="42" baseType="variant">
      <vt:variant>
        <vt:i4>5177462</vt:i4>
      </vt:variant>
      <vt:variant>
        <vt:i4>12</vt:i4>
      </vt:variant>
      <vt:variant>
        <vt:i4>0</vt:i4>
      </vt:variant>
      <vt:variant>
        <vt:i4>5</vt:i4>
      </vt:variant>
      <vt:variant>
        <vt:lpwstr>mailto:napostolou@cystat.mof.gov.cy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https://www.cystat.gov.cy/el/MethodologicalDetails?m=2195</vt:lpwstr>
      </vt:variant>
      <vt:variant>
        <vt:lpwstr/>
      </vt:variant>
      <vt:variant>
        <vt:i4>4325461</vt:i4>
      </vt:variant>
      <vt:variant>
        <vt:i4>6</vt:i4>
      </vt:variant>
      <vt:variant>
        <vt:i4>0</vt:i4>
      </vt:variant>
      <vt:variant>
        <vt:i4>5</vt:i4>
      </vt:variant>
      <vt:variant>
        <vt:lpwstr>https://www.cystat.gov.cy/el/KeyFiguresList?s=34</vt:lpwstr>
      </vt:variant>
      <vt:variant>
        <vt:lpwstr/>
      </vt:variant>
      <vt:variant>
        <vt:i4>655419</vt:i4>
      </vt:variant>
      <vt:variant>
        <vt:i4>3</vt:i4>
      </vt:variant>
      <vt:variant>
        <vt:i4>0</vt:i4>
      </vt:variant>
      <vt:variant>
        <vt:i4>5</vt:i4>
      </vt:variant>
      <vt:variant>
        <vt:lpwstr>https://cystatdb.cystat.gov.cy/pxweb/el/8.CYSTAT-DB/8.CYSTAT-DB__Energy__</vt:lpwstr>
      </vt:variant>
      <vt:variant>
        <vt:lpwstr/>
      </vt:variant>
      <vt:variant>
        <vt:i4>5111877</vt:i4>
      </vt:variant>
      <vt:variant>
        <vt:i4>0</vt:i4>
      </vt:variant>
      <vt:variant>
        <vt:i4>0</vt:i4>
      </vt:variant>
      <vt:variant>
        <vt:i4>5</vt:i4>
      </vt:variant>
      <vt:variant>
        <vt:lpwstr>https://www.cystat.gov.cy/el/SubthemeStatistics?s=34</vt:lpwstr>
      </vt:variant>
      <vt:variant>
        <vt:lpwstr/>
      </vt:variant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Theodoulou  George</cp:lastModifiedBy>
  <cp:revision>51</cp:revision>
  <cp:lastPrinted>2023-09-27T08:00:00Z</cp:lastPrinted>
  <dcterms:created xsi:type="dcterms:W3CDTF">2023-03-27T10:11:00Z</dcterms:created>
  <dcterms:modified xsi:type="dcterms:W3CDTF">2023-09-27T09:10:00Z</dcterms:modified>
</cp:coreProperties>
</file>