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F846" w14:textId="77777777" w:rsidR="00936E21" w:rsidRPr="005D2AED" w:rsidRDefault="00936E21" w:rsidP="00A12E81">
      <w:pPr>
        <w:jc w:val="center"/>
        <w:rPr>
          <w:rFonts w:ascii="Verdana" w:eastAsia="Malgun Gothic" w:hAnsi="Verdana" w:cs="Arial"/>
          <w:sz w:val="18"/>
          <w:szCs w:val="18"/>
        </w:rPr>
      </w:pPr>
    </w:p>
    <w:p w14:paraId="660893E5" w14:textId="6E87665A" w:rsidR="00163319" w:rsidRPr="00C4568F" w:rsidRDefault="00163319" w:rsidP="00163319">
      <w:pPr>
        <w:jc w:val="right"/>
        <w:rPr>
          <w:rFonts w:ascii="Verdana" w:hAnsi="Verdana" w:cs="Arial"/>
          <w:sz w:val="18"/>
          <w:szCs w:val="18"/>
          <w:lang w:val="el-GR"/>
        </w:rPr>
      </w:pPr>
      <w:bookmarkStart w:id="0" w:name="_Hlk159853228"/>
      <w:r w:rsidRPr="00050EC8">
        <w:rPr>
          <w:rFonts w:ascii="Verdana" w:hAnsi="Verdana" w:cs="Arial"/>
          <w:sz w:val="18"/>
          <w:szCs w:val="18"/>
          <w:lang w:val="el-GR"/>
        </w:rPr>
        <w:t>27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414B61">
        <w:rPr>
          <w:rFonts w:ascii="Verdana" w:hAnsi="Verdana" w:cs="Arial"/>
          <w:sz w:val="18"/>
          <w:szCs w:val="18"/>
          <w:lang w:val="el-GR"/>
        </w:rPr>
        <w:t>Μαρτίου</w:t>
      </w:r>
      <w:r>
        <w:rPr>
          <w:rFonts w:ascii="Verdana" w:hAnsi="Verdana" w:cs="Arial"/>
          <w:sz w:val="18"/>
          <w:szCs w:val="18"/>
          <w:lang w:val="el-GR"/>
        </w:rPr>
        <w:t>, 202</w:t>
      </w:r>
      <w:r w:rsidR="00BE5CDF" w:rsidRPr="00C4568F">
        <w:rPr>
          <w:rFonts w:ascii="Verdana" w:hAnsi="Verdana" w:cs="Arial"/>
          <w:sz w:val="18"/>
          <w:szCs w:val="18"/>
          <w:lang w:val="el-GR"/>
        </w:rPr>
        <w:t>5</w:t>
      </w:r>
    </w:p>
    <w:bookmarkEnd w:id="0"/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5492863B" w:rsidR="00EE3110" w:rsidRPr="00BE5CDF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414B61">
        <w:rPr>
          <w:rFonts w:ascii="Verdana" w:hAnsi="Verdana"/>
          <w:szCs w:val="22"/>
          <w:shd w:val="clear" w:color="auto" w:fill="FFFFFF"/>
        </w:rPr>
        <w:t>ΦΕΒΡ</w:t>
      </w:r>
      <w:r w:rsidR="00163319">
        <w:rPr>
          <w:rFonts w:ascii="Verdana" w:hAnsi="Verdana"/>
          <w:szCs w:val="22"/>
          <w:shd w:val="clear" w:color="auto" w:fill="FFFFFF"/>
        </w:rPr>
        <w:t>ΟΥΑΡΙΟΣ</w:t>
      </w:r>
      <w:r w:rsidR="00163319"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BE5CDF" w:rsidRPr="00BE5CDF">
        <w:rPr>
          <w:rFonts w:ascii="Verdana" w:hAnsi="Verdana"/>
          <w:szCs w:val="22"/>
          <w:shd w:val="clear" w:color="auto" w:fill="FFFFFF"/>
        </w:rPr>
        <w:t>5</w:t>
      </w:r>
    </w:p>
    <w:p w14:paraId="0F92D7EB" w14:textId="77777777" w:rsidR="00FB55A5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2C98B5A5" w14:textId="77777777" w:rsidR="00510C81" w:rsidRPr="009F6337" w:rsidRDefault="00510C81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3A9B1D05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BE5CDF" w:rsidRPr="00BE5CDF">
        <w:rPr>
          <w:rFonts w:ascii="Verdana" w:eastAsia="Malgun Gothic" w:hAnsi="Verdana" w:cs="Arial"/>
          <w:b/>
          <w:bCs/>
          <w:lang w:val="el-GR"/>
        </w:rPr>
        <w:t>-3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BE5CDF" w:rsidRPr="00BE5CDF">
        <w:rPr>
          <w:rFonts w:ascii="Verdana" w:eastAsia="Malgun Gothic" w:hAnsi="Verdana" w:cs="Arial"/>
          <w:b/>
          <w:bCs/>
          <w:lang w:val="el-GR"/>
        </w:rPr>
        <w:t>2</w:t>
      </w:r>
      <w:r w:rsidR="00163319" w:rsidRPr="009F6337">
        <w:rPr>
          <w:rFonts w:ascii="Verdana" w:eastAsia="Malgun Gothic" w:hAnsi="Verdana" w:cs="Arial"/>
          <w:b/>
          <w:bCs/>
          <w:lang w:val="el-GR"/>
        </w:rPr>
        <w:t>%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72FC150" w14:textId="01B88069" w:rsidR="00163319" w:rsidRPr="007C75AF" w:rsidRDefault="00163319" w:rsidP="00A60151">
      <w:pPr>
        <w:ind w:right="-142"/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Φεβρ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ουάριο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BE5CDF" w:rsidRPr="00BE5CDF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1" w:name="_Hlk107213034"/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BE5CDF" w:rsidRPr="00BE5CDF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BE5CDF" w:rsidRPr="00BE5CDF">
        <w:rPr>
          <w:rFonts w:ascii="Verdana" w:hAnsi="Verdana"/>
          <w:sz w:val="18"/>
          <w:szCs w:val="18"/>
          <w:shd w:val="clear" w:color="auto" w:fill="FFFFFF"/>
          <w:lang w:val="el-GR"/>
        </w:rPr>
        <w:t>760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E5CDF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2" w:name="_Hlk107213045"/>
      <w:r w:rsidR="00BE5CDF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E5CDF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2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414B61"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="00414B6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Πτώση σημειώθηκε στις </w:t>
      </w:r>
      <w:r w:rsidR="005C520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 πετρελαίου σε 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5C520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-28</w:t>
      </w:r>
      <w:r w:rsidR="005C520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5C520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5C520C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και σε αεροπλάνα 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8,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%), καθώς και στις πωλήσεις</w:t>
      </w:r>
      <w:r w:rsidR="005C520C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ελαφρού και </w:t>
      </w:r>
      <w:proofErr w:type="spellStart"/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βαρέος</w:t>
      </w:r>
      <w:proofErr w:type="spellEnd"/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μαζούτ (-26,9% και -18,1% αντίστοιχα),</w:t>
      </w:r>
      <w:r w:rsidR="00A60151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ασφάλτου 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-19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5%</w:t>
      </w:r>
      <w:r w:rsidR="005C520C">
        <w:rPr>
          <w:rFonts w:ascii="Verdana" w:hAnsi="Verdana"/>
          <w:sz w:val="18"/>
          <w:szCs w:val="18"/>
          <w:shd w:val="clear" w:color="auto" w:fill="FFFFFF"/>
          <w:lang w:val="el-GR"/>
        </w:rPr>
        <w:t>),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015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-2</w:t>
      </w:r>
      <w:r w:rsidR="00A6015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A6015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πετρελαίου κίνησης </w:t>
      </w:r>
      <w:r w:rsidR="00C4568F" w:rsidRPr="00C4568F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       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(-2,5%). Αντίθετα, άνοδος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καταγράφηκε στις</w:t>
      </w:r>
      <w:r w:rsidR="00A60151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πωλήσεις</w:t>
      </w:r>
      <w:r w:rsidR="00A60151" w:rsidRPr="00414B6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3" w:name="_Hlk193463603"/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60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πετρελαίου θέρμανσης 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36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="00A6015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3"/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και υγραερίου</w:t>
      </w:r>
      <w:r w:rsidR="00A6015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20</w:t>
      </w:r>
      <w:r w:rsidR="00A6015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A60151" w:rsidRPr="007C1738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A60151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A60151">
        <w:rPr>
          <w:rFonts w:ascii="Verdana" w:hAnsi="Verdana"/>
          <w:sz w:val="18"/>
          <w:szCs w:val="18"/>
          <w:shd w:val="clear" w:color="auto" w:fill="FFFFFF"/>
          <w:lang w:val="el-GR"/>
        </w:rPr>
        <w:t>326</w:t>
      </w:r>
      <w:r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7E1810F8" w14:textId="77777777" w:rsidR="00163319" w:rsidRPr="009F6337" w:rsidRDefault="00163319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C894F9F" w14:textId="0771C79C" w:rsidR="00163319" w:rsidRDefault="00163319" w:rsidP="00F56ADA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Φεβρουάριο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Ιανουάριο</w:t>
      </w:r>
      <w:r w:rsidR="008E44F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σημείωσαν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Ενδεικτικά,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οι </w:t>
      </w:r>
      <w:bookmarkStart w:id="4" w:name="_Hlk193464258"/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πωλήσεις </w:t>
      </w:r>
      <w:bookmarkEnd w:id="4"/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42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πετρελαίου θέρμανσης (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28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330D91" w:rsidRP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%) 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μειώθηκαν οι </w:t>
      </w:r>
      <w:r w:rsidR="00330D9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προμήθειες πετρελαίου σε αεροπλάνα</w:t>
      </w:r>
      <w:r w:rsidR="00330D9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(-7,4%) και οι </w:t>
      </w:r>
      <w:r w:rsidR="00B83B6D" w:rsidRPr="00B83B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πωλήσεις 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-5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B83B6D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πετρελαίου κίνησης (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-0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="008E44F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5" w:name="_Hlk106979418"/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Φεβρ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ουαρίου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5"/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E44F1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14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B83B6D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38C455E1" w14:textId="77777777" w:rsidR="00F56ADA" w:rsidRDefault="00F56ADA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4954846" w14:textId="3FF1C473" w:rsidR="00F56ADA" w:rsidRDefault="00F56ADA" w:rsidP="00510C81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Κατά την περίοδο Ιανουαρίου – Φεβρουαρίου 202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πτώση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F56ADA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έτους.</w:t>
      </w:r>
    </w:p>
    <w:p w14:paraId="0A1ABEC2" w14:textId="77777777" w:rsidR="002846E4" w:rsidRDefault="002846E4" w:rsidP="00FB6CBC">
      <w:pPr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DD6D68" w14:textId="219A98A2" w:rsidR="00001B46" w:rsidRDefault="00986A30" w:rsidP="009C0C96">
      <w:pPr>
        <w:jc w:val="center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noProof/>
        </w:rPr>
        <w:drawing>
          <wp:inline distT="0" distB="0" distL="0" distR="0" wp14:anchorId="2630B7B8" wp14:editId="3604E510">
            <wp:extent cx="6029325" cy="3800475"/>
            <wp:effectExtent l="0" t="0" r="9525" b="9525"/>
            <wp:docPr id="13139133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FA697D0-4B1F-6649-7625-242E38FCDB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8628727" w14:textId="77777777" w:rsidR="00001B46" w:rsidRDefault="00001B46" w:rsidP="003C4AD2">
      <w:pPr>
        <w:jc w:val="both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A512B3" w:rsidRPr="00A512B3" w14:paraId="7EA8830E" w14:textId="77777777" w:rsidTr="00A512B3">
        <w:trPr>
          <w:trHeight w:val="284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5B226E3F" w14:textId="5BE49228" w:rsidR="00B065C7" w:rsidRPr="00A512B3" w:rsidRDefault="00A512B3" w:rsidP="00A512B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 1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52EC44EC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4D1CEA00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6949DA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515B5A9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2FB7DCA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8AF1937" w14:textId="73176145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30671BF6" w14:textId="77777777" w:rsidR="00B065C7" w:rsidRPr="00A512B3" w:rsidRDefault="00B065C7" w:rsidP="00B065C7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A512B3" w:rsidRPr="00A512B3" w14:paraId="5B73303F" w14:textId="77777777" w:rsidTr="00A512B3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B8B65C" w14:textId="4BA97EB3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E2E2600" w14:textId="551D75BA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Ολικές Πωλήσεις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07CCB0BA" w14:textId="77777777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B2BFD" w14:textId="6AD4AC94" w:rsidR="00A512B3" w:rsidRPr="00A512B3" w:rsidRDefault="00A512B3" w:rsidP="00A512B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136365" w:rsidRPr="00A512B3" w14:paraId="7DB58FAD" w14:textId="77777777" w:rsidTr="00A31A49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6D0EC896" w14:textId="77777777" w:rsidR="00136365" w:rsidRPr="00A512B3" w:rsidRDefault="00136365" w:rsidP="00136365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6B320B51" w14:textId="49EC33A3" w:rsidR="00136365" w:rsidRPr="00163319" w:rsidRDefault="004F25B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="00136365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9E900C2" w14:textId="7713F9B7" w:rsidR="00136365" w:rsidRPr="00E76FC5" w:rsidRDefault="004F25B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="00136365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ACF06B0" w14:textId="11F6CBEA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366092"/>
              <w:left w:val="nil"/>
              <w:bottom w:val="single" w:sz="4" w:space="0" w:color="366092"/>
              <w:right w:val="nil"/>
            </w:tcBorders>
            <w:shd w:val="clear" w:color="auto" w:fill="auto"/>
            <w:vAlign w:val="center"/>
          </w:tcPr>
          <w:p w14:paraId="734083A6" w14:textId="57F6698B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0A500B8A" w14:textId="77777777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D075EEF" w14:textId="00828436" w:rsidR="00136365" w:rsidRPr="00163319" w:rsidRDefault="004F25BE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</w:t>
            </w:r>
            <w:r w:rsidR="00136365"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="00136365"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5A56E4F" w14:textId="5827B68C" w:rsidR="00136365" w:rsidRPr="008676FA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 w:rsidR="004F25BE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</w:p>
          <w:p w14:paraId="6ED1B264" w14:textId="4002FE93" w:rsidR="00136365" w:rsidRPr="004F25BE" w:rsidRDefault="00136365" w:rsidP="00136365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 w:rsidR="00E76FC5"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E76FC5" w:rsidRPr="00A512B3" w14:paraId="2999919F" w14:textId="77777777" w:rsidTr="00E76FC5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</w:tcBorders>
            <w:vAlign w:val="center"/>
          </w:tcPr>
          <w:p w14:paraId="3955C8AC" w14:textId="189044E4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Αμόλυ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004CD2" w14:textId="56A2E282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24.435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E211" w14:textId="2B656018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25.167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06E7B" w14:textId="6891CB5F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50.210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B4964" w14:textId="3174AB58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49.947   </w:t>
            </w:r>
          </w:p>
        </w:tc>
        <w:tc>
          <w:tcPr>
            <w:tcW w:w="240" w:type="dxa"/>
            <w:vAlign w:val="center"/>
          </w:tcPr>
          <w:p w14:paraId="4ECAA78D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B3999" w14:textId="3907FDEA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D8C3C" w14:textId="079F662C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0,5</w:t>
            </w:r>
          </w:p>
        </w:tc>
      </w:tr>
      <w:tr w:rsidR="00E76FC5" w:rsidRPr="00A512B3" w14:paraId="4331BDB9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0374409B" w14:textId="71AFAE2D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Βενζίνη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Αεροπ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λάνων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DF247F" w14:textId="59D98103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7D9BB" w14:textId="49500A1D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89A40" w14:textId="1A3CC158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24F62" w14:textId="401713B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3   </w:t>
            </w:r>
          </w:p>
        </w:tc>
        <w:tc>
          <w:tcPr>
            <w:tcW w:w="240" w:type="dxa"/>
            <w:vAlign w:val="center"/>
          </w:tcPr>
          <w:p w14:paraId="188C9D65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D0B" w14:textId="13C90040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E8BB1" w14:textId="2FEA1D60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0,0</w:t>
            </w:r>
          </w:p>
        </w:tc>
      </w:tr>
      <w:tr w:rsidR="00E76FC5" w:rsidRPr="00A512B3" w14:paraId="5BAE1F70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6648336E" w14:textId="7BB9DBE5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Αεροπ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λάνων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E9E45D" w14:textId="524D4C3E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12.568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C914" w14:textId="1E814A83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13.695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109DD" w14:textId="627CB739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26.137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43807" w14:textId="0F1C0BA8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28.094   </w:t>
            </w:r>
          </w:p>
        </w:tc>
        <w:tc>
          <w:tcPr>
            <w:tcW w:w="240" w:type="dxa"/>
            <w:vAlign w:val="center"/>
          </w:tcPr>
          <w:p w14:paraId="533818C5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64F17" w14:textId="17123BF5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-8,2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0A70" w14:textId="6D430C19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-7,0</w:t>
            </w:r>
          </w:p>
        </w:tc>
      </w:tr>
      <w:tr w:rsidR="00E76FC5" w:rsidRPr="00A512B3" w14:paraId="30C46F67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41F8E0BB" w14:textId="2435E198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D245FF" w14:textId="5BED5F6B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2.857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3F5DE" w14:textId="0B0290D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1.780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C2243" w14:textId="7465FB95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4.865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2B4D" w14:textId="24EB521E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3.827   </w:t>
            </w:r>
          </w:p>
        </w:tc>
        <w:tc>
          <w:tcPr>
            <w:tcW w:w="240" w:type="dxa"/>
            <w:vAlign w:val="center"/>
          </w:tcPr>
          <w:p w14:paraId="6D6076D0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DCF9" w14:textId="286C83B0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60,5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2188B" w14:textId="5E0CFF07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27,1</w:t>
            </w:r>
          </w:p>
        </w:tc>
      </w:tr>
      <w:tr w:rsidR="00E76FC5" w:rsidRPr="00A512B3" w14:paraId="6282D3DC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7AF29343" w14:textId="421C525F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708712B" w14:textId="64C8D866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26.376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A53F7" w14:textId="33E4C61F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27.048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4004D" w14:textId="6697E13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52.931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C4E15" w14:textId="79555257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53.111   </w:t>
            </w:r>
          </w:p>
        </w:tc>
        <w:tc>
          <w:tcPr>
            <w:tcW w:w="240" w:type="dxa"/>
            <w:vAlign w:val="center"/>
          </w:tcPr>
          <w:p w14:paraId="268A22F5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C59BD" w14:textId="352173F7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B86E4" w14:textId="1A605965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-0,3</w:t>
            </w:r>
          </w:p>
        </w:tc>
      </w:tr>
      <w:tr w:rsidR="00E76FC5" w:rsidRPr="00A512B3" w14:paraId="3A516C41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500682A7" w14:textId="5390CB4C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Γεωργικό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CF1171" w14:textId="3F0E8E8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1.819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CEE8C" w14:textId="69BA6694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1.400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84A2C" w14:textId="66D172FC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3.542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2679B" w14:textId="6BB0B862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2.927   </w:t>
            </w:r>
          </w:p>
        </w:tc>
        <w:tc>
          <w:tcPr>
            <w:tcW w:w="240" w:type="dxa"/>
            <w:vAlign w:val="center"/>
          </w:tcPr>
          <w:p w14:paraId="708AEFC1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D752F" w14:textId="53DEC756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29,9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557AD" w14:textId="12555368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21,0</w:t>
            </w:r>
          </w:p>
        </w:tc>
      </w:tr>
      <w:tr w:rsidR="00E76FC5" w:rsidRPr="00A512B3" w14:paraId="7700459A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60B2BC5F" w14:textId="74D3F2B4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αιο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Θέρμ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F182A5" w14:textId="591851B2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13.997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DD0A1" w14:textId="2D446D89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10.245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97E6A" w14:textId="4CCBC51F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24.923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37EC1" w14:textId="3E981F6E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20.928   </w:t>
            </w:r>
          </w:p>
        </w:tc>
        <w:tc>
          <w:tcPr>
            <w:tcW w:w="240" w:type="dxa"/>
            <w:vAlign w:val="center"/>
          </w:tcPr>
          <w:p w14:paraId="7085D362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26836" w14:textId="78139EA9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36,6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4BF01" w14:textId="4E82E7EA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19,1</w:t>
            </w:r>
          </w:p>
        </w:tc>
      </w:tr>
      <w:tr w:rsidR="00E76FC5" w:rsidRPr="00A512B3" w14:paraId="5310E4E0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607B26A5" w14:textId="0212EA44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Πετρέλ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αιο Να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υτιλί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8671F6" w14:textId="65D2F5FC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6.941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EEB66" w14:textId="016ED2AB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9.677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95371" w14:textId="477487FF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12.689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2D00C" w14:textId="6CA0B42D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15.856   </w:t>
            </w:r>
          </w:p>
        </w:tc>
        <w:tc>
          <w:tcPr>
            <w:tcW w:w="240" w:type="dxa"/>
            <w:vAlign w:val="center"/>
          </w:tcPr>
          <w:p w14:paraId="2111258D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42677" w14:textId="39D1E0F2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-28,3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46F5C" w14:textId="3D7E1209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-20,0</w:t>
            </w:r>
          </w:p>
        </w:tc>
      </w:tr>
      <w:tr w:rsidR="00E76FC5" w:rsidRPr="00A512B3" w14:paraId="7E25CAB5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4A295804" w14:textId="2AB1E462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Ελ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αφρύ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2267D9" w14:textId="1ADE099C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10.984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B3DE" w14:textId="104D7F64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15.023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22CA" w14:textId="55AA70AE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20.105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682BE" w14:textId="65E01908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29.451   </w:t>
            </w:r>
          </w:p>
        </w:tc>
        <w:tc>
          <w:tcPr>
            <w:tcW w:w="240" w:type="dxa"/>
            <w:vAlign w:val="center"/>
          </w:tcPr>
          <w:p w14:paraId="37CA3D84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611A" w14:textId="55FD36BA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-26,9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4177C" w14:textId="469A5FD2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-31,7</w:t>
            </w:r>
          </w:p>
        </w:tc>
      </w:tr>
      <w:tr w:rsidR="00E76FC5" w:rsidRPr="00A512B3" w14:paraId="307F9748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0ADE79B8" w14:textId="0593477E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Βα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ρύ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 Μα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3F033FB" w14:textId="1F3A429B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1.290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6D724" w14:textId="17026077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1.576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0F8" w14:textId="6DF64764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2.216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5C054" w14:textId="3B20D95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2.503   </w:t>
            </w:r>
          </w:p>
        </w:tc>
        <w:tc>
          <w:tcPr>
            <w:tcW w:w="240" w:type="dxa"/>
            <w:vAlign w:val="center"/>
          </w:tcPr>
          <w:p w14:paraId="6D2C0603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05405" w14:textId="565328CC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-18,1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272C" w14:textId="721E26C1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-11,5</w:t>
            </w:r>
          </w:p>
        </w:tc>
      </w:tr>
      <w:tr w:rsidR="00E76FC5" w:rsidRPr="00A512B3" w14:paraId="221F0016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29DB65E5" w14:textId="7E2A669D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 xml:space="preserve">παντικά </w:t>
            </w: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Λάδι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E0D9A2" w14:textId="35690091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243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9F4B8" w14:textId="0CA662CD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249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FAA7" w14:textId="5079BA11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520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5C145" w14:textId="0E6EEEF4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490   </w:t>
            </w:r>
          </w:p>
        </w:tc>
        <w:tc>
          <w:tcPr>
            <w:tcW w:w="240" w:type="dxa"/>
            <w:vAlign w:val="center"/>
          </w:tcPr>
          <w:p w14:paraId="1CFACF60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43D6C" w14:textId="659D239F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-2,4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2B68" w14:textId="55F9A477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6,1</w:t>
            </w:r>
          </w:p>
        </w:tc>
      </w:tr>
      <w:tr w:rsidR="00E76FC5" w:rsidRPr="00A512B3" w14:paraId="73114908" w14:textId="77777777" w:rsidTr="00E76FC5">
        <w:trPr>
          <w:trHeight w:val="397"/>
          <w:jc w:val="center"/>
        </w:trPr>
        <w:tc>
          <w:tcPr>
            <w:tcW w:w="2367" w:type="dxa"/>
            <w:vAlign w:val="center"/>
          </w:tcPr>
          <w:p w14:paraId="1A531487" w14:textId="3BAF9DEE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Άσφ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αλτος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0472BEE" w14:textId="1A311350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2.610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CF55E" w14:textId="1794461E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3.243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E01ED" w14:textId="31BA21BD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5.642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C9CBE" w14:textId="29CD68CB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5.233   </w:t>
            </w:r>
          </w:p>
        </w:tc>
        <w:tc>
          <w:tcPr>
            <w:tcW w:w="240" w:type="dxa"/>
            <w:vAlign w:val="center"/>
          </w:tcPr>
          <w:p w14:paraId="59DA467D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EEFB" w14:textId="2D5645F2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-19,5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DDF03" w14:textId="0A6F9A20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7,8</w:t>
            </w:r>
          </w:p>
        </w:tc>
      </w:tr>
      <w:tr w:rsidR="00E76FC5" w:rsidRPr="00A512B3" w14:paraId="06E2A767" w14:textId="77777777" w:rsidTr="00E76FC5">
        <w:trPr>
          <w:trHeight w:val="397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92BBB07" w14:textId="5B4A87E7" w:rsidR="00E76FC5" w:rsidRPr="00A512B3" w:rsidRDefault="00E76FC5" w:rsidP="00E76FC5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Υγρ</w:t>
            </w:r>
            <w:proofErr w:type="spellEnd"/>
            <w:r w:rsidRPr="00A512B3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αέριο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1DB2F6F4" w14:textId="7622456B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7.638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5B8A868" w14:textId="4DF60F33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6.316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219FB5" w14:textId="0C8294F4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14.529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F8BB65" w14:textId="7268F21A" w:rsidR="00E76FC5" w:rsidRPr="00E76FC5" w:rsidRDefault="00E76FC5" w:rsidP="00E76FC5">
            <w:pPr>
              <w:jc w:val="right"/>
              <w:rPr>
                <w:color w:val="2F5496"/>
              </w:rPr>
            </w:pPr>
            <w:r w:rsidRPr="00E76FC5">
              <w:rPr>
                <w:color w:val="2F5496"/>
              </w:rPr>
              <w:t xml:space="preserve"> 12.761   </w:t>
            </w:r>
          </w:p>
        </w:tc>
        <w:tc>
          <w:tcPr>
            <w:tcW w:w="240" w:type="dxa"/>
            <w:vAlign w:val="center"/>
          </w:tcPr>
          <w:p w14:paraId="15D5B0B9" w14:textId="77777777" w:rsidR="00E76FC5" w:rsidRPr="00A512B3" w:rsidRDefault="00E76FC5" w:rsidP="00E76FC5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39E6F5" w14:textId="070A9370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20,9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15E39F8" w14:textId="58C90B22" w:rsidR="00E76FC5" w:rsidRPr="00E76FC5" w:rsidRDefault="00E76FC5" w:rsidP="00E76FC5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E76FC5">
              <w:rPr>
                <w:rFonts w:ascii="Verdana" w:hAnsi="Verdana" w:cs="Arial"/>
                <w:color w:val="2F5496"/>
                <w:sz w:val="18"/>
                <w:szCs w:val="18"/>
              </w:rPr>
              <w:t>13,9</w:t>
            </w:r>
          </w:p>
        </w:tc>
      </w:tr>
      <w:tr w:rsidR="004F25BE" w:rsidRPr="00A512B3" w14:paraId="131C3CBA" w14:textId="77777777" w:rsidTr="004F25BE">
        <w:trPr>
          <w:trHeight w:val="397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B45FA09" w14:textId="77777777" w:rsidR="004F25BE" w:rsidRDefault="004F25BE" w:rsidP="004F25BE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  <w:p w14:paraId="71C3D9BC" w14:textId="5D0606F6" w:rsidR="004F25BE" w:rsidRDefault="004F25BE" w:rsidP="004F25BE">
            <w:pPr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Σύνολο    </w:t>
            </w:r>
          </w:p>
          <w:p w14:paraId="403CD8C2" w14:textId="554C9DF4" w:rsidR="004F25BE" w:rsidRPr="004F25BE" w:rsidRDefault="004F25BE" w:rsidP="004F25BE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954691C" w14:textId="27B8214A" w:rsidR="004F25BE" w:rsidRPr="00A512B3" w:rsidRDefault="00E76FC5" w:rsidP="004F25BE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76FC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111.760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65140D2" w14:textId="45169831" w:rsidR="004F25BE" w:rsidRPr="00A512B3" w:rsidRDefault="00E76FC5" w:rsidP="004F25BE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D30B8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115.421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630969F" w14:textId="705E63FD" w:rsidR="004F25BE" w:rsidRPr="00A512B3" w:rsidRDefault="00E76FC5" w:rsidP="004F25BE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E76FC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218.312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10F45E6" w14:textId="39099490" w:rsidR="004F25BE" w:rsidRPr="00A512B3" w:rsidRDefault="00E76FC5" w:rsidP="004F25BE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D30B8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225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.</w:t>
            </w:r>
            <w:r w:rsidRPr="00D30B84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131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F50A5DC" w14:textId="77777777" w:rsidR="004F25BE" w:rsidRPr="00A512B3" w:rsidRDefault="004F25BE" w:rsidP="004F25BE">
            <w:pPr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1F97739" w14:textId="123C1DE4" w:rsidR="004F25BE" w:rsidRPr="00E76FC5" w:rsidRDefault="00E76FC5" w:rsidP="004F25BE">
            <w:pPr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-3</w:t>
            </w:r>
            <w:r w:rsidR="004F25BE"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,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A5FAA7D" w14:textId="27535E9D" w:rsidR="004F25BE" w:rsidRPr="00531E88" w:rsidRDefault="00E76FC5" w:rsidP="004F25BE">
            <w:pPr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-</w:t>
            </w:r>
            <w:r w:rsidR="004F25BE"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3,0</w:t>
            </w:r>
          </w:p>
        </w:tc>
      </w:tr>
    </w:tbl>
    <w:p w14:paraId="4690FB2F" w14:textId="4CAD60FA" w:rsidR="00E21894" w:rsidRDefault="00E21894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BAFBEA3" w14:textId="77777777" w:rsidR="003C4AD2" w:rsidRPr="00B065C7" w:rsidRDefault="003C4AD2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1CD5888" w14:textId="77777777" w:rsidR="00B065C7" w:rsidRPr="003C4AD2" w:rsidRDefault="00B065C7" w:rsidP="003C4AD2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Style w:val="TableGrid"/>
        <w:tblW w:w="101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1097"/>
        <w:gridCol w:w="1096"/>
        <w:gridCol w:w="1269"/>
        <w:gridCol w:w="1269"/>
        <w:gridCol w:w="240"/>
        <w:gridCol w:w="1400"/>
        <w:gridCol w:w="1400"/>
      </w:tblGrid>
      <w:tr w:rsidR="003C4AD2" w:rsidRPr="00A512B3" w14:paraId="5338DCD2" w14:textId="77777777" w:rsidTr="008676FA">
        <w:trPr>
          <w:trHeight w:val="411"/>
          <w:jc w:val="center"/>
        </w:trPr>
        <w:tc>
          <w:tcPr>
            <w:tcW w:w="2367" w:type="dxa"/>
            <w:tcBorders>
              <w:bottom w:val="single" w:sz="4" w:space="0" w:color="2F5496" w:themeColor="accent1" w:themeShade="BF"/>
            </w:tcBorders>
            <w:vAlign w:val="center"/>
          </w:tcPr>
          <w:p w14:paraId="7E7C20DF" w14:textId="2E37B75D" w:rsidR="003C4AD2" w:rsidRPr="00A512B3" w:rsidRDefault="003C4AD2" w:rsidP="00EB6A33">
            <w:pPr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 xml:space="preserve">Πίνακας </w:t>
            </w:r>
            <w:r w:rsidR="00BB6216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2</w:t>
            </w:r>
          </w:p>
        </w:tc>
        <w:tc>
          <w:tcPr>
            <w:tcW w:w="1097" w:type="dxa"/>
            <w:tcBorders>
              <w:bottom w:val="single" w:sz="4" w:space="0" w:color="2F5496" w:themeColor="accent1" w:themeShade="BF"/>
            </w:tcBorders>
          </w:tcPr>
          <w:p w14:paraId="7B06046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6" w:type="dxa"/>
            <w:tcBorders>
              <w:bottom w:val="single" w:sz="4" w:space="0" w:color="2F5496" w:themeColor="accent1" w:themeShade="BF"/>
            </w:tcBorders>
          </w:tcPr>
          <w:p w14:paraId="30E37A6C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21DC5216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269" w:type="dxa"/>
            <w:tcBorders>
              <w:bottom w:val="single" w:sz="4" w:space="0" w:color="2F5496" w:themeColor="accent1" w:themeShade="BF"/>
            </w:tcBorders>
          </w:tcPr>
          <w:p w14:paraId="1C45C919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C4072EA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F8542A4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bottom w:val="single" w:sz="4" w:space="0" w:color="2F5496" w:themeColor="accent1" w:themeShade="BF"/>
            </w:tcBorders>
          </w:tcPr>
          <w:p w14:paraId="065A59EF" w14:textId="77777777" w:rsidR="003C4AD2" w:rsidRPr="00A512B3" w:rsidRDefault="003C4AD2" w:rsidP="00EB6A33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3C4AD2" w:rsidRPr="00A512B3" w14:paraId="32ADF5E5" w14:textId="77777777" w:rsidTr="00510C81">
        <w:trPr>
          <w:trHeight w:val="510"/>
          <w:jc w:val="center"/>
        </w:trPr>
        <w:tc>
          <w:tcPr>
            <w:tcW w:w="2367" w:type="dxa"/>
            <w:vMerge w:val="restart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477C4A91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Προϊόντα</w:t>
            </w:r>
          </w:p>
        </w:tc>
        <w:tc>
          <w:tcPr>
            <w:tcW w:w="4731" w:type="dxa"/>
            <w:gridSpan w:val="4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457432" w14:textId="27F34523" w:rsidR="003C4AD2" w:rsidRPr="008676FA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Πωλήσεις από Πρατήρια Πετρελαιοειδών (τόνοι)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31875BA3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30D33BE8" w14:textId="77777777" w:rsidR="003C4AD2" w:rsidRPr="00A512B3" w:rsidRDefault="003C4AD2" w:rsidP="00EB6A33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  <w:t>Ποσοστιαία Μεταβολή (%)</w:t>
            </w:r>
          </w:p>
        </w:tc>
      </w:tr>
      <w:tr w:rsidR="00F56ADA" w:rsidRPr="00A512B3" w14:paraId="78297752" w14:textId="77777777" w:rsidTr="00510C81">
        <w:trPr>
          <w:trHeight w:val="624"/>
          <w:jc w:val="center"/>
        </w:trPr>
        <w:tc>
          <w:tcPr>
            <w:tcW w:w="2367" w:type="dxa"/>
            <w:vMerge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</w:tcPr>
          <w:p w14:paraId="56BF1806" w14:textId="77777777" w:rsidR="00F56ADA" w:rsidRPr="00A512B3" w:rsidRDefault="00F56ADA" w:rsidP="00F56ADA">
            <w:pPr>
              <w:jc w:val="both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C09831B" w14:textId="3D9EF61D" w:rsidR="00F56ADA" w:rsidRPr="008676FA" w:rsidRDefault="00F56ADA" w:rsidP="00F56AD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F7965A" w14:textId="4416F15A" w:rsidR="00F56ADA" w:rsidRPr="008676FA" w:rsidRDefault="00F56ADA" w:rsidP="00F56AD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br/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C4FB1C5" w14:textId="0F3C0968" w:rsidR="00F56ADA" w:rsidRPr="008676FA" w:rsidRDefault="00F56ADA" w:rsidP="00F56AD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8639973" w14:textId="25603E25" w:rsidR="00F56ADA" w:rsidRPr="008676FA" w:rsidRDefault="00F56ADA" w:rsidP="00F56AD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                   </w:t>
            </w:r>
          </w:p>
        </w:tc>
        <w:tc>
          <w:tcPr>
            <w:tcW w:w="240" w:type="dxa"/>
            <w:vAlign w:val="center"/>
          </w:tcPr>
          <w:p w14:paraId="6002A42C" w14:textId="77777777" w:rsidR="00F56ADA" w:rsidRPr="00A512B3" w:rsidRDefault="00F56ADA" w:rsidP="00F56ADA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61D9656" w14:textId="40AD9A27" w:rsidR="00F56ADA" w:rsidRPr="00A512B3" w:rsidRDefault="00F56ADA" w:rsidP="00F56ADA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 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24EDADD" w14:textId="77777777" w:rsidR="00F56ADA" w:rsidRPr="008676FA" w:rsidRDefault="00F56ADA" w:rsidP="00F56ADA">
            <w:pPr>
              <w:jc w:val="center"/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 xml:space="preserve">Ιαν - 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Φεβ</w:t>
            </w:r>
          </w:p>
          <w:p w14:paraId="4DDED1F5" w14:textId="762F148B" w:rsidR="00F56ADA" w:rsidRPr="00A512B3" w:rsidRDefault="00F56ADA" w:rsidP="00F56ADA">
            <w:pPr>
              <w:jc w:val="center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5</w:t>
            </w:r>
            <w:r w:rsidRPr="008676FA"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/202</w:t>
            </w: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</w:p>
        </w:tc>
      </w:tr>
      <w:tr w:rsidR="0027564D" w:rsidRPr="00A512B3" w14:paraId="73A005CA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38464" w14:textId="4EA89DC7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Βενζίνη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Αμόλυ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βδη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28AD70D" w14:textId="56A24956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24.245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90F0C" w14:textId="11019A3A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24.974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32CFC" w14:textId="10005006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49.869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690E" w14:textId="6EEA85E6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49.520   </w:t>
            </w:r>
          </w:p>
        </w:tc>
        <w:tc>
          <w:tcPr>
            <w:tcW w:w="240" w:type="dxa"/>
            <w:vAlign w:val="center"/>
          </w:tcPr>
          <w:p w14:paraId="2E78300E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85297" w14:textId="4D2AAC7C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-2,9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54BF7" w14:textId="0B7097E2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0,7</w:t>
            </w:r>
          </w:p>
        </w:tc>
      </w:tr>
      <w:tr w:rsidR="0027564D" w:rsidRPr="00A512B3" w14:paraId="3359A9A7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1F9E5" w14:textId="66E194E6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Κηροζίνη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AF50" w14:textId="7B575860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2.107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E8A31" w14:textId="01CAAE39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1.355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87CFF" w14:textId="77278EC5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3.600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044EF" w14:textId="7B453D12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2.934   </w:t>
            </w:r>
          </w:p>
        </w:tc>
        <w:tc>
          <w:tcPr>
            <w:tcW w:w="240" w:type="dxa"/>
            <w:vAlign w:val="center"/>
          </w:tcPr>
          <w:p w14:paraId="3841803B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13791" w14:textId="2727CA71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55,5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D913D" w14:textId="31EB62B6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22,7</w:t>
            </w:r>
          </w:p>
        </w:tc>
      </w:tr>
      <w:tr w:rsidR="0027564D" w:rsidRPr="00A512B3" w14:paraId="11FA7332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E3301" w14:textId="1877675B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Κίνησης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E875DD8" w14:textId="2F1EF4CE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20.765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EEF4" w14:textId="57F90200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21.818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6C50F" w14:textId="3E74CBFE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42.137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8FB0" w14:textId="43F2AE4D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42.343   </w:t>
            </w:r>
          </w:p>
        </w:tc>
        <w:tc>
          <w:tcPr>
            <w:tcW w:w="240" w:type="dxa"/>
            <w:vAlign w:val="center"/>
          </w:tcPr>
          <w:p w14:paraId="3A0F3877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60BC9" w14:textId="04EA7948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-4,8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2711" w14:textId="2F97EC48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-0,5</w:t>
            </w:r>
          </w:p>
        </w:tc>
      </w:tr>
      <w:tr w:rsidR="0027564D" w:rsidRPr="00A512B3" w14:paraId="5E059E6A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20B99" w14:textId="19969EDB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Γεωργικό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αιο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23BC88" w14:textId="69166295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1.264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47FFB" w14:textId="5C45A532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951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E7A1A" w14:textId="7205BA3E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2.362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20F3" w14:textId="4898971C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2.015   </w:t>
            </w:r>
          </w:p>
        </w:tc>
        <w:tc>
          <w:tcPr>
            <w:tcW w:w="240" w:type="dxa"/>
            <w:vAlign w:val="center"/>
          </w:tcPr>
          <w:p w14:paraId="2FEFB42A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F7757" w14:textId="0DB0EBA5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32,9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21468" w14:textId="376500E4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17,2</w:t>
            </w:r>
          </w:p>
        </w:tc>
      </w:tr>
      <w:tr w:rsidR="0027564D" w:rsidRPr="00A512B3" w14:paraId="2BAA46A5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3109" w14:textId="79E6BEC6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Πετρέλ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αιο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Θέρμ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ανσης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B4E8A9" w14:textId="48644EDB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8.807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E4C52" w14:textId="59C84814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6.680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2D716" w14:textId="5D62DB20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15.593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0CAF" w14:textId="455AA7FC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13.452   </w:t>
            </w:r>
          </w:p>
        </w:tc>
        <w:tc>
          <w:tcPr>
            <w:tcW w:w="240" w:type="dxa"/>
            <w:vAlign w:val="center"/>
          </w:tcPr>
          <w:p w14:paraId="71FD570F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1D137" w14:textId="02B8C179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31,8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3DAB6" w14:textId="1158DF8E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15,9</w:t>
            </w:r>
          </w:p>
        </w:tc>
      </w:tr>
      <w:tr w:rsidR="0027564D" w:rsidRPr="00A512B3" w14:paraId="04933586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4E934" w14:textId="3D5F55AA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Ελ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αφρύ Μα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ζούτ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05351BF" w14:textId="7A2DD0AB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42  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EEC4" w14:textId="23897BFD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34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BC200" w14:textId="2EB4FF4C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87  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E49F4" w14:textId="1839FA62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77   </w:t>
            </w:r>
          </w:p>
        </w:tc>
        <w:tc>
          <w:tcPr>
            <w:tcW w:w="240" w:type="dxa"/>
            <w:vAlign w:val="center"/>
          </w:tcPr>
          <w:p w14:paraId="0917C1DA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4821D" w14:textId="1D5E09A9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23,5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07C08" w14:textId="510A3859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13,0</w:t>
            </w:r>
          </w:p>
        </w:tc>
      </w:tr>
      <w:tr w:rsidR="0027564D" w:rsidRPr="00A512B3" w14:paraId="30CA887F" w14:textId="77777777" w:rsidTr="0027564D">
        <w:trPr>
          <w:trHeight w:val="397"/>
          <w:jc w:val="center"/>
        </w:trPr>
        <w:tc>
          <w:tcPr>
            <w:tcW w:w="236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E78F766" w14:textId="69A611BE" w:rsidR="0027564D" w:rsidRPr="00A512B3" w:rsidRDefault="0027564D" w:rsidP="0027564D">
            <w:pPr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 xml:space="preserve">παντικά </w:t>
            </w:r>
            <w:proofErr w:type="spellStart"/>
            <w:r>
              <w:rPr>
                <w:rFonts w:ascii="Verdana" w:hAnsi="Verdana" w:cs="Arial"/>
                <w:color w:val="2F5496"/>
                <w:sz w:val="18"/>
                <w:szCs w:val="18"/>
              </w:rPr>
              <w:t>Λάδι</w:t>
            </w:r>
            <w:proofErr w:type="spellEnd"/>
            <w:r>
              <w:rPr>
                <w:rFonts w:ascii="Verdana" w:hAnsi="Verdana" w:cs="Arial"/>
                <w:color w:val="2F5496"/>
                <w:sz w:val="18"/>
                <w:szCs w:val="18"/>
              </w:rPr>
              <w:t>α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000000" w:fill="FFFFFF"/>
            <w:vAlign w:val="center"/>
          </w:tcPr>
          <w:p w14:paraId="21B7D3DB" w14:textId="6204E14F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96 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4473D32" w14:textId="0F9AC83D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97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C036953" w14:textId="6D80E9A5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196  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9EC7DE8" w14:textId="0B5D45B2" w:rsidR="0027564D" w:rsidRPr="00F56ADA" w:rsidRDefault="0027564D" w:rsidP="0027564D">
            <w:pPr>
              <w:jc w:val="right"/>
              <w:rPr>
                <w:color w:val="2F5496"/>
              </w:rPr>
            </w:pPr>
            <w:r w:rsidRPr="00F56ADA">
              <w:rPr>
                <w:color w:val="2F5496"/>
              </w:rPr>
              <w:t xml:space="preserve"> 203   </w:t>
            </w:r>
          </w:p>
        </w:tc>
        <w:tc>
          <w:tcPr>
            <w:tcW w:w="240" w:type="dxa"/>
            <w:vAlign w:val="center"/>
          </w:tcPr>
          <w:p w14:paraId="50A6DE35" w14:textId="77777777" w:rsidR="0027564D" w:rsidRPr="00A512B3" w:rsidRDefault="0027564D" w:rsidP="0027564D">
            <w:pPr>
              <w:jc w:val="right"/>
              <w:rPr>
                <w:rFonts w:ascii="Verdana" w:hAnsi="Verdana"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CA7888C" w14:textId="4D8A5555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-1,0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22E2EEA" w14:textId="2FBEE0DE" w:rsidR="0027564D" w:rsidRPr="0027564D" w:rsidRDefault="0027564D" w:rsidP="0027564D">
            <w:pPr>
              <w:ind w:right="397"/>
              <w:jc w:val="right"/>
              <w:rPr>
                <w:rFonts w:ascii="Verdana" w:hAnsi="Verdana" w:cs="Arial"/>
                <w:color w:val="2F5496"/>
                <w:sz w:val="18"/>
                <w:szCs w:val="18"/>
              </w:rPr>
            </w:pPr>
            <w:r w:rsidRPr="0027564D">
              <w:rPr>
                <w:rFonts w:ascii="Verdana" w:hAnsi="Verdana" w:cs="Arial"/>
                <w:color w:val="2F5496"/>
                <w:sz w:val="18"/>
                <w:szCs w:val="18"/>
              </w:rPr>
              <w:t>-3,4</w:t>
            </w:r>
          </w:p>
        </w:tc>
      </w:tr>
      <w:tr w:rsidR="004F25BE" w:rsidRPr="00A512B3" w14:paraId="7697036F" w14:textId="77777777" w:rsidTr="003B0DC2">
        <w:trPr>
          <w:trHeight w:val="608"/>
          <w:jc w:val="center"/>
        </w:trPr>
        <w:tc>
          <w:tcPr>
            <w:tcW w:w="23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4E34088" w14:textId="77777777" w:rsidR="004F25BE" w:rsidRPr="00A512B3" w:rsidRDefault="004F25BE" w:rsidP="004F25BE">
            <w:pPr>
              <w:spacing w:before="240" w:after="240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A512B3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 xml:space="preserve">Σύνολο    </w:t>
            </w:r>
          </w:p>
        </w:tc>
        <w:tc>
          <w:tcPr>
            <w:tcW w:w="109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D2F9DC9" w14:textId="25568227" w:rsidR="004F25BE" w:rsidRPr="00163319" w:rsidRDefault="004F25BE" w:rsidP="004F25BE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5</w:t>
            </w:r>
            <w:r w:rsidR="00F56AD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7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</w:t>
            </w:r>
            <w:r w:rsidR="00F56AD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326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</w:t>
            </w:r>
          </w:p>
        </w:tc>
        <w:tc>
          <w:tcPr>
            <w:tcW w:w="1096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6C515F1" w14:textId="33EEC56D" w:rsidR="004F25BE" w:rsidRPr="00163319" w:rsidRDefault="004F25BE" w:rsidP="004F25BE">
            <w:pPr>
              <w:spacing w:before="240" w:after="240"/>
              <w:jc w:val="right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F56ADA" w:rsidRPr="00F56AD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55.909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71E78402" w14:textId="7C2692C9" w:rsidR="004F25BE" w:rsidRPr="00A512B3" w:rsidRDefault="004F25BE" w:rsidP="004F25BE">
            <w:pPr>
              <w:spacing w:before="240" w:after="240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11</w:t>
            </w:r>
            <w:r w:rsidR="00F56AD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3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.</w:t>
            </w:r>
            <w:r w:rsidR="00F56ADA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8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44   </w:t>
            </w:r>
          </w:p>
        </w:tc>
        <w:tc>
          <w:tcPr>
            <w:tcW w:w="126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9C0292D" w14:textId="280CBF5B" w:rsidR="004F25BE" w:rsidRPr="00A512B3" w:rsidRDefault="004F25BE" w:rsidP="004F25BE">
            <w:pPr>
              <w:spacing w:before="240" w:after="240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F56ADA"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110.544   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BF88548" w14:textId="77777777" w:rsidR="004F25BE" w:rsidRPr="00A512B3" w:rsidRDefault="004F25BE" w:rsidP="004F25BE">
            <w:pPr>
              <w:spacing w:before="240" w:after="240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1DDE24" w14:textId="4D6FC66E" w:rsidR="004F25BE" w:rsidRPr="00163319" w:rsidRDefault="004F25BE" w:rsidP="004F25BE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27564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</w:t>
            </w:r>
            <w:r w:rsidR="00CA709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,</w:t>
            </w:r>
            <w:r w:rsidR="0027564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5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</w:t>
            </w:r>
          </w:p>
        </w:tc>
        <w:tc>
          <w:tcPr>
            <w:tcW w:w="1400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DFF3C1" w14:textId="5C47D6CC" w:rsidR="004F25BE" w:rsidRPr="00A512B3" w:rsidRDefault="004F25BE" w:rsidP="004F25BE">
            <w:pPr>
              <w:spacing w:before="240" w:after="240"/>
              <w:ind w:right="397"/>
              <w:jc w:val="right"/>
              <w:rPr>
                <w:rFonts w:ascii="Verdana" w:hAnsi="Verdana"/>
                <w:b/>
                <w:bCs/>
                <w:noProof/>
                <w:color w:val="2F5496" w:themeColor="accent1" w:themeShade="BF"/>
                <w:sz w:val="18"/>
                <w:szCs w:val="18"/>
                <w:lang w:val="el-GR"/>
              </w:rPr>
            </w:pP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  <w:r w:rsidR="00CA709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3,</w:t>
            </w:r>
            <w:r w:rsidR="0027564D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0</w:t>
            </w:r>
            <w:r w:rsidRPr="00593DA3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  </w:t>
            </w:r>
          </w:p>
        </w:tc>
      </w:tr>
    </w:tbl>
    <w:p w14:paraId="3C3F793B" w14:textId="77777777" w:rsidR="003C4AD2" w:rsidRPr="003C4AD2" w:rsidRDefault="003C4AD2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</w:rPr>
      </w:pPr>
    </w:p>
    <w:p w14:paraId="407D54F5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5E6B41EC" w14:textId="77777777" w:rsid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DBE68AE" w14:textId="77777777" w:rsidR="009C0C96" w:rsidRDefault="009C0C96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751AB087" w14:textId="77777777" w:rsidR="00510C81" w:rsidRPr="00510C81" w:rsidRDefault="00510C81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68755B2B" w14:textId="77777777" w:rsidR="00163319" w:rsidRDefault="00163319" w:rsidP="00510C81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u w:val="single"/>
          <w:lang w:val="el-GR"/>
        </w:rPr>
      </w:pPr>
    </w:p>
    <w:p w14:paraId="797CE836" w14:textId="7937714F" w:rsidR="00FB55A5" w:rsidRPr="00136365" w:rsidRDefault="00FB55A5" w:rsidP="003C4AD2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3C4AD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47E550AF" w14:textId="77777777" w:rsidR="00FB55A5" w:rsidRPr="003C4AD2" w:rsidRDefault="00FB55A5" w:rsidP="003C4AD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C9155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Pr="00C91550">
        <w:rPr>
          <w:rFonts w:ascii="Verdana" w:hAnsi="Verdana"/>
          <w:sz w:val="18"/>
          <w:szCs w:val="18"/>
        </w:rPr>
        <w:t>Excel</w:t>
      </w:r>
      <w:r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3D646B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F51E3B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CAC1" w14:textId="77777777" w:rsidR="00156349" w:rsidRDefault="00156349" w:rsidP="00FB398F">
      <w:r>
        <w:separator/>
      </w:r>
    </w:p>
  </w:endnote>
  <w:endnote w:type="continuationSeparator" w:id="0">
    <w:p w14:paraId="3AF50EC1" w14:textId="77777777" w:rsidR="00156349" w:rsidRDefault="00156349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4BE11" w14:textId="484010E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</w:t>
    </w:r>
    <w:r w:rsidR="009C0C96">
      <w:rPr>
        <w:rFonts w:ascii="Arial" w:hAnsi="Arial" w:cs="Arial"/>
        <w:i/>
        <w:iCs/>
        <w:sz w:val="16"/>
        <w:szCs w:val="16"/>
        <w:lang w:val="el-GR"/>
      </w:rPr>
      <w:t xml:space="preserve"> </w:t>
    </w:r>
    <w:r w:rsidRPr="00A12E81">
      <w:rPr>
        <w:rFonts w:ascii="Arial" w:hAnsi="Arial" w:cs="Arial"/>
        <w:i/>
        <w:iCs/>
        <w:sz w:val="16"/>
        <w:szCs w:val="16"/>
        <w:lang w:val="el-GR"/>
      </w:rPr>
      <w:t>1444 Λευκωσία, Κύπρος</w:t>
    </w:r>
  </w:p>
  <w:p w14:paraId="422C6C2A" w14:textId="13F622FE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C4568F">
      <w:rPr>
        <w:rFonts w:ascii="Arial" w:hAnsi="Arial" w:cs="Arial"/>
        <w:i/>
        <w:iCs/>
        <w:sz w:val="16"/>
        <w:szCs w:val="16"/>
        <w:lang w:val="pt-PT"/>
      </w:rPr>
      <w:t>.: 22 602129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, E-mail: </w:t>
    </w:r>
    <w:hyperlink r:id="rId1" w:history="1">
      <w:r w:rsidR="004E4F42" w:rsidRPr="00A12E81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A9847" w14:textId="77777777" w:rsidR="00156349" w:rsidRDefault="00156349" w:rsidP="00FB398F">
      <w:r>
        <w:separator/>
      </w:r>
    </w:p>
  </w:footnote>
  <w:footnote w:type="continuationSeparator" w:id="0">
    <w:p w14:paraId="43E6B63C" w14:textId="77777777" w:rsidR="00156349" w:rsidRDefault="00156349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280625191" name="Picture 28062519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280625191" name="Picture 28062519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51448476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582652852" name="Picture 582652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4064958">
    <w:abstractNumId w:val="5"/>
  </w:num>
  <w:num w:numId="2" w16cid:durableId="1187255236">
    <w:abstractNumId w:val="2"/>
  </w:num>
  <w:num w:numId="3" w16cid:durableId="1238712794">
    <w:abstractNumId w:val="3"/>
  </w:num>
  <w:num w:numId="4" w16cid:durableId="1960528035">
    <w:abstractNumId w:val="4"/>
  </w:num>
  <w:num w:numId="5" w16cid:durableId="1260721549">
    <w:abstractNumId w:val="1"/>
  </w:num>
  <w:num w:numId="6" w16cid:durableId="1977300591">
    <w:abstractNumId w:val="6"/>
  </w:num>
  <w:num w:numId="7" w16cid:durableId="1388533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B46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0EC8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3C3D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2728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36365"/>
    <w:rsid w:val="00142848"/>
    <w:rsid w:val="00143ED6"/>
    <w:rsid w:val="0015118B"/>
    <w:rsid w:val="001519CE"/>
    <w:rsid w:val="001530A1"/>
    <w:rsid w:val="001540D4"/>
    <w:rsid w:val="00156349"/>
    <w:rsid w:val="00161CF3"/>
    <w:rsid w:val="00162C00"/>
    <w:rsid w:val="00163319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97FEA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0F04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48F"/>
    <w:rsid w:val="001E7658"/>
    <w:rsid w:val="001F5381"/>
    <w:rsid w:val="001F5498"/>
    <w:rsid w:val="001F7A6D"/>
    <w:rsid w:val="00201F28"/>
    <w:rsid w:val="0020309E"/>
    <w:rsid w:val="00205AAB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67FC1"/>
    <w:rsid w:val="00273C8A"/>
    <w:rsid w:val="0027474C"/>
    <w:rsid w:val="00274E2B"/>
    <w:rsid w:val="0027564D"/>
    <w:rsid w:val="002818A5"/>
    <w:rsid w:val="00281B73"/>
    <w:rsid w:val="00281D55"/>
    <w:rsid w:val="0028338F"/>
    <w:rsid w:val="0028381B"/>
    <w:rsid w:val="002846E4"/>
    <w:rsid w:val="002915C4"/>
    <w:rsid w:val="0029215E"/>
    <w:rsid w:val="00292B36"/>
    <w:rsid w:val="00293BF0"/>
    <w:rsid w:val="00297E6B"/>
    <w:rsid w:val="002A1D1C"/>
    <w:rsid w:val="002A4D64"/>
    <w:rsid w:val="002A6200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0D91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640B7"/>
    <w:rsid w:val="00377170"/>
    <w:rsid w:val="00380751"/>
    <w:rsid w:val="0038153A"/>
    <w:rsid w:val="00383AC7"/>
    <w:rsid w:val="00386FC7"/>
    <w:rsid w:val="00390A32"/>
    <w:rsid w:val="00397055"/>
    <w:rsid w:val="003A0859"/>
    <w:rsid w:val="003A1142"/>
    <w:rsid w:val="003A1E91"/>
    <w:rsid w:val="003A241F"/>
    <w:rsid w:val="003A40F2"/>
    <w:rsid w:val="003A43E9"/>
    <w:rsid w:val="003A50D1"/>
    <w:rsid w:val="003A667A"/>
    <w:rsid w:val="003B0DC2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4AD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504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0784F"/>
    <w:rsid w:val="00414B61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14E5"/>
    <w:rsid w:val="00463214"/>
    <w:rsid w:val="0046434D"/>
    <w:rsid w:val="00464F69"/>
    <w:rsid w:val="00464FEB"/>
    <w:rsid w:val="004656FA"/>
    <w:rsid w:val="00471C9C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B7F4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D6896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5BE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0C81"/>
    <w:rsid w:val="0051107B"/>
    <w:rsid w:val="00512CE8"/>
    <w:rsid w:val="00512F9C"/>
    <w:rsid w:val="005132ED"/>
    <w:rsid w:val="00514E41"/>
    <w:rsid w:val="00521DFE"/>
    <w:rsid w:val="00523C5A"/>
    <w:rsid w:val="00527CDB"/>
    <w:rsid w:val="00531E88"/>
    <w:rsid w:val="005335B9"/>
    <w:rsid w:val="005341C9"/>
    <w:rsid w:val="005354D2"/>
    <w:rsid w:val="005369CA"/>
    <w:rsid w:val="00536D0B"/>
    <w:rsid w:val="00536DE9"/>
    <w:rsid w:val="00536F27"/>
    <w:rsid w:val="00540703"/>
    <w:rsid w:val="00541E08"/>
    <w:rsid w:val="00542B81"/>
    <w:rsid w:val="00545330"/>
    <w:rsid w:val="0054539D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655"/>
    <w:rsid w:val="005B790A"/>
    <w:rsid w:val="005C2798"/>
    <w:rsid w:val="005C36C3"/>
    <w:rsid w:val="005C520C"/>
    <w:rsid w:val="005C56DD"/>
    <w:rsid w:val="005C56EE"/>
    <w:rsid w:val="005D1714"/>
    <w:rsid w:val="005D2AED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0B46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0DB4"/>
    <w:rsid w:val="00671785"/>
    <w:rsid w:val="00672BA9"/>
    <w:rsid w:val="00673005"/>
    <w:rsid w:val="00676AA8"/>
    <w:rsid w:val="006804BE"/>
    <w:rsid w:val="00682706"/>
    <w:rsid w:val="00682728"/>
    <w:rsid w:val="0068434A"/>
    <w:rsid w:val="00685018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B59F1"/>
    <w:rsid w:val="006C06F3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2158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70869"/>
    <w:rsid w:val="00770C2E"/>
    <w:rsid w:val="00772FE4"/>
    <w:rsid w:val="007738AA"/>
    <w:rsid w:val="0078022C"/>
    <w:rsid w:val="00780A62"/>
    <w:rsid w:val="00780D30"/>
    <w:rsid w:val="00783241"/>
    <w:rsid w:val="00784BDC"/>
    <w:rsid w:val="00785684"/>
    <w:rsid w:val="00786CF4"/>
    <w:rsid w:val="00790D18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0140"/>
    <w:rsid w:val="00810924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5757E"/>
    <w:rsid w:val="00860C57"/>
    <w:rsid w:val="00863FFB"/>
    <w:rsid w:val="00866CA5"/>
    <w:rsid w:val="00867186"/>
    <w:rsid w:val="008676FA"/>
    <w:rsid w:val="00867CBF"/>
    <w:rsid w:val="00870AF6"/>
    <w:rsid w:val="00877452"/>
    <w:rsid w:val="00877BB5"/>
    <w:rsid w:val="00881268"/>
    <w:rsid w:val="00881D94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44F1"/>
    <w:rsid w:val="008E6362"/>
    <w:rsid w:val="008E66FB"/>
    <w:rsid w:val="008E6B4D"/>
    <w:rsid w:val="008E6BFF"/>
    <w:rsid w:val="008E73B2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24E72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2B90"/>
    <w:rsid w:val="00946676"/>
    <w:rsid w:val="00947889"/>
    <w:rsid w:val="009478BD"/>
    <w:rsid w:val="0095600D"/>
    <w:rsid w:val="00960E98"/>
    <w:rsid w:val="009633B3"/>
    <w:rsid w:val="00963A82"/>
    <w:rsid w:val="00966A75"/>
    <w:rsid w:val="00972147"/>
    <w:rsid w:val="00972912"/>
    <w:rsid w:val="00976D1F"/>
    <w:rsid w:val="00980523"/>
    <w:rsid w:val="00981C81"/>
    <w:rsid w:val="00982D65"/>
    <w:rsid w:val="00982F81"/>
    <w:rsid w:val="009869F2"/>
    <w:rsid w:val="00986A30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C96"/>
    <w:rsid w:val="009C0E86"/>
    <w:rsid w:val="009C165D"/>
    <w:rsid w:val="009C3CEA"/>
    <w:rsid w:val="009C583D"/>
    <w:rsid w:val="009C5962"/>
    <w:rsid w:val="009D2611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D5D"/>
    <w:rsid w:val="00A0297C"/>
    <w:rsid w:val="00A05D16"/>
    <w:rsid w:val="00A0659F"/>
    <w:rsid w:val="00A073F9"/>
    <w:rsid w:val="00A079BA"/>
    <w:rsid w:val="00A12CA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1A49"/>
    <w:rsid w:val="00A33875"/>
    <w:rsid w:val="00A357D8"/>
    <w:rsid w:val="00A360A1"/>
    <w:rsid w:val="00A368E0"/>
    <w:rsid w:val="00A402B3"/>
    <w:rsid w:val="00A43CFB"/>
    <w:rsid w:val="00A44ED7"/>
    <w:rsid w:val="00A47C39"/>
    <w:rsid w:val="00A512B3"/>
    <w:rsid w:val="00A536E9"/>
    <w:rsid w:val="00A53C29"/>
    <w:rsid w:val="00A53E3F"/>
    <w:rsid w:val="00A544B7"/>
    <w:rsid w:val="00A55EF2"/>
    <w:rsid w:val="00A57FBF"/>
    <w:rsid w:val="00A60151"/>
    <w:rsid w:val="00A618CF"/>
    <w:rsid w:val="00A62770"/>
    <w:rsid w:val="00A62EEB"/>
    <w:rsid w:val="00A63B52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6188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2179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065C7"/>
    <w:rsid w:val="00B1003C"/>
    <w:rsid w:val="00B14D5D"/>
    <w:rsid w:val="00B22CF2"/>
    <w:rsid w:val="00B23211"/>
    <w:rsid w:val="00B26445"/>
    <w:rsid w:val="00B2730E"/>
    <w:rsid w:val="00B30D97"/>
    <w:rsid w:val="00B31074"/>
    <w:rsid w:val="00B3181A"/>
    <w:rsid w:val="00B35A7C"/>
    <w:rsid w:val="00B35F8B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2264"/>
    <w:rsid w:val="00B83B6D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B6216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5CDF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568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2A6"/>
    <w:rsid w:val="00C64C6B"/>
    <w:rsid w:val="00C64F74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37CC"/>
    <w:rsid w:val="00C94262"/>
    <w:rsid w:val="00C96A74"/>
    <w:rsid w:val="00C976E1"/>
    <w:rsid w:val="00CA148E"/>
    <w:rsid w:val="00CA1D93"/>
    <w:rsid w:val="00CA3A9A"/>
    <w:rsid w:val="00CA5E9A"/>
    <w:rsid w:val="00CA709D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07E29"/>
    <w:rsid w:val="00D101B8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AC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146A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05C08"/>
    <w:rsid w:val="00E07046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5FE3"/>
    <w:rsid w:val="00E57AF9"/>
    <w:rsid w:val="00E625E3"/>
    <w:rsid w:val="00E63111"/>
    <w:rsid w:val="00E63F34"/>
    <w:rsid w:val="00E63FEA"/>
    <w:rsid w:val="00E6715A"/>
    <w:rsid w:val="00E74974"/>
    <w:rsid w:val="00E749E5"/>
    <w:rsid w:val="00E75DC9"/>
    <w:rsid w:val="00E76FC5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3433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2B"/>
    <w:rsid w:val="00F42B8F"/>
    <w:rsid w:val="00F44F43"/>
    <w:rsid w:val="00F450E1"/>
    <w:rsid w:val="00F455DA"/>
    <w:rsid w:val="00F46406"/>
    <w:rsid w:val="00F4748E"/>
    <w:rsid w:val="00F50DF4"/>
    <w:rsid w:val="00F512D7"/>
    <w:rsid w:val="00F51E3B"/>
    <w:rsid w:val="00F557DF"/>
    <w:rsid w:val="00F56ADA"/>
    <w:rsid w:val="00F57AFE"/>
    <w:rsid w:val="00F6278E"/>
    <w:rsid w:val="00F62D75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CBC"/>
    <w:rsid w:val="00FB6DA6"/>
    <w:rsid w:val="00FB709A"/>
    <w:rsid w:val="00FB78DD"/>
    <w:rsid w:val="00FC0F40"/>
    <w:rsid w:val="00FC3EF3"/>
    <w:rsid w:val="00FC5D35"/>
    <w:rsid w:val="00FC6994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mofstatfsrv1\Business%20Statistics\Napostolou\ENERGY\&#921;&#931;&#932;&#927;&#931;&#917;&#923;&#921;&#916;&#913;%20-%20&#916;&#919;&#924;&#927;&#931;&#921;&#917;&#933;&#931;&#917;&#921;&#931;\&#924;&#919;&#925;&#921;&#913;&#921;&#917;&#931;\2025\02%20-Feb\GRAPHS%20&amp;%20calculations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sng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l-GR"/>
              <a:t>Πωλήσεις Πετρελαιοειδών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167987401574805"/>
          <c:y val="9.8654841093865478E-2"/>
          <c:w val="0.67130607874015735"/>
          <c:h val="0.732007612130523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'CURRENT MONTH'!$N$10</c:f>
              <c:strCache>
                <c:ptCount val="1"/>
                <c:pt idx="0">
                  <c:v>Φεβρουάριος 2025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'CURRENT MONTH'!$M$11:$M$21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'CURRENT MONTH'!$N$11:$N$21</c:f>
              <c:numCache>
                <c:formatCode>#,##0_);\(#,##0\)</c:formatCode>
                <c:ptCount val="11"/>
                <c:pt idx="0">
                  <c:v>7638</c:v>
                </c:pt>
                <c:pt idx="1">
                  <c:v>2610</c:v>
                </c:pt>
                <c:pt idx="2">
                  <c:v>1290</c:v>
                </c:pt>
                <c:pt idx="3">
                  <c:v>10984</c:v>
                </c:pt>
                <c:pt idx="4">
                  <c:v>6941</c:v>
                </c:pt>
                <c:pt idx="5">
                  <c:v>13997</c:v>
                </c:pt>
                <c:pt idx="6">
                  <c:v>1819</c:v>
                </c:pt>
                <c:pt idx="7">
                  <c:v>26376</c:v>
                </c:pt>
                <c:pt idx="8">
                  <c:v>2857</c:v>
                </c:pt>
                <c:pt idx="9">
                  <c:v>12568</c:v>
                </c:pt>
                <c:pt idx="10">
                  <c:v>24435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B6-4A1B-AEF8-59A7A5450D13}"/>
            </c:ext>
          </c:extLst>
        </c:ser>
        <c:ser>
          <c:idx val="1"/>
          <c:order val="1"/>
          <c:tx>
            <c:strRef>
              <c:f>'CURRENT MONTH'!$Q$10</c:f>
              <c:strCache>
                <c:ptCount val="1"/>
                <c:pt idx="0">
                  <c:v>Φεβρουάριος 2024</c:v>
                </c:pt>
              </c:strCache>
            </c:strRef>
          </c:tx>
          <c:spPr>
            <a:solidFill>
              <a:srgbClr val="C0504D"/>
            </a:solidFill>
          </c:spPr>
          <c:invertIfNegative val="0"/>
          <c:dPt>
            <c:idx val="3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558ED5">
                    <a:alpha val="96000"/>
                  </a:srgb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2-C5B6-4A1B-AEF8-59A7A5450D13}"/>
              </c:ext>
            </c:extLst>
          </c:dPt>
          <c:cat>
            <c:strRef>
              <c:f>'CURRENT MONTH'!$M$11:$M$21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'CURRENT MONTH'!$Q$11:$Q$21</c:f>
              <c:numCache>
                <c:formatCode>#,##0_);\(#,##0\)</c:formatCode>
                <c:ptCount val="11"/>
                <c:pt idx="0">
                  <c:v>6316</c:v>
                </c:pt>
                <c:pt idx="1">
                  <c:v>3243</c:v>
                </c:pt>
                <c:pt idx="2">
                  <c:v>1576</c:v>
                </c:pt>
                <c:pt idx="3">
                  <c:v>15023</c:v>
                </c:pt>
                <c:pt idx="4">
                  <c:v>9677</c:v>
                </c:pt>
                <c:pt idx="5">
                  <c:v>10245</c:v>
                </c:pt>
                <c:pt idx="6">
                  <c:v>1400</c:v>
                </c:pt>
                <c:pt idx="7">
                  <c:v>27048</c:v>
                </c:pt>
                <c:pt idx="8">
                  <c:v>1780</c:v>
                </c:pt>
                <c:pt idx="9">
                  <c:v>13695</c:v>
                </c:pt>
                <c:pt idx="10">
                  <c:v>25167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5B6-4A1B-AEF8-59A7A5450D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0792960"/>
        <c:axId val="1"/>
      </c:barChart>
      <c:catAx>
        <c:axId val="3407929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75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l-GR"/>
                  <a:t>Τόνοι</a:t>
                </a:r>
              </a:p>
            </c:rich>
          </c:tx>
          <c:layout>
            <c:manualLayout>
              <c:xMode val="edge"/>
              <c:yMode val="edge"/>
              <c:x val="0.51466026462332015"/>
              <c:y val="0.95318216801847133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340792960"/>
        <c:crosses val="autoZero"/>
        <c:crossBetween val="between"/>
        <c:majorUnit val="2500"/>
        <c:minorUnit val="500"/>
      </c:valAx>
      <c:spPr>
        <a:noFill/>
        <a:ln w="12700">
          <a:solidFill>
            <a:schemeClr val="tx1">
              <a:lumMod val="15000"/>
              <a:lumOff val="85000"/>
            </a:schemeClr>
          </a:solidFill>
        </a:ln>
      </c:spPr>
    </c:plotArea>
    <c:legend>
      <c:legendPos val="r"/>
      <c:legendEntry>
        <c:idx val="0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</c:legendEntry>
      <c:legendEntry>
        <c:idx val="1"/>
        <c:txPr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</c:legendEntry>
      <c:layout>
        <c:manualLayout>
          <c:xMode val="edge"/>
          <c:yMode val="edge"/>
          <c:x val="0"/>
          <c:y val="0.87850755497668054"/>
          <c:w val="0.25422033146330641"/>
          <c:h val="0.12023497062867139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C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558ED5">
          <a:alpha val="49804"/>
        </a:srgb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CY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6379-493A-4569-9FFA-3ADEA8FF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4894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20</cp:revision>
  <cp:lastPrinted>2024-01-29T06:30:00Z</cp:lastPrinted>
  <dcterms:created xsi:type="dcterms:W3CDTF">2024-01-29T06:35:00Z</dcterms:created>
  <dcterms:modified xsi:type="dcterms:W3CDTF">2025-03-27T09:51:00Z</dcterms:modified>
</cp:coreProperties>
</file>