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F846" w14:textId="77777777" w:rsidR="00936E21" w:rsidRPr="005D2AED" w:rsidRDefault="00936E21" w:rsidP="00A12E81">
      <w:pPr>
        <w:jc w:val="center"/>
        <w:rPr>
          <w:rFonts w:ascii="Verdana" w:eastAsia="Malgun Gothic" w:hAnsi="Verdana" w:cs="Arial"/>
          <w:sz w:val="18"/>
          <w:szCs w:val="18"/>
        </w:rPr>
      </w:pPr>
    </w:p>
    <w:p w14:paraId="0F957EE1" w14:textId="5A84ABEC" w:rsidR="000B79CE" w:rsidRPr="008623FD" w:rsidRDefault="00163319" w:rsidP="000B79CE">
      <w:pPr>
        <w:jc w:val="right"/>
        <w:rPr>
          <w:rFonts w:ascii="Verdana" w:hAnsi="Verdana" w:cs="Arial"/>
          <w:sz w:val="18"/>
          <w:szCs w:val="18"/>
          <w:lang w:val="el-GR"/>
        </w:rPr>
      </w:pPr>
      <w:bookmarkStart w:id="0" w:name="_Hlk159853228"/>
      <w:r w:rsidRPr="00050EC8">
        <w:rPr>
          <w:rFonts w:ascii="Verdana" w:hAnsi="Verdana" w:cs="Arial"/>
          <w:sz w:val="18"/>
          <w:szCs w:val="18"/>
          <w:lang w:val="el-GR"/>
        </w:rPr>
        <w:t>27</w:t>
      </w:r>
      <w:r>
        <w:rPr>
          <w:rFonts w:ascii="Verdana" w:hAnsi="Verdana" w:cs="Arial"/>
          <w:sz w:val="18"/>
          <w:szCs w:val="18"/>
          <w:lang w:val="el-GR"/>
        </w:rPr>
        <w:t xml:space="preserve"> Φεβρουαρίου, 202</w:t>
      </w:r>
      <w:r w:rsidR="000B79CE" w:rsidRPr="008623FD">
        <w:rPr>
          <w:rFonts w:ascii="Verdana" w:hAnsi="Verdana" w:cs="Arial"/>
          <w:sz w:val="18"/>
          <w:szCs w:val="18"/>
          <w:lang w:val="el-GR"/>
        </w:rPr>
        <w:t>5</w:t>
      </w:r>
    </w:p>
    <w:bookmarkEnd w:id="0"/>
    <w:p w14:paraId="05861BF0" w14:textId="77777777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4B8AA8CE" w:rsidR="00EE3110" w:rsidRPr="000B79CE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163319">
        <w:rPr>
          <w:rFonts w:ascii="Verdana" w:hAnsi="Verdana"/>
          <w:szCs w:val="22"/>
          <w:shd w:val="clear" w:color="auto" w:fill="FFFFFF"/>
        </w:rPr>
        <w:t>ΙΑΝΟΥΑΡΙΟΣ</w:t>
      </w:r>
      <w:r w:rsidR="00163319"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0B79CE" w:rsidRPr="000B79CE">
        <w:rPr>
          <w:rFonts w:ascii="Verdana" w:hAnsi="Verdana"/>
          <w:szCs w:val="22"/>
          <w:shd w:val="clear" w:color="auto" w:fill="FFFFFF"/>
        </w:rPr>
        <w:t>5</w:t>
      </w:r>
    </w:p>
    <w:p w14:paraId="0F92D7EB" w14:textId="77777777" w:rsidR="00FB55A5" w:rsidRPr="009F6337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7B6153FC" w:rsidR="009F6337" w:rsidRPr="009F6337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9F6337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163319" w:rsidRPr="009F6337">
        <w:rPr>
          <w:rFonts w:ascii="Verdana" w:eastAsia="Malgun Gothic" w:hAnsi="Verdana" w:cs="Arial"/>
          <w:b/>
          <w:bCs/>
          <w:lang w:val="el-GR"/>
        </w:rPr>
        <w:t>-</w:t>
      </w:r>
      <w:r w:rsidR="000B79CE" w:rsidRPr="000B79CE">
        <w:rPr>
          <w:rFonts w:ascii="Verdana" w:eastAsia="Malgun Gothic" w:hAnsi="Verdana" w:cs="Arial"/>
          <w:b/>
          <w:bCs/>
          <w:lang w:val="el-GR"/>
        </w:rPr>
        <w:t>2</w:t>
      </w:r>
      <w:r w:rsidR="00163319" w:rsidRPr="009F6337">
        <w:rPr>
          <w:rFonts w:ascii="Verdana" w:eastAsia="Malgun Gothic" w:hAnsi="Verdana" w:cs="Arial"/>
          <w:b/>
          <w:bCs/>
          <w:lang w:val="el-GR"/>
        </w:rPr>
        <w:t>,</w:t>
      </w:r>
      <w:r w:rsidR="00163319">
        <w:rPr>
          <w:rFonts w:ascii="Verdana" w:eastAsia="Malgun Gothic" w:hAnsi="Verdana" w:cs="Arial"/>
          <w:b/>
          <w:bCs/>
          <w:lang w:val="el-GR"/>
        </w:rPr>
        <w:t>9</w:t>
      </w:r>
      <w:r w:rsidR="00163319" w:rsidRPr="009F6337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9F6337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72FC150" w14:textId="704997AF" w:rsidR="00163319" w:rsidRPr="007C75AF" w:rsidRDefault="00163319" w:rsidP="00C82DCC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Ιανουάριο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0B79CE" w:rsidRPr="000B79CE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πωλήσεις πετρελαιοειδών έφτασαν τους </w:t>
      </w:r>
      <w:bookmarkStart w:id="1" w:name="_Hlk107213034"/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0B79CE" w:rsidRPr="000B79CE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.</w:t>
      </w:r>
      <w:r w:rsidR="000B79CE" w:rsidRPr="000B79C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552</w:t>
      </w:r>
      <w:r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σημειώνοντας μείωση </w:t>
      </w:r>
      <w:bookmarkStart w:id="2" w:name="_Hlk107213045"/>
      <w:r w:rsidR="000B79CE" w:rsidRPr="000B79CE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,9%</w:t>
      </w:r>
      <w:bookmarkEnd w:id="2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σχέση με 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Ιανουάριο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0B79CE" w:rsidRPr="000B79CE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σημειώθηκε στις προμήθειες  πετρελαίου 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πλοία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0B79CE" w:rsidRPr="000B79CE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0B79CE" w:rsidRPr="000B79C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B79CE">
        <w:rPr>
          <w:rFonts w:ascii="Verdana" w:hAnsi="Verdana"/>
          <w:sz w:val="18"/>
          <w:szCs w:val="18"/>
          <w:shd w:val="clear" w:color="auto" w:fill="FFFFFF"/>
          <w:lang w:val="el-GR"/>
        </w:rPr>
        <w:t>και σε αεροπλάνα (-5,8%)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 καθώς και στις πωλήσεις ελαφρού μαζούτ 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0B79CE">
        <w:rPr>
          <w:rFonts w:ascii="Verdana" w:hAnsi="Verdana"/>
          <w:sz w:val="18"/>
          <w:szCs w:val="18"/>
          <w:shd w:val="clear" w:color="auto" w:fill="FFFFFF"/>
          <w:lang w:val="el-GR"/>
        </w:rPr>
        <w:t>36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B79CE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0B79C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0B79CE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</w:t>
      </w:r>
      <w:r w:rsidR="000B79C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B79CE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(-</w:t>
      </w:r>
      <w:r w:rsidR="000B79CE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0B79CE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B79CE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0B79CE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Αντίθετα, αύξηση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καταγράφηκε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στις πωλήσεις</w:t>
      </w:r>
      <w:r w:rsidRPr="007C75A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B79C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ασφάλτου (52,4%), 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υγραερίου</w:t>
      </w:r>
      <w:r w:rsidR="00C82DCC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C82DCC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C82DCC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C82DCC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C82DCC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C82DCC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82DCC" w:rsidRPr="00C82DC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πετρελαίου θέρμανσης </w:t>
      </w:r>
      <w:r w:rsidR="00C82DC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C82DC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C82DC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%). Όσ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ον αφορά ειδικότερα στις πωλήσεις από πρατήρια πετρελαιοειδών, αυτές παρουσίασαν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4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518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7E1810F8" w14:textId="77777777" w:rsidR="00163319" w:rsidRPr="009F6337" w:rsidRDefault="00163319" w:rsidP="00163319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C50047C" w14:textId="7711EE22" w:rsidR="00163319" w:rsidRDefault="00163319" w:rsidP="00163319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Ιανουάριο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σε σύγκριση με τον Δεκέμβριο 202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4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8A126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Ενδεικτικά,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οι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προμήθειες πετρελαίου 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πλοία και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αεροπλάνα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(-2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 και -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αντίστοιχα), καθώς και οι πωλήσεις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24C8F5C5" w14:textId="77777777" w:rsidR="00163319" w:rsidRDefault="00163319" w:rsidP="00163319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C894F9F" w14:textId="5F713C3C" w:rsidR="00163319" w:rsidRDefault="00163319" w:rsidP="00163319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bookmarkStart w:id="3" w:name="_Hlk106979418"/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3"/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12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82DCC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0A1ABEC2" w14:textId="77777777" w:rsidR="002846E4" w:rsidRDefault="002846E4" w:rsidP="00FB6CBC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0384F40" w14:textId="4B554191" w:rsidR="003C4AD2" w:rsidRDefault="003C4AD2" w:rsidP="003C4AD2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p w14:paraId="48628727" w14:textId="7BA6055A" w:rsidR="00001B46" w:rsidRDefault="00A20DC7" w:rsidP="003C4AD2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715981B9" wp14:editId="0DE79FD1">
            <wp:extent cx="6041390" cy="3816350"/>
            <wp:effectExtent l="0" t="0" r="0" b="0"/>
            <wp:docPr id="210179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31B3D" w14:textId="77777777" w:rsidR="00471C9C" w:rsidRDefault="00471C9C" w:rsidP="003C4AD2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p w14:paraId="356B7153" w14:textId="77777777" w:rsidR="00001B46" w:rsidRDefault="00001B46" w:rsidP="003C4AD2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p w14:paraId="05D05E4D" w14:textId="77777777" w:rsidR="00A12CAA" w:rsidRDefault="00A12CAA" w:rsidP="003C4AD2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A512B3" w:rsidRPr="00A512B3" w14:paraId="7EA8830E" w14:textId="77777777" w:rsidTr="00A512B3">
        <w:trPr>
          <w:trHeight w:val="284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5B226E3F" w14:textId="5BE49228" w:rsidR="00B065C7" w:rsidRPr="00A512B3" w:rsidRDefault="00A512B3" w:rsidP="00A512B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52EC44EC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4D1CEA00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6949DACA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515B5A96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2FB7DCA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8AF1937" w14:textId="73176145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0671BF6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A512B3" w:rsidRPr="00A512B3" w14:paraId="5B73303F" w14:textId="77777777" w:rsidTr="00A512B3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B8B65C" w14:textId="4BA97EB3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2E2600" w14:textId="551D75BA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Ολικές Πωλήσεις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07CCB0BA" w14:textId="77777777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B2BFD" w14:textId="6AD4AC94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0186D" w:rsidRPr="00A512B3" w14:paraId="7DB58FAD" w14:textId="77777777" w:rsidTr="00A31A49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0EC896" w14:textId="77777777" w:rsidR="0010186D" w:rsidRPr="00A512B3" w:rsidRDefault="0010186D" w:rsidP="0010186D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B320B51" w14:textId="5DD9FFF4" w:rsidR="0010186D" w:rsidRPr="00163319" w:rsidRDefault="0010186D" w:rsidP="0010186D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Ιαν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E900C2" w14:textId="194676EF" w:rsidR="0010186D" w:rsidRPr="00163319" w:rsidRDefault="0010186D" w:rsidP="0010186D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Ιαν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ACF06B0" w14:textId="6C43576C" w:rsidR="0010186D" w:rsidRPr="008676FA" w:rsidRDefault="0010186D" w:rsidP="0010186D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34083A6" w14:textId="66065378" w:rsidR="0010186D" w:rsidRPr="008676FA" w:rsidRDefault="0010186D" w:rsidP="0010186D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0A500B8A" w14:textId="77777777" w:rsidR="0010186D" w:rsidRPr="008676FA" w:rsidRDefault="0010186D" w:rsidP="0010186D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D075EEF" w14:textId="68ACD9E1" w:rsidR="0010186D" w:rsidRPr="00841AC7" w:rsidRDefault="0010186D" w:rsidP="0010186D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Ιαν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 w:rsidR="00841AC7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841AC7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5AFF94" w14:textId="77777777" w:rsidR="0010186D" w:rsidRPr="00C6393F" w:rsidRDefault="0010186D" w:rsidP="0010186D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</w:p>
          <w:p w14:paraId="6ED1B264" w14:textId="3B0B86A4" w:rsidR="0010186D" w:rsidRPr="008676FA" w:rsidRDefault="0010186D" w:rsidP="0010186D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10186D" w:rsidRPr="00A512B3" w14:paraId="2999919F" w14:textId="77777777" w:rsidTr="0010186D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</w:tcBorders>
            <w:vAlign w:val="center"/>
          </w:tcPr>
          <w:p w14:paraId="3955C8AC" w14:textId="189044E4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Αμόλυ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04CD2" w14:textId="2A348F2E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25.775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E211" w14:textId="1864A2C4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24.780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6E7B" w14:textId="41F83D44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334.770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4964" w14:textId="6F638A65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324.591   </w:t>
            </w:r>
          </w:p>
        </w:tc>
        <w:tc>
          <w:tcPr>
            <w:tcW w:w="240" w:type="dxa"/>
            <w:vAlign w:val="center"/>
          </w:tcPr>
          <w:p w14:paraId="4ECAA78D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3999" w14:textId="269E6CB6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8C3C" w14:textId="5B90640E" w:rsidR="0010186D" w:rsidRPr="00A512B3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3,1</w:t>
            </w:r>
          </w:p>
        </w:tc>
      </w:tr>
      <w:tr w:rsidR="0010186D" w:rsidRPr="00A512B3" w14:paraId="4331BDB9" w14:textId="77777777" w:rsidTr="0010186D">
        <w:trPr>
          <w:trHeight w:val="397"/>
          <w:jc w:val="center"/>
        </w:trPr>
        <w:tc>
          <w:tcPr>
            <w:tcW w:w="2367" w:type="dxa"/>
            <w:vAlign w:val="center"/>
          </w:tcPr>
          <w:p w14:paraId="0374409B" w14:textId="71AFAE2D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247F" w14:textId="015EFFA4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D9BB" w14:textId="0A790CB6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9A40" w14:textId="05440792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4F62" w14:textId="2AB619BA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20   </w:t>
            </w:r>
          </w:p>
        </w:tc>
        <w:tc>
          <w:tcPr>
            <w:tcW w:w="240" w:type="dxa"/>
            <w:vAlign w:val="center"/>
          </w:tcPr>
          <w:p w14:paraId="188C9D65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3D0B" w14:textId="4402D6C9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8BB1" w14:textId="41CB2320" w:rsidR="0010186D" w:rsidRPr="00A512B3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-20,0</w:t>
            </w:r>
          </w:p>
        </w:tc>
      </w:tr>
      <w:tr w:rsidR="0010186D" w:rsidRPr="00A512B3" w14:paraId="5BAE1F70" w14:textId="77777777" w:rsidTr="0010186D">
        <w:trPr>
          <w:trHeight w:val="397"/>
          <w:jc w:val="center"/>
        </w:trPr>
        <w:tc>
          <w:tcPr>
            <w:tcW w:w="2367" w:type="dxa"/>
            <w:vAlign w:val="center"/>
          </w:tcPr>
          <w:p w14:paraId="6648336E" w14:textId="7BB9DBE5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9E45D" w14:textId="75AF7BC2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13.569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C914" w14:textId="73D8AAA1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14.399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09DD" w14:textId="1FF57B8F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305.158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3807" w14:textId="219C4443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294.569   </w:t>
            </w:r>
          </w:p>
        </w:tc>
        <w:tc>
          <w:tcPr>
            <w:tcW w:w="240" w:type="dxa"/>
            <w:vAlign w:val="center"/>
          </w:tcPr>
          <w:p w14:paraId="533818C5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4F17" w14:textId="052D8C70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-5,8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0A70" w14:textId="4A33573E" w:rsidR="0010186D" w:rsidRPr="00A512B3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</w:tr>
      <w:tr w:rsidR="0010186D" w:rsidRPr="00A512B3" w14:paraId="30C46F67" w14:textId="77777777" w:rsidTr="0010186D">
        <w:trPr>
          <w:trHeight w:val="397"/>
          <w:jc w:val="center"/>
        </w:trPr>
        <w:tc>
          <w:tcPr>
            <w:tcW w:w="2367" w:type="dxa"/>
            <w:vAlign w:val="center"/>
          </w:tcPr>
          <w:p w14:paraId="41F8E0BB" w14:textId="2435E198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45FF" w14:textId="7040A29C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2.008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F5DE" w14:textId="370F9F92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2.047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2243" w14:textId="51848389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9.339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2B4D" w14:textId="7E387829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10.057   </w:t>
            </w:r>
          </w:p>
        </w:tc>
        <w:tc>
          <w:tcPr>
            <w:tcW w:w="240" w:type="dxa"/>
            <w:vAlign w:val="center"/>
          </w:tcPr>
          <w:p w14:paraId="6D6076D0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DCF9" w14:textId="7CC87879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-1,9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188B" w14:textId="4F07F8F2" w:rsidR="0010186D" w:rsidRPr="00A512B3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-7,1</w:t>
            </w:r>
          </w:p>
        </w:tc>
      </w:tr>
      <w:tr w:rsidR="0010186D" w:rsidRPr="00A512B3" w14:paraId="6282D3DC" w14:textId="77777777" w:rsidTr="0010186D">
        <w:trPr>
          <w:trHeight w:val="397"/>
          <w:jc w:val="center"/>
        </w:trPr>
        <w:tc>
          <w:tcPr>
            <w:tcW w:w="2367" w:type="dxa"/>
            <w:vAlign w:val="center"/>
          </w:tcPr>
          <w:p w14:paraId="7AF29343" w14:textId="421C525F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8712B" w14:textId="165D50C8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26.555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53F7" w14:textId="02F51394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26.063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004D" w14:textId="1C29318E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349.513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4E15" w14:textId="17DFEBF5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345.657   </w:t>
            </w:r>
          </w:p>
        </w:tc>
        <w:tc>
          <w:tcPr>
            <w:tcW w:w="240" w:type="dxa"/>
            <w:vAlign w:val="center"/>
          </w:tcPr>
          <w:p w14:paraId="268A22F5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59BD" w14:textId="1877B11B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86E4" w14:textId="401E8277" w:rsidR="0010186D" w:rsidRPr="00A512B3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1,1</w:t>
            </w:r>
          </w:p>
        </w:tc>
      </w:tr>
      <w:tr w:rsidR="0010186D" w:rsidRPr="00A512B3" w14:paraId="3A516C41" w14:textId="77777777" w:rsidTr="0010186D">
        <w:trPr>
          <w:trHeight w:val="397"/>
          <w:jc w:val="center"/>
        </w:trPr>
        <w:tc>
          <w:tcPr>
            <w:tcW w:w="2367" w:type="dxa"/>
            <w:vAlign w:val="center"/>
          </w:tcPr>
          <w:p w14:paraId="500682A7" w14:textId="5390CB4C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Γεωργικό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F1171" w14:textId="74FD9889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1.723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EE8C" w14:textId="125B870C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1.527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4A2C" w14:textId="3A89D26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22.164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679B" w14:textId="0984B2E5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20.242   </w:t>
            </w:r>
          </w:p>
        </w:tc>
        <w:tc>
          <w:tcPr>
            <w:tcW w:w="240" w:type="dxa"/>
            <w:vAlign w:val="center"/>
          </w:tcPr>
          <w:p w14:paraId="708AEFC1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752F" w14:textId="12BD5533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12,8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AD" w14:textId="5C098CA5" w:rsidR="0010186D" w:rsidRPr="00A512B3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9,5</w:t>
            </w:r>
          </w:p>
        </w:tc>
      </w:tr>
      <w:tr w:rsidR="0010186D" w:rsidRPr="00A512B3" w14:paraId="7700459A" w14:textId="77777777" w:rsidTr="0010186D">
        <w:trPr>
          <w:trHeight w:val="397"/>
          <w:jc w:val="center"/>
        </w:trPr>
        <w:tc>
          <w:tcPr>
            <w:tcW w:w="2367" w:type="dxa"/>
            <w:vAlign w:val="center"/>
          </w:tcPr>
          <w:p w14:paraId="60B2BC5F" w14:textId="74D3F2B4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Θέρμ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82A5" w14:textId="69D8E691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10.926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D0A1" w14:textId="4B8B28A6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10.683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7E6A" w14:textId="3718C904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78.814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7EC1" w14:textId="7094CD32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81.564   </w:t>
            </w:r>
          </w:p>
        </w:tc>
        <w:tc>
          <w:tcPr>
            <w:tcW w:w="240" w:type="dxa"/>
            <w:vAlign w:val="center"/>
          </w:tcPr>
          <w:p w14:paraId="7085D362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836" w14:textId="5F8AD14D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F01" w14:textId="51EB0165" w:rsidR="0010186D" w:rsidRPr="00A512B3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-3,4</w:t>
            </w:r>
          </w:p>
        </w:tc>
      </w:tr>
      <w:tr w:rsidR="0010186D" w:rsidRPr="00A512B3" w14:paraId="5310E4E0" w14:textId="77777777" w:rsidTr="0010186D">
        <w:trPr>
          <w:trHeight w:val="397"/>
          <w:jc w:val="center"/>
        </w:trPr>
        <w:tc>
          <w:tcPr>
            <w:tcW w:w="2367" w:type="dxa"/>
            <w:vAlign w:val="center"/>
          </w:tcPr>
          <w:p w14:paraId="607B26A5" w14:textId="0212EA44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 Να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υτιλί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71F6" w14:textId="74D9190A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5.748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EB66" w14:textId="744D4CB5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6.179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5371" w14:textId="2E32711F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86.720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D00C" w14:textId="5B397405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90.715   </w:t>
            </w:r>
          </w:p>
        </w:tc>
        <w:tc>
          <w:tcPr>
            <w:tcW w:w="240" w:type="dxa"/>
            <w:vAlign w:val="center"/>
          </w:tcPr>
          <w:p w14:paraId="2111258D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42677" w14:textId="0415C9EF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-7,0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6F5C" w14:textId="2ABE160C" w:rsidR="0010186D" w:rsidRPr="00A512B3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-4,4</w:t>
            </w:r>
          </w:p>
        </w:tc>
      </w:tr>
      <w:tr w:rsidR="0010186D" w:rsidRPr="00A512B3" w14:paraId="7E25CAB5" w14:textId="77777777" w:rsidTr="0010186D">
        <w:trPr>
          <w:trHeight w:val="397"/>
          <w:jc w:val="center"/>
        </w:trPr>
        <w:tc>
          <w:tcPr>
            <w:tcW w:w="2367" w:type="dxa"/>
            <w:vAlign w:val="center"/>
          </w:tcPr>
          <w:p w14:paraId="4A295804" w14:textId="2AB1E462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Ελ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αφρύ Μα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267D9" w14:textId="3F54F42F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9.121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B3DE" w14:textId="02C11C9D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14.428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22CA" w14:textId="0ECE16B1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156.421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82BE" w14:textId="7C82ECBA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168.093   </w:t>
            </w:r>
          </w:p>
        </w:tc>
        <w:tc>
          <w:tcPr>
            <w:tcW w:w="240" w:type="dxa"/>
            <w:vAlign w:val="center"/>
          </w:tcPr>
          <w:p w14:paraId="37CA3D84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611A" w14:textId="6EE1B6E3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-36,8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177C" w14:textId="692C655B" w:rsidR="0010186D" w:rsidRPr="00A512B3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-6,9</w:t>
            </w:r>
          </w:p>
        </w:tc>
      </w:tr>
      <w:tr w:rsidR="0010186D" w:rsidRPr="00A512B3" w14:paraId="307F9748" w14:textId="77777777" w:rsidTr="0010186D">
        <w:trPr>
          <w:trHeight w:val="397"/>
          <w:jc w:val="center"/>
        </w:trPr>
        <w:tc>
          <w:tcPr>
            <w:tcW w:w="2367" w:type="dxa"/>
            <w:vAlign w:val="center"/>
          </w:tcPr>
          <w:p w14:paraId="0ADE79B8" w14:textId="0593477E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ρύ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Μα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033FB" w14:textId="5FB8119B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926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D724" w14:textId="79108BAA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927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0F8" w14:textId="083BF73B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14.773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C054" w14:textId="2A3C69D4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14.307   </w:t>
            </w:r>
          </w:p>
        </w:tc>
        <w:tc>
          <w:tcPr>
            <w:tcW w:w="240" w:type="dxa"/>
            <w:vAlign w:val="center"/>
          </w:tcPr>
          <w:p w14:paraId="6D2C0603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5405" w14:textId="6F552F4D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-0,1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272C" w14:textId="1AC77E05" w:rsidR="0010186D" w:rsidRPr="00A512B3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3,3</w:t>
            </w:r>
          </w:p>
        </w:tc>
      </w:tr>
      <w:tr w:rsidR="0010186D" w:rsidRPr="00A512B3" w14:paraId="221F0016" w14:textId="77777777" w:rsidTr="0010186D">
        <w:trPr>
          <w:trHeight w:val="397"/>
          <w:jc w:val="center"/>
        </w:trPr>
        <w:tc>
          <w:tcPr>
            <w:tcW w:w="2367" w:type="dxa"/>
            <w:vAlign w:val="center"/>
          </w:tcPr>
          <w:p w14:paraId="29DB65E5" w14:textId="7E2A669D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Λι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παντικά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Λάδι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0D9A2" w14:textId="0F126B24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277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F4B8" w14:textId="25B85E65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241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FAA7" w14:textId="2E8EF67F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3.061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C145" w14:textId="554F2863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2.934   </w:t>
            </w:r>
          </w:p>
        </w:tc>
        <w:tc>
          <w:tcPr>
            <w:tcW w:w="240" w:type="dxa"/>
            <w:vAlign w:val="center"/>
          </w:tcPr>
          <w:p w14:paraId="1CFACF60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3D6C" w14:textId="73C71345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14,9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2B68" w14:textId="3E3089DE" w:rsidR="0010186D" w:rsidRPr="00A512B3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4,3</w:t>
            </w:r>
          </w:p>
        </w:tc>
      </w:tr>
      <w:tr w:rsidR="0010186D" w:rsidRPr="00A512B3" w14:paraId="73114908" w14:textId="77777777" w:rsidTr="0010186D">
        <w:trPr>
          <w:trHeight w:val="397"/>
          <w:jc w:val="center"/>
        </w:trPr>
        <w:tc>
          <w:tcPr>
            <w:tcW w:w="2367" w:type="dxa"/>
            <w:vAlign w:val="center"/>
          </w:tcPr>
          <w:p w14:paraId="1A531487" w14:textId="3BAF9DEE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Άσφ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αλτος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72BEE" w14:textId="653DE2CC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3.032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F55E" w14:textId="76044DCB" w:rsidR="0010186D" w:rsidRPr="00A63B52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1.990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01ED" w14:textId="563E5059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37.743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BE" w14:textId="412C0D34" w:rsidR="0010186D" w:rsidRPr="00A63B52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37.284   </w:t>
            </w:r>
          </w:p>
        </w:tc>
        <w:tc>
          <w:tcPr>
            <w:tcW w:w="240" w:type="dxa"/>
            <w:vAlign w:val="center"/>
          </w:tcPr>
          <w:p w14:paraId="59DA467D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EFB" w14:textId="75A2DC77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52,4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DF03" w14:textId="332D88BD" w:rsidR="0010186D" w:rsidRPr="00A63B52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1,2</w:t>
            </w:r>
          </w:p>
        </w:tc>
      </w:tr>
      <w:tr w:rsidR="0010186D" w:rsidRPr="00A512B3" w14:paraId="06E2A767" w14:textId="77777777" w:rsidTr="0010186D">
        <w:trPr>
          <w:trHeight w:val="397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92BBB07" w14:textId="5B4A87E7" w:rsidR="0010186D" w:rsidRPr="00A512B3" w:rsidRDefault="0010186D" w:rsidP="0010186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Υγρ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αέριο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B2F6F4" w14:textId="3A154CBF" w:rsidR="0010186D" w:rsidRPr="0010186D" w:rsidRDefault="0010186D" w:rsidP="0010186D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 w:cs="Arial"/>
                <w:color w:val="2F5496"/>
                <w:sz w:val="18"/>
                <w:szCs w:val="18"/>
              </w:rPr>
              <w:t>6.891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5B8A868" w14:textId="3606E4F5" w:rsidR="0010186D" w:rsidRPr="00A63B52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6.445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48219FB5" w14:textId="683AC911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55.212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8BB65" w14:textId="6EDA2D27" w:rsidR="0010186D" w:rsidRPr="00A63B52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55.134   </w:t>
            </w:r>
          </w:p>
        </w:tc>
        <w:tc>
          <w:tcPr>
            <w:tcW w:w="240" w:type="dxa"/>
            <w:vAlign w:val="center"/>
          </w:tcPr>
          <w:p w14:paraId="15D5B0B9" w14:textId="77777777" w:rsidR="0010186D" w:rsidRPr="00A512B3" w:rsidRDefault="0010186D" w:rsidP="0010186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7D39E6F5" w14:textId="441A4997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color w:val="2F5496"/>
                <w:sz w:val="18"/>
                <w:szCs w:val="18"/>
              </w:rPr>
              <w:t>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315E39F8" w14:textId="58F00DBE" w:rsidR="0010186D" w:rsidRPr="00A63B52" w:rsidRDefault="0010186D" w:rsidP="0010186D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0,1</w:t>
            </w:r>
          </w:p>
        </w:tc>
      </w:tr>
      <w:tr w:rsidR="0010186D" w:rsidRPr="00A512B3" w14:paraId="131C3CBA" w14:textId="77777777" w:rsidTr="0010186D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BE179A5" w14:textId="77777777" w:rsidR="0010186D" w:rsidRDefault="0010186D" w:rsidP="0010186D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  <w:p w14:paraId="44E2DA08" w14:textId="4DD33D3F" w:rsidR="0010186D" w:rsidRDefault="0010186D" w:rsidP="0010186D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A512B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</w:t>
            </w:r>
          </w:p>
          <w:p w14:paraId="403CD8C2" w14:textId="554C9DF4" w:rsidR="0010186D" w:rsidRPr="0010186D" w:rsidRDefault="0010186D" w:rsidP="0010186D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54691C" w14:textId="271559E4" w:rsidR="0010186D" w:rsidRPr="00A512B3" w:rsidRDefault="0010186D" w:rsidP="0010186D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106.552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365140D2" w14:textId="7479AD94" w:rsidR="0010186D" w:rsidRPr="00A512B3" w:rsidRDefault="0010186D" w:rsidP="0010186D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FD4BCC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109.710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630969F" w14:textId="1D0189C7" w:rsidR="0010186D" w:rsidRPr="00A512B3" w:rsidRDefault="0010186D" w:rsidP="0010186D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1.453.704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14:paraId="710F45E6" w14:textId="5F0F63CB" w:rsidR="0010186D" w:rsidRPr="00A512B3" w:rsidRDefault="0010186D" w:rsidP="0010186D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1406C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1.445.167   </w:t>
            </w:r>
          </w:p>
        </w:tc>
        <w:tc>
          <w:tcPr>
            <w:tcW w:w="240" w:type="dxa"/>
            <w:tcBorders>
              <w:bottom w:val="single" w:sz="4" w:space="0" w:color="002060"/>
            </w:tcBorders>
            <w:vAlign w:val="center"/>
          </w:tcPr>
          <w:p w14:paraId="2F50A5DC" w14:textId="77777777" w:rsidR="0010186D" w:rsidRPr="0010186D" w:rsidRDefault="0010186D" w:rsidP="0010186D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44546A" w:themeColor="text2"/>
              <w:left w:val="nil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14:paraId="71F97739" w14:textId="5BB3E308" w:rsidR="0010186D" w:rsidRPr="0010186D" w:rsidRDefault="0010186D" w:rsidP="0010186D">
            <w:pPr>
              <w:ind w:right="397"/>
              <w:jc w:val="right"/>
              <w:rPr>
                <w:rFonts w:ascii="Verdana" w:hAnsi="Verdana"/>
                <w:b/>
                <w:bCs/>
                <w:color w:val="2F5496"/>
                <w:sz w:val="18"/>
                <w:szCs w:val="18"/>
              </w:rPr>
            </w:pPr>
            <w:r w:rsidRPr="0010186D">
              <w:rPr>
                <w:rFonts w:ascii="Verdana" w:hAnsi="Verdana"/>
                <w:b/>
                <w:bCs/>
                <w:color w:val="2F5496"/>
                <w:sz w:val="18"/>
                <w:szCs w:val="18"/>
              </w:rPr>
              <w:t>-2,9</w:t>
            </w:r>
          </w:p>
        </w:tc>
        <w:tc>
          <w:tcPr>
            <w:tcW w:w="1400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0A5FAA7D" w14:textId="5C13F318" w:rsidR="0010186D" w:rsidRPr="00531E88" w:rsidRDefault="0010186D" w:rsidP="0010186D">
            <w:pPr>
              <w:ind w:right="397"/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0,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6</w:t>
            </w:r>
          </w:p>
        </w:tc>
      </w:tr>
    </w:tbl>
    <w:p w14:paraId="4690FB2F" w14:textId="4CAD60FA" w:rsidR="00E21894" w:rsidRDefault="00E21894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BAFBEA3" w14:textId="77777777" w:rsidR="003C4AD2" w:rsidRPr="00B065C7" w:rsidRDefault="003C4AD2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1CD5888" w14:textId="77777777" w:rsidR="00B065C7" w:rsidRPr="003C4AD2" w:rsidRDefault="00B065C7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3C4AD2" w:rsidRPr="00A512B3" w14:paraId="5338DCD2" w14:textId="77777777" w:rsidTr="008676FA">
        <w:trPr>
          <w:trHeight w:val="411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E7C20DF" w14:textId="2E37B75D" w:rsidR="003C4AD2" w:rsidRPr="00A512B3" w:rsidRDefault="003C4AD2" w:rsidP="00EB6A3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 xml:space="preserve">Πίνακας </w:t>
            </w:r>
            <w:r w:rsidR="00BB6216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7B060464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30E37A6C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21DC5216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1C45C919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C4072EA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F8542A4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65A59EF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3C4AD2" w:rsidRPr="00A512B3" w14:paraId="32ADF5E5" w14:textId="77777777" w:rsidTr="008676FA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77C4A91" w14:textId="77777777" w:rsidR="003C4AD2" w:rsidRPr="00A512B3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44546A" w:themeColor="text2"/>
            </w:tcBorders>
            <w:vAlign w:val="center"/>
          </w:tcPr>
          <w:p w14:paraId="06457432" w14:textId="27F34523" w:rsidR="003C4AD2" w:rsidRPr="008676FA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8676FA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Πωλήσεις από Πρατήρια Πετρελαιοειδών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1875BA3" w14:textId="77777777" w:rsidR="003C4AD2" w:rsidRPr="00A512B3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0D33BE8" w14:textId="77777777" w:rsidR="003C4AD2" w:rsidRPr="00A512B3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841AC7" w:rsidRPr="00A512B3" w14:paraId="78297752" w14:textId="77777777" w:rsidTr="00A31A49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6BF1806" w14:textId="77777777" w:rsidR="00841AC7" w:rsidRPr="00A512B3" w:rsidRDefault="00841AC7" w:rsidP="00841A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7C09831B" w14:textId="2F0768D2" w:rsidR="00841AC7" w:rsidRPr="008676FA" w:rsidRDefault="00841AC7" w:rsidP="00841AC7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Ιαν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br/>
              <w:t>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</w:p>
        </w:tc>
        <w:tc>
          <w:tcPr>
            <w:tcW w:w="1096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13F7965A" w14:textId="61EFC62C" w:rsidR="00841AC7" w:rsidRPr="008676FA" w:rsidRDefault="00841AC7" w:rsidP="00841AC7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Ιαν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br/>
              <w:t>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269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1C4FB1C5" w14:textId="70ED4E4F" w:rsidR="00841AC7" w:rsidRPr="008676FA" w:rsidRDefault="00841AC7" w:rsidP="00841AC7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38639973" w14:textId="2FB6A4B3" w:rsidR="00841AC7" w:rsidRPr="008676FA" w:rsidRDefault="00841AC7" w:rsidP="00841AC7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6002A42C" w14:textId="77777777" w:rsidR="00841AC7" w:rsidRPr="00A512B3" w:rsidRDefault="00841AC7" w:rsidP="00841AC7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D9656" w14:textId="1F4AB556" w:rsidR="00841AC7" w:rsidRPr="00A512B3" w:rsidRDefault="00841AC7" w:rsidP="00841AC7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Ιαν</w:t>
            </w: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 xml:space="preserve"> 202</w:t>
            </w:r>
            <w: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5</w:t>
            </w: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5FABA2D2" w14:textId="77777777" w:rsidR="00841AC7" w:rsidRPr="00C6393F" w:rsidRDefault="00841AC7" w:rsidP="00841AC7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</w:p>
          <w:p w14:paraId="4DDED1F5" w14:textId="5692468A" w:rsidR="00841AC7" w:rsidRPr="00A512B3" w:rsidRDefault="00841AC7" w:rsidP="00841AC7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841AC7" w:rsidRPr="00A512B3" w14:paraId="73A005CA" w14:textId="77777777" w:rsidTr="00841AC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8464" w14:textId="4EA89DC7" w:rsidR="00841AC7" w:rsidRPr="00A512B3" w:rsidRDefault="00841AC7" w:rsidP="00841AC7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Βενζίνη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Αμόλυ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single" w:sz="4" w:space="0" w:color="44546A" w:themeColor="text2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AD70D" w14:textId="0D8F4F0D" w:rsidR="00841AC7" w:rsidRPr="00841AC7" w:rsidRDefault="00841AC7" w:rsidP="00841AC7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 w:cs="Arial"/>
                <w:color w:val="2F5496"/>
                <w:sz w:val="18"/>
                <w:szCs w:val="18"/>
              </w:rPr>
              <w:t>25.624</w:t>
            </w:r>
          </w:p>
        </w:tc>
        <w:tc>
          <w:tcPr>
            <w:tcW w:w="1096" w:type="dxa"/>
            <w:tcBorders>
              <w:top w:val="single" w:sz="4" w:space="0" w:color="44546A" w:themeColor="tex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0F0C" w14:textId="78EE8DC3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24.546</w:t>
            </w:r>
          </w:p>
        </w:tc>
        <w:tc>
          <w:tcPr>
            <w:tcW w:w="1269" w:type="dxa"/>
            <w:tcBorders>
              <w:top w:val="single" w:sz="4" w:space="0" w:color="44546A" w:themeColor="tex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2CFC" w14:textId="0615F0C3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331.739   </w:t>
            </w:r>
          </w:p>
        </w:tc>
        <w:tc>
          <w:tcPr>
            <w:tcW w:w="1269" w:type="dxa"/>
            <w:tcBorders>
              <w:top w:val="single" w:sz="4" w:space="0" w:color="44546A" w:themeColor="tex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690E" w14:textId="3DE468A8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321.282   </w:t>
            </w:r>
          </w:p>
        </w:tc>
        <w:tc>
          <w:tcPr>
            <w:tcW w:w="240" w:type="dxa"/>
            <w:vAlign w:val="center"/>
          </w:tcPr>
          <w:p w14:paraId="2E78300E" w14:textId="77777777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85297" w14:textId="6B664527" w:rsidR="00841AC7" w:rsidRPr="00841AC7" w:rsidRDefault="00841AC7" w:rsidP="00841AC7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/>
                <w:color w:val="2F5496"/>
                <w:sz w:val="18"/>
                <w:szCs w:val="18"/>
              </w:rPr>
              <w:t>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4BF7" w14:textId="22BFEE4F" w:rsidR="00841AC7" w:rsidRPr="00A512B3" w:rsidRDefault="00841AC7" w:rsidP="00841AC7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3,3</w:t>
            </w:r>
          </w:p>
        </w:tc>
      </w:tr>
      <w:tr w:rsidR="00841AC7" w:rsidRPr="00A512B3" w14:paraId="3359A9A7" w14:textId="77777777" w:rsidTr="00841AC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9E5" w14:textId="66E194E6" w:rsidR="00841AC7" w:rsidRPr="00A512B3" w:rsidRDefault="00841AC7" w:rsidP="00841AC7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CAF50" w14:textId="7DD7A2BC" w:rsidR="00841AC7" w:rsidRPr="00841AC7" w:rsidRDefault="00841AC7" w:rsidP="00841AC7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 w:cs="Arial"/>
                <w:color w:val="2F5496"/>
                <w:sz w:val="18"/>
                <w:szCs w:val="18"/>
              </w:rPr>
              <w:t>1.493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8A31" w14:textId="7EA06B70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1.579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7CFF" w14:textId="6C314781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7.084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44EF" w14:textId="0B6BED42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7.582   </w:t>
            </w:r>
          </w:p>
        </w:tc>
        <w:tc>
          <w:tcPr>
            <w:tcW w:w="240" w:type="dxa"/>
            <w:vAlign w:val="center"/>
          </w:tcPr>
          <w:p w14:paraId="3841803B" w14:textId="77777777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3791" w14:textId="078F2952" w:rsidR="00841AC7" w:rsidRPr="00841AC7" w:rsidRDefault="00841AC7" w:rsidP="00841AC7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/>
                <w:color w:val="2F5496"/>
                <w:sz w:val="18"/>
                <w:szCs w:val="18"/>
              </w:rPr>
              <w:t>-5,4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913D" w14:textId="28DE021C" w:rsidR="00841AC7" w:rsidRPr="00A512B3" w:rsidRDefault="00841AC7" w:rsidP="00841AC7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-6,6</w:t>
            </w:r>
          </w:p>
        </w:tc>
      </w:tr>
      <w:tr w:rsidR="00841AC7" w:rsidRPr="00A512B3" w14:paraId="11FA7332" w14:textId="77777777" w:rsidTr="00841AC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3301" w14:textId="1877675B" w:rsidR="00841AC7" w:rsidRPr="00A512B3" w:rsidRDefault="00841AC7" w:rsidP="00841AC7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75DD8" w14:textId="71DECCC4" w:rsidR="00841AC7" w:rsidRPr="00841AC7" w:rsidRDefault="00841AC7" w:rsidP="00841AC7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 w:cs="Arial"/>
                <w:color w:val="2F5496"/>
                <w:sz w:val="18"/>
                <w:szCs w:val="18"/>
              </w:rPr>
              <w:t>21.372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EEF4" w14:textId="0ED7BC45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20.525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C50F" w14:textId="483EE39C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280.212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8FB0" w14:textId="5D3E505A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273.229   </w:t>
            </w:r>
          </w:p>
        </w:tc>
        <w:tc>
          <w:tcPr>
            <w:tcW w:w="240" w:type="dxa"/>
            <w:vAlign w:val="center"/>
          </w:tcPr>
          <w:p w14:paraId="3A0F3877" w14:textId="77777777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0BC9" w14:textId="60CF7797" w:rsidR="00841AC7" w:rsidRPr="00841AC7" w:rsidRDefault="00841AC7" w:rsidP="00841AC7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/>
                <w:color w:val="2F5496"/>
                <w:sz w:val="18"/>
                <w:szCs w:val="18"/>
              </w:rPr>
              <w:t>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2711" w14:textId="72F89C75" w:rsidR="00841AC7" w:rsidRPr="00A512B3" w:rsidRDefault="00841AC7" w:rsidP="00841AC7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2,6</w:t>
            </w:r>
          </w:p>
        </w:tc>
      </w:tr>
      <w:tr w:rsidR="00841AC7" w:rsidRPr="00A512B3" w14:paraId="5E059E6A" w14:textId="77777777" w:rsidTr="00841AC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B99" w14:textId="19969EDB" w:rsidR="00841AC7" w:rsidRPr="00A512B3" w:rsidRDefault="00841AC7" w:rsidP="00841AC7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Γεωργικό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3BC88" w14:textId="5964D649" w:rsidR="00841AC7" w:rsidRPr="00841AC7" w:rsidRDefault="00841AC7" w:rsidP="00841AC7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 w:cs="Arial"/>
                <w:color w:val="2F5496"/>
                <w:sz w:val="18"/>
                <w:szCs w:val="18"/>
              </w:rPr>
              <w:t>1.098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7FFB" w14:textId="113BCC60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1.064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7A1A" w14:textId="47E89419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15.087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20F3" w14:textId="7F9EA4C5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14.077   </w:t>
            </w:r>
          </w:p>
        </w:tc>
        <w:tc>
          <w:tcPr>
            <w:tcW w:w="240" w:type="dxa"/>
            <w:vAlign w:val="center"/>
          </w:tcPr>
          <w:p w14:paraId="2FEFB42A" w14:textId="77777777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7757" w14:textId="31FA5E6F" w:rsidR="00841AC7" w:rsidRPr="00841AC7" w:rsidRDefault="00841AC7" w:rsidP="00841AC7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/>
                <w:color w:val="2F5496"/>
                <w:sz w:val="18"/>
                <w:szCs w:val="18"/>
              </w:rPr>
              <w:t>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1468" w14:textId="320FF29A" w:rsidR="00841AC7" w:rsidRPr="00A512B3" w:rsidRDefault="00841AC7" w:rsidP="00841AC7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</w:tr>
      <w:tr w:rsidR="00841AC7" w:rsidRPr="00A512B3" w14:paraId="2BAA46A5" w14:textId="77777777" w:rsidTr="00841AC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109" w14:textId="79E6BEC6" w:rsidR="00841AC7" w:rsidRPr="00A512B3" w:rsidRDefault="00841AC7" w:rsidP="00841AC7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Θέρμ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4E8A9" w14:textId="4ABEF6BC" w:rsidR="00841AC7" w:rsidRPr="00841AC7" w:rsidRDefault="00841AC7" w:rsidP="00841AC7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 w:cs="Arial"/>
                <w:color w:val="2F5496"/>
                <w:sz w:val="18"/>
                <w:szCs w:val="18"/>
              </w:rPr>
              <w:t>6.786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4C52" w14:textId="5C0C299F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6.772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D716" w14:textId="79143FB1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46.997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0CAF" w14:textId="584D0844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48.977   </w:t>
            </w:r>
          </w:p>
        </w:tc>
        <w:tc>
          <w:tcPr>
            <w:tcW w:w="240" w:type="dxa"/>
            <w:vAlign w:val="center"/>
          </w:tcPr>
          <w:p w14:paraId="71FD570F" w14:textId="77777777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D137" w14:textId="07C70980" w:rsidR="00841AC7" w:rsidRPr="00841AC7" w:rsidRDefault="00841AC7" w:rsidP="00841AC7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/>
                <w:color w:val="2F5496"/>
                <w:sz w:val="18"/>
                <w:szCs w:val="18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AB6" w14:textId="6DE5B394" w:rsidR="00841AC7" w:rsidRPr="00A512B3" w:rsidRDefault="00841AC7" w:rsidP="00841AC7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-4,0</w:t>
            </w:r>
          </w:p>
        </w:tc>
      </w:tr>
      <w:tr w:rsidR="00841AC7" w:rsidRPr="00A512B3" w14:paraId="04933586" w14:textId="77777777" w:rsidTr="00841AC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E934" w14:textId="3D5F55AA" w:rsidR="00841AC7" w:rsidRPr="00A512B3" w:rsidRDefault="00841AC7" w:rsidP="00841AC7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Ελ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αφρύ Μα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351BF" w14:textId="463C3AF2" w:rsidR="00841AC7" w:rsidRPr="00841AC7" w:rsidRDefault="00841AC7" w:rsidP="00841AC7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 w:cs="Arial"/>
                <w:color w:val="2F5496"/>
                <w:sz w:val="18"/>
                <w:szCs w:val="18"/>
              </w:rPr>
              <w:t>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EEC4" w14:textId="443A3E79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C200" w14:textId="09E6AA18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405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49F4" w14:textId="428C49D8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443   </w:t>
            </w:r>
          </w:p>
        </w:tc>
        <w:tc>
          <w:tcPr>
            <w:tcW w:w="240" w:type="dxa"/>
            <w:vAlign w:val="center"/>
          </w:tcPr>
          <w:p w14:paraId="0917C1DA" w14:textId="77777777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821D" w14:textId="750C9702" w:rsidR="00841AC7" w:rsidRPr="00841AC7" w:rsidRDefault="00841AC7" w:rsidP="00841AC7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/>
                <w:color w:val="2F5496"/>
                <w:sz w:val="18"/>
                <w:szCs w:val="18"/>
              </w:rPr>
              <w:t>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7C08" w14:textId="18845E29" w:rsidR="00841AC7" w:rsidRPr="00A512B3" w:rsidRDefault="00841AC7" w:rsidP="00841AC7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-8,6</w:t>
            </w:r>
          </w:p>
        </w:tc>
      </w:tr>
      <w:tr w:rsidR="00841AC7" w:rsidRPr="00A512B3" w14:paraId="30CA887F" w14:textId="77777777" w:rsidTr="00841AC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1E78F766" w14:textId="69A611BE" w:rsidR="00841AC7" w:rsidRPr="00A512B3" w:rsidRDefault="00841AC7" w:rsidP="00841AC7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Λι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παντικά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Λάδι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B7D3DB" w14:textId="29426716" w:rsidR="00841AC7" w:rsidRPr="00841AC7" w:rsidRDefault="00841AC7" w:rsidP="00841AC7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 w:cs="Arial"/>
                <w:color w:val="2F5496"/>
                <w:sz w:val="18"/>
                <w:szCs w:val="18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73D32" w14:textId="632675A8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6953" w14:textId="7BB7BC29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1.266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C7DE8" w14:textId="51F40779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1.203   </w:t>
            </w:r>
          </w:p>
        </w:tc>
        <w:tc>
          <w:tcPr>
            <w:tcW w:w="240" w:type="dxa"/>
            <w:vAlign w:val="center"/>
          </w:tcPr>
          <w:p w14:paraId="50A6DE35" w14:textId="77777777" w:rsidR="00841AC7" w:rsidRPr="00A512B3" w:rsidRDefault="00841AC7" w:rsidP="00841AC7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2CA7888C" w14:textId="4057CD7D" w:rsidR="00841AC7" w:rsidRPr="00841AC7" w:rsidRDefault="00841AC7" w:rsidP="00841AC7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/>
                <w:color w:val="2F5496"/>
                <w:sz w:val="18"/>
                <w:szCs w:val="18"/>
              </w:rPr>
              <w:t>-5,7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322E2EEA" w14:textId="59AD64CB" w:rsidR="00841AC7" w:rsidRPr="00A512B3" w:rsidRDefault="00841AC7" w:rsidP="00841AC7">
            <w:pPr>
              <w:ind w:right="397"/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5,2</w:t>
            </w:r>
          </w:p>
        </w:tc>
      </w:tr>
      <w:tr w:rsidR="00841AC7" w:rsidRPr="00A512B3" w14:paraId="7697036F" w14:textId="77777777" w:rsidTr="00841AC7">
        <w:trPr>
          <w:trHeight w:val="397"/>
          <w:jc w:val="center"/>
        </w:trPr>
        <w:tc>
          <w:tcPr>
            <w:tcW w:w="2367" w:type="dxa"/>
            <w:tcBorders>
              <w:top w:val="single" w:sz="4" w:space="0" w:color="44546A" w:themeColor="text2"/>
              <w:bottom w:val="single" w:sz="4" w:space="0" w:color="2F5496" w:themeColor="accent1" w:themeShade="BF"/>
            </w:tcBorders>
            <w:vAlign w:val="center"/>
          </w:tcPr>
          <w:p w14:paraId="64E34088" w14:textId="77777777" w:rsidR="00841AC7" w:rsidRPr="00A512B3" w:rsidRDefault="00841AC7" w:rsidP="00841AC7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A512B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</w:t>
            </w: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D2F9DC9" w14:textId="19517194" w:rsidR="00841AC7" w:rsidRPr="00841AC7" w:rsidRDefault="00841AC7" w:rsidP="00841AC7">
            <w:pPr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841AC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56.518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26C515F1" w14:textId="29C51606" w:rsidR="00841AC7" w:rsidRPr="00163319" w:rsidRDefault="00841AC7" w:rsidP="00841AC7">
            <w:pPr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FD4BCC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54.635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1E78402" w14:textId="481181B0" w:rsidR="00841AC7" w:rsidRPr="00A512B3" w:rsidRDefault="00841AC7" w:rsidP="00841AC7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682.790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14:paraId="59C0292D" w14:textId="0D03B4A6" w:rsidR="00841AC7" w:rsidRPr="00A512B3" w:rsidRDefault="00841AC7" w:rsidP="00841AC7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D2D4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666.793   </w:t>
            </w:r>
          </w:p>
        </w:tc>
        <w:tc>
          <w:tcPr>
            <w:tcW w:w="240" w:type="dxa"/>
            <w:tcBorders>
              <w:bottom w:val="single" w:sz="4" w:space="0" w:color="002060"/>
            </w:tcBorders>
            <w:vAlign w:val="center"/>
          </w:tcPr>
          <w:p w14:paraId="3BF88548" w14:textId="77777777" w:rsidR="00841AC7" w:rsidRPr="00A512B3" w:rsidRDefault="00841AC7" w:rsidP="00841AC7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44546A" w:themeColor="text2"/>
              <w:left w:val="nil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14:paraId="481DDE24" w14:textId="6FC880FD" w:rsidR="00841AC7" w:rsidRPr="00841AC7" w:rsidRDefault="00841AC7" w:rsidP="00841AC7">
            <w:pPr>
              <w:ind w:right="397"/>
              <w:jc w:val="right"/>
              <w:rPr>
                <w:rFonts w:ascii="Verdana" w:hAnsi="Verdana"/>
                <w:b/>
                <w:bCs/>
                <w:color w:val="2F5496"/>
                <w:sz w:val="18"/>
                <w:szCs w:val="18"/>
              </w:rPr>
            </w:pPr>
            <w:r w:rsidRPr="00841AC7">
              <w:rPr>
                <w:rFonts w:ascii="Verdana" w:hAnsi="Verdana"/>
                <w:b/>
                <w:bCs/>
                <w:color w:val="2F5496"/>
                <w:sz w:val="18"/>
                <w:szCs w:val="18"/>
              </w:rPr>
              <w:t>3,4</w:t>
            </w:r>
          </w:p>
        </w:tc>
        <w:tc>
          <w:tcPr>
            <w:tcW w:w="1400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3CDFF3C1" w14:textId="6F3EB395" w:rsidR="00841AC7" w:rsidRPr="00A512B3" w:rsidRDefault="00841AC7" w:rsidP="00841AC7">
            <w:pPr>
              <w:ind w:right="397"/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2,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</w:tr>
    </w:tbl>
    <w:p w14:paraId="3C3F793B" w14:textId="77777777" w:rsidR="003C4AD2" w:rsidRPr="003C4AD2" w:rsidRDefault="003C4AD2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07D54F5" w14:textId="77777777" w:rsidR="00163319" w:rsidRDefault="00163319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2CFF33E2" w14:textId="77777777" w:rsidR="00163319" w:rsidRDefault="00163319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30C043A" w14:textId="77777777" w:rsidR="00163319" w:rsidRDefault="00163319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10B766CA" w14:textId="77777777" w:rsidR="00163319" w:rsidRDefault="00163319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7C84E4F8" w14:textId="77777777" w:rsidR="00163319" w:rsidRDefault="00163319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68755B2B" w14:textId="77777777" w:rsidR="00163319" w:rsidRDefault="00163319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797CE836" w14:textId="7937714F" w:rsidR="00FB55A5" w:rsidRPr="00136365" w:rsidRDefault="00FB55A5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3C4AD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7E550AF" w14:textId="77777777" w:rsidR="00FB55A5" w:rsidRPr="003C4AD2" w:rsidRDefault="00FB55A5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>
        <w:fldChar w:fldCharType="begin"/>
      </w:r>
      <w:r>
        <w:instrText>HYPERLINK</w:instrText>
      </w:r>
      <w:r w:rsidRPr="008623FD">
        <w:rPr>
          <w:lang w:val="el-GR"/>
        </w:rPr>
        <w:instrText xml:space="preserve"> "</w:instrText>
      </w:r>
      <w:r>
        <w:instrText>https</w:instrText>
      </w:r>
      <w:r w:rsidRPr="008623FD">
        <w:rPr>
          <w:lang w:val="el-GR"/>
        </w:rPr>
        <w:instrText>://</w:instrText>
      </w:r>
      <w:r>
        <w:instrText>www</w:instrText>
      </w:r>
      <w:r w:rsidRPr="008623FD">
        <w:rPr>
          <w:lang w:val="el-GR"/>
        </w:rPr>
        <w:instrText>.</w:instrText>
      </w:r>
      <w:r>
        <w:instrText>cystat</w:instrText>
      </w:r>
      <w:r w:rsidRPr="008623FD">
        <w:rPr>
          <w:lang w:val="el-GR"/>
        </w:rPr>
        <w:instrText>.</w:instrText>
      </w:r>
      <w:r>
        <w:instrText>gov</w:instrText>
      </w:r>
      <w:r w:rsidRPr="008623FD">
        <w:rPr>
          <w:lang w:val="el-GR"/>
        </w:rPr>
        <w:instrText>.</w:instrText>
      </w:r>
      <w:r>
        <w:instrText>cy</w:instrText>
      </w:r>
      <w:r w:rsidRPr="008623FD">
        <w:rPr>
          <w:lang w:val="el-GR"/>
        </w:rPr>
        <w:instrText>/</w:instrText>
      </w:r>
      <w:r>
        <w:instrText>el</w:instrText>
      </w:r>
      <w:r w:rsidRPr="008623FD">
        <w:rPr>
          <w:lang w:val="el-GR"/>
        </w:rPr>
        <w:instrText>/</w:instrText>
      </w:r>
      <w:r>
        <w:instrText>SubthemeStatistics</w:instrText>
      </w:r>
      <w:r w:rsidRPr="008623FD">
        <w:rPr>
          <w:lang w:val="el-GR"/>
        </w:rPr>
        <w:instrText>?</w:instrText>
      </w:r>
      <w:r>
        <w:instrText>s</w:instrText>
      </w:r>
      <w:r w:rsidRPr="008623FD">
        <w:rPr>
          <w:lang w:val="el-GR"/>
        </w:rPr>
        <w:instrText>=34"</w:instrText>
      </w:r>
      <w:r>
        <w:fldChar w:fldCharType="separate"/>
      </w:r>
      <w:r w:rsidRPr="00C91550">
        <w:rPr>
          <w:rFonts w:ascii="Verdana" w:hAnsi="Verdana"/>
          <w:color w:val="0000FF"/>
          <w:sz w:val="18"/>
          <w:szCs w:val="18"/>
          <w:u w:val="single"/>
          <w:lang w:val="el-GR"/>
        </w:rPr>
        <w:t>Ενέργεια</w:t>
      </w:r>
      <w:r>
        <w:fldChar w:fldCharType="end"/>
      </w:r>
    </w:p>
    <w:p w14:paraId="5F5DFA6F" w14:textId="77777777" w:rsidR="00C91550" w:rsidRPr="00C91550" w:rsidRDefault="00C91550" w:rsidP="00C91550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8623FD">
        <w:rPr>
          <w:lang w:val="el-GR"/>
        </w:rPr>
        <w:instrText xml:space="preserve"> "</w:instrText>
      </w:r>
      <w:r>
        <w:instrText>https</w:instrText>
      </w:r>
      <w:r w:rsidRPr="008623FD">
        <w:rPr>
          <w:lang w:val="el-GR"/>
        </w:rPr>
        <w:instrText>://</w:instrText>
      </w:r>
      <w:r>
        <w:instrText>cystatdb</w:instrText>
      </w:r>
      <w:r w:rsidRPr="008623FD">
        <w:rPr>
          <w:lang w:val="el-GR"/>
        </w:rPr>
        <w:instrText>.</w:instrText>
      </w:r>
      <w:r>
        <w:instrText>cystat</w:instrText>
      </w:r>
      <w:r w:rsidRPr="008623FD">
        <w:rPr>
          <w:lang w:val="el-GR"/>
        </w:rPr>
        <w:instrText>.</w:instrText>
      </w:r>
      <w:r>
        <w:instrText>gov</w:instrText>
      </w:r>
      <w:r w:rsidRPr="008623FD">
        <w:rPr>
          <w:lang w:val="el-GR"/>
        </w:rPr>
        <w:instrText>.</w:instrText>
      </w:r>
      <w:r>
        <w:instrText>cy</w:instrText>
      </w:r>
      <w:r w:rsidRPr="008623FD">
        <w:rPr>
          <w:lang w:val="el-GR"/>
        </w:rPr>
        <w:instrText>/</w:instrText>
      </w:r>
      <w:r>
        <w:instrText>pxweb</w:instrText>
      </w:r>
      <w:r w:rsidRPr="008623FD">
        <w:rPr>
          <w:lang w:val="el-GR"/>
        </w:rPr>
        <w:instrText>/</w:instrText>
      </w:r>
      <w:r>
        <w:instrText>el</w:instrText>
      </w:r>
      <w:r w:rsidRPr="008623FD">
        <w:rPr>
          <w:lang w:val="el-GR"/>
        </w:rPr>
        <w:instrText>/8.</w:instrText>
      </w:r>
      <w:r>
        <w:instrText>CYSTAT</w:instrText>
      </w:r>
      <w:r w:rsidRPr="008623FD">
        <w:rPr>
          <w:lang w:val="el-GR"/>
        </w:rPr>
        <w:instrText>-</w:instrText>
      </w:r>
      <w:r>
        <w:instrText>DB</w:instrText>
      </w:r>
      <w:r w:rsidRPr="008623FD">
        <w:rPr>
          <w:lang w:val="el-GR"/>
        </w:rPr>
        <w:instrText>/8.</w:instrText>
      </w:r>
      <w:r>
        <w:instrText>CYSTAT</w:instrText>
      </w:r>
      <w:r w:rsidRPr="008623FD">
        <w:rPr>
          <w:lang w:val="el-GR"/>
        </w:rPr>
        <w:instrText>-</w:instrText>
      </w:r>
      <w:r>
        <w:instrText>DB</w:instrText>
      </w:r>
      <w:r w:rsidRPr="008623FD">
        <w:rPr>
          <w:lang w:val="el-GR"/>
        </w:rPr>
        <w:instrText>__</w:instrText>
      </w:r>
      <w:r>
        <w:instrText>Energy</w:instrText>
      </w:r>
      <w:r w:rsidRPr="008623FD">
        <w:rPr>
          <w:lang w:val="el-GR"/>
        </w:rPr>
        <w:instrText>__"</w:instrText>
      </w:r>
      <w:r>
        <w:fldChar w:fldCharType="separate"/>
      </w:r>
      <w:r w:rsidRPr="00C91550">
        <w:rPr>
          <w:rFonts w:ascii="Verdana" w:hAnsi="Verdana"/>
          <w:color w:val="0000FF"/>
          <w:sz w:val="18"/>
          <w:szCs w:val="18"/>
          <w:u w:val="single"/>
        </w:rPr>
        <w:t>CYSTAT</w:t>
      </w:r>
      <w:r w:rsidRPr="00C91550">
        <w:rPr>
          <w:rFonts w:ascii="Verdana" w:hAnsi="Verdana"/>
          <w:color w:val="0000FF"/>
          <w:sz w:val="18"/>
          <w:szCs w:val="18"/>
          <w:u w:val="single"/>
          <w:lang w:val="el-GR"/>
        </w:rPr>
        <w:t>-</w:t>
      </w:r>
      <w:r w:rsidRPr="00C91550">
        <w:rPr>
          <w:rFonts w:ascii="Verdana" w:hAnsi="Verdana"/>
          <w:color w:val="0000FF"/>
          <w:sz w:val="18"/>
          <w:szCs w:val="18"/>
          <w:u w:val="single"/>
        </w:rPr>
        <w:t>DB</w:t>
      </w:r>
      <w:r>
        <w:fldChar w:fldCharType="end"/>
      </w:r>
      <w:r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C91550" w:rsidP="00C91550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8623FD">
        <w:rPr>
          <w:lang w:val="el-GR"/>
        </w:rPr>
        <w:instrText xml:space="preserve"> "</w:instrText>
      </w:r>
      <w:r>
        <w:instrText>https</w:instrText>
      </w:r>
      <w:r w:rsidRPr="008623FD">
        <w:rPr>
          <w:lang w:val="el-GR"/>
        </w:rPr>
        <w:instrText>://</w:instrText>
      </w:r>
      <w:r>
        <w:instrText>www</w:instrText>
      </w:r>
      <w:r w:rsidRPr="008623FD">
        <w:rPr>
          <w:lang w:val="el-GR"/>
        </w:rPr>
        <w:instrText>.</w:instrText>
      </w:r>
      <w:r>
        <w:instrText>cystat</w:instrText>
      </w:r>
      <w:r w:rsidRPr="008623FD">
        <w:rPr>
          <w:lang w:val="el-GR"/>
        </w:rPr>
        <w:instrText>.</w:instrText>
      </w:r>
      <w:r>
        <w:instrText>gov</w:instrText>
      </w:r>
      <w:r w:rsidRPr="008623FD">
        <w:rPr>
          <w:lang w:val="el-GR"/>
        </w:rPr>
        <w:instrText>.</w:instrText>
      </w:r>
      <w:r>
        <w:instrText>cy</w:instrText>
      </w:r>
      <w:r w:rsidRPr="008623FD">
        <w:rPr>
          <w:lang w:val="el-GR"/>
        </w:rPr>
        <w:instrText>/</w:instrText>
      </w:r>
      <w:r>
        <w:instrText>el</w:instrText>
      </w:r>
      <w:r w:rsidRPr="008623FD">
        <w:rPr>
          <w:lang w:val="el-GR"/>
        </w:rPr>
        <w:instrText>/</w:instrText>
      </w:r>
      <w:r>
        <w:instrText>KeyFiguresList</w:instrText>
      </w:r>
      <w:r w:rsidRPr="008623FD">
        <w:rPr>
          <w:lang w:val="el-GR"/>
        </w:rPr>
        <w:instrText>?</w:instrText>
      </w:r>
      <w:r>
        <w:instrText>s</w:instrText>
      </w:r>
      <w:r w:rsidRPr="008623FD">
        <w:rPr>
          <w:lang w:val="el-GR"/>
        </w:rPr>
        <w:instrText>=34"</w:instrText>
      </w:r>
      <w:r>
        <w:fldChar w:fldCharType="separate"/>
      </w:r>
      <w:r w:rsidRPr="00C91550">
        <w:rPr>
          <w:rFonts w:ascii="Verdana" w:hAnsi="Verdana"/>
          <w:color w:val="0000FF"/>
          <w:sz w:val="18"/>
          <w:szCs w:val="18"/>
          <w:u w:val="single"/>
          <w:lang w:val="el-GR"/>
        </w:rPr>
        <w:t>Προκαθορισμένοι Πίνακες</w:t>
      </w:r>
      <w:r>
        <w:fldChar w:fldCharType="end"/>
      </w:r>
      <w:r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Pr="00C91550">
        <w:rPr>
          <w:rFonts w:ascii="Verdana" w:hAnsi="Verdana"/>
          <w:sz w:val="18"/>
          <w:szCs w:val="18"/>
        </w:rPr>
        <w:t>Excel</w:t>
      </w:r>
      <w:r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3D646B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8623FD">
        <w:rPr>
          <w:lang w:val="el-GR"/>
        </w:rPr>
        <w:instrText xml:space="preserve"> "</w:instrText>
      </w:r>
      <w:r>
        <w:instrText>https</w:instrText>
      </w:r>
      <w:r w:rsidRPr="008623FD">
        <w:rPr>
          <w:lang w:val="el-GR"/>
        </w:rPr>
        <w:instrText>://</w:instrText>
      </w:r>
      <w:r>
        <w:instrText>www</w:instrText>
      </w:r>
      <w:r w:rsidRPr="008623FD">
        <w:rPr>
          <w:lang w:val="el-GR"/>
        </w:rPr>
        <w:instrText>.</w:instrText>
      </w:r>
      <w:r>
        <w:instrText>cystat</w:instrText>
      </w:r>
      <w:r w:rsidRPr="008623FD">
        <w:rPr>
          <w:lang w:val="el-GR"/>
        </w:rPr>
        <w:instrText>.</w:instrText>
      </w:r>
      <w:r>
        <w:instrText>gov</w:instrText>
      </w:r>
      <w:r w:rsidRPr="008623FD">
        <w:rPr>
          <w:lang w:val="el-GR"/>
        </w:rPr>
        <w:instrText>.</w:instrText>
      </w:r>
      <w:r>
        <w:instrText>cy</w:instrText>
      </w:r>
      <w:r w:rsidRPr="008623FD">
        <w:rPr>
          <w:lang w:val="el-GR"/>
        </w:rPr>
        <w:instrText>/</w:instrText>
      </w:r>
      <w:r>
        <w:instrText>el</w:instrText>
      </w:r>
      <w:r w:rsidRPr="008623FD">
        <w:rPr>
          <w:lang w:val="el-GR"/>
        </w:rPr>
        <w:instrText>/</w:instrText>
      </w:r>
      <w:r>
        <w:instrText>MethodologicalDetails</w:instrText>
      </w:r>
      <w:r w:rsidRPr="008623FD">
        <w:rPr>
          <w:lang w:val="el-GR"/>
        </w:rPr>
        <w:instrText>?</w:instrText>
      </w:r>
      <w:r>
        <w:instrText>m</w:instrText>
      </w:r>
      <w:r w:rsidRPr="008623FD">
        <w:rPr>
          <w:lang w:val="el-GR"/>
        </w:rPr>
        <w:instrText>=2195" \</w:instrText>
      </w:r>
      <w:r>
        <w:instrText>o</w:instrText>
      </w:r>
      <w:r w:rsidRPr="008623FD">
        <w:rPr>
          <w:lang w:val="el-GR"/>
        </w:rPr>
        <w:instrText xml:space="preserve"> "Μεθοδολογικές Πληροφορίες"</w:instrText>
      </w:r>
      <w:r>
        <w:fldChar w:fldCharType="separate"/>
      </w:r>
      <w:r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Μεθοδολογικές Πληροφορίες</w:t>
      </w:r>
      <w:r>
        <w:fldChar w:fldCharType="end"/>
      </w:r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9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85757E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8D6C" w14:textId="77777777" w:rsidR="004B0F6A" w:rsidRDefault="004B0F6A" w:rsidP="00FB398F">
      <w:r>
        <w:separator/>
      </w:r>
    </w:p>
  </w:endnote>
  <w:endnote w:type="continuationSeparator" w:id="0">
    <w:p w14:paraId="07FAE3CD" w14:textId="77777777" w:rsidR="004B0F6A" w:rsidRDefault="004B0F6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BE11" w14:textId="7777777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A12E81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422C6C2A" w14:textId="3C8BDA94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8623FD">
      <w:rPr>
        <w:rFonts w:ascii="Arial" w:hAnsi="Arial" w:cs="Arial"/>
        <w:i/>
        <w:iCs/>
        <w:sz w:val="16"/>
        <w:szCs w:val="16"/>
      </w:rPr>
      <w:t xml:space="preserve">.: 22 602129, 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="004E4F42" w:rsidRPr="00A12E81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3D3E66DE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C58B" w14:textId="77777777" w:rsidR="004B0F6A" w:rsidRDefault="004B0F6A" w:rsidP="00FB398F">
      <w:r>
        <w:separator/>
      </w:r>
    </w:p>
  </w:footnote>
  <w:footnote w:type="continuationSeparator" w:id="0">
    <w:p w14:paraId="4D2DBC11" w14:textId="77777777" w:rsidR="004B0F6A" w:rsidRDefault="004B0F6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64958">
    <w:abstractNumId w:val="5"/>
  </w:num>
  <w:num w:numId="2" w16cid:durableId="1187255236">
    <w:abstractNumId w:val="2"/>
  </w:num>
  <w:num w:numId="3" w16cid:durableId="1238712794">
    <w:abstractNumId w:val="3"/>
  </w:num>
  <w:num w:numId="4" w16cid:durableId="1960528035">
    <w:abstractNumId w:val="4"/>
  </w:num>
  <w:num w:numId="5" w16cid:durableId="1260721549">
    <w:abstractNumId w:val="1"/>
  </w:num>
  <w:num w:numId="6" w16cid:durableId="1977300591">
    <w:abstractNumId w:val="6"/>
  </w:num>
  <w:num w:numId="7" w16cid:durableId="13885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B46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603D"/>
    <w:rsid w:val="000365A4"/>
    <w:rsid w:val="00045088"/>
    <w:rsid w:val="00045390"/>
    <w:rsid w:val="00045A06"/>
    <w:rsid w:val="0004770A"/>
    <w:rsid w:val="00050391"/>
    <w:rsid w:val="00050EC8"/>
    <w:rsid w:val="00055291"/>
    <w:rsid w:val="00055BB9"/>
    <w:rsid w:val="000563D3"/>
    <w:rsid w:val="00057162"/>
    <w:rsid w:val="00057E44"/>
    <w:rsid w:val="00061299"/>
    <w:rsid w:val="00066FA8"/>
    <w:rsid w:val="000671E6"/>
    <w:rsid w:val="00070576"/>
    <w:rsid w:val="00072074"/>
    <w:rsid w:val="00073C3D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2728"/>
    <w:rsid w:val="000B3367"/>
    <w:rsid w:val="000B40DB"/>
    <w:rsid w:val="000B4267"/>
    <w:rsid w:val="000B5492"/>
    <w:rsid w:val="000B579E"/>
    <w:rsid w:val="000B79C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186D"/>
    <w:rsid w:val="00103E27"/>
    <w:rsid w:val="001046DA"/>
    <w:rsid w:val="00106852"/>
    <w:rsid w:val="00107DBB"/>
    <w:rsid w:val="00110F9D"/>
    <w:rsid w:val="00114A67"/>
    <w:rsid w:val="00114BC1"/>
    <w:rsid w:val="0011536F"/>
    <w:rsid w:val="001237C9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3D3"/>
    <w:rsid w:val="00136365"/>
    <w:rsid w:val="00142848"/>
    <w:rsid w:val="00143ED6"/>
    <w:rsid w:val="0015118B"/>
    <w:rsid w:val="001519CE"/>
    <w:rsid w:val="001530A1"/>
    <w:rsid w:val="001540D4"/>
    <w:rsid w:val="00161CF3"/>
    <w:rsid w:val="00162C00"/>
    <w:rsid w:val="00163319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95E"/>
    <w:rsid w:val="00186717"/>
    <w:rsid w:val="00187789"/>
    <w:rsid w:val="00187FFC"/>
    <w:rsid w:val="00194386"/>
    <w:rsid w:val="001959E3"/>
    <w:rsid w:val="00197FEA"/>
    <w:rsid w:val="001A1480"/>
    <w:rsid w:val="001A2018"/>
    <w:rsid w:val="001A2191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549B"/>
    <w:rsid w:val="001C62B3"/>
    <w:rsid w:val="001C6A58"/>
    <w:rsid w:val="001C6D54"/>
    <w:rsid w:val="001C7C8C"/>
    <w:rsid w:val="001D0D6A"/>
    <w:rsid w:val="001D20A4"/>
    <w:rsid w:val="001D53A1"/>
    <w:rsid w:val="001E00D1"/>
    <w:rsid w:val="001E0E58"/>
    <w:rsid w:val="001E14F3"/>
    <w:rsid w:val="001E15ED"/>
    <w:rsid w:val="001E3856"/>
    <w:rsid w:val="001E47CD"/>
    <w:rsid w:val="001E61AA"/>
    <w:rsid w:val="001E748F"/>
    <w:rsid w:val="001E7658"/>
    <w:rsid w:val="001F5381"/>
    <w:rsid w:val="001F5498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67FC1"/>
    <w:rsid w:val="00273C8A"/>
    <w:rsid w:val="0027474C"/>
    <w:rsid w:val="00274E2B"/>
    <w:rsid w:val="002818A5"/>
    <w:rsid w:val="00281B73"/>
    <w:rsid w:val="00281D55"/>
    <w:rsid w:val="0028338F"/>
    <w:rsid w:val="0028381B"/>
    <w:rsid w:val="002846E4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12264"/>
    <w:rsid w:val="00312C52"/>
    <w:rsid w:val="00313F37"/>
    <w:rsid w:val="003141D0"/>
    <w:rsid w:val="003168C1"/>
    <w:rsid w:val="00322FBE"/>
    <w:rsid w:val="00325570"/>
    <w:rsid w:val="00325632"/>
    <w:rsid w:val="003263AF"/>
    <w:rsid w:val="00327549"/>
    <w:rsid w:val="003341A3"/>
    <w:rsid w:val="003342A5"/>
    <w:rsid w:val="00334616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0751"/>
    <w:rsid w:val="0038153A"/>
    <w:rsid w:val="00383AC7"/>
    <w:rsid w:val="00386FC7"/>
    <w:rsid w:val="00390A32"/>
    <w:rsid w:val="00397055"/>
    <w:rsid w:val="003A0859"/>
    <w:rsid w:val="003A1142"/>
    <w:rsid w:val="003A1E91"/>
    <w:rsid w:val="003A241F"/>
    <w:rsid w:val="003A40F2"/>
    <w:rsid w:val="003A43E9"/>
    <w:rsid w:val="003A50D1"/>
    <w:rsid w:val="003A667A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4AD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CE2"/>
    <w:rsid w:val="003E2627"/>
    <w:rsid w:val="003E3E46"/>
    <w:rsid w:val="003E6FF5"/>
    <w:rsid w:val="003F118C"/>
    <w:rsid w:val="003F1C6D"/>
    <w:rsid w:val="003F2CBC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0784F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FB1"/>
    <w:rsid w:val="0045145A"/>
    <w:rsid w:val="00452753"/>
    <w:rsid w:val="0045603D"/>
    <w:rsid w:val="0046078F"/>
    <w:rsid w:val="00463214"/>
    <w:rsid w:val="0046434D"/>
    <w:rsid w:val="00464F69"/>
    <w:rsid w:val="00464FEB"/>
    <w:rsid w:val="004656FA"/>
    <w:rsid w:val="00471C9C"/>
    <w:rsid w:val="00471D77"/>
    <w:rsid w:val="00475566"/>
    <w:rsid w:val="00475587"/>
    <w:rsid w:val="00480BC2"/>
    <w:rsid w:val="004821AA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B0F6A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B7F49"/>
    <w:rsid w:val="004C0966"/>
    <w:rsid w:val="004C2A4B"/>
    <w:rsid w:val="004C390D"/>
    <w:rsid w:val="004C394D"/>
    <w:rsid w:val="004C6340"/>
    <w:rsid w:val="004C6CA7"/>
    <w:rsid w:val="004D071F"/>
    <w:rsid w:val="004D2721"/>
    <w:rsid w:val="004D4357"/>
    <w:rsid w:val="004D4950"/>
    <w:rsid w:val="004D6896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107B"/>
    <w:rsid w:val="00512CE8"/>
    <w:rsid w:val="00512F9C"/>
    <w:rsid w:val="005132ED"/>
    <w:rsid w:val="00514E41"/>
    <w:rsid w:val="00521DFE"/>
    <w:rsid w:val="00523C5A"/>
    <w:rsid w:val="00527CDB"/>
    <w:rsid w:val="00531E88"/>
    <w:rsid w:val="005335B9"/>
    <w:rsid w:val="005341C9"/>
    <w:rsid w:val="005354D2"/>
    <w:rsid w:val="005369CA"/>
    <w:rsid w:val="00536D0B"/>
    <w:rsid w:val="00536DE9"/>
    <w:rsid w:val="00536F27"/>
    <w:rsid w:val="00540703"/>
    <w:rsid w:val="00541E08"/>
    <w:rsid w:val="00542B81"/>
    <w:rsid w:val="00545330"/>
    <w:rsid w:val="0054539D"/>
    <w:rsid w:val="00545F21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024"/>
    <w:rsid w:val="005765CB"/>
    <w:rsid w:val="00583042"/>
    <w:rsid w:val="00591B64"/>
    <w:rsid w:val="005978D4"/>
    <w:rsid w:val="00597A21"/>
    <w:rsid w:val="005A0D3D"/>
    <w:rsid w:val="005A1338"/>
    <w:rsid w:val="005A19B8"/>
    <w:rsid w:val="005A23FA"/>
    <w:rsid w:val="005B2A67"/>
    <w:rsid w:val="005B2F45"/>
    <w:rsid w:val="005B3DCD"/>
    <w:rsid w:val="005B4AD4"/>
    <w:rsid w:val="005B5602"/>
    <w:rsid w:val="005B61F8"/>
    <w:rsid w:val="005B7655"/>
    <w:rsid w:val="005B790A"/>
    <w:rsid w:val="005C2798"/>
    <w:rsid w:val="005C36C3"/>
    <w:rsid w:val="005C56DD"/>
    <w:rsid w:val="005C56EE"/>
    <w:rsid w:val="005D1714"/>
    <w:rsid w:val="005D2AED"/>
    <w:rsid w:val="005D6116"/>
    <w:rsid w:val="005D760E"/>
    <w:rsid w:val="005D7638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5E04"/>
    <w:rsid w:val="0062327B"/>
    <w:rsid w:val="00624B50"/>
    <w:rsid w:val="00627ACA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0B46"/>
    <w:rsid w:val="00651C4C"/>
    <w:rsid w:val="006537BB"/>
    <w:rsid w:val="00653A57"/>
    <w:rsid w:val="00655DC1"/>
    <w:rsid w:val="0065643E"/>
    <w:rsid w:val="00660C23"/>
    <w:rsid w:val="0066453F"/>
    <w:rsid w:val="00665974"/>
    <w:rsid w:val="00667E07"/>
    <w:rsid w:val="00671785"/>
    <w:rsid w:val="00672BA9"/>
    <w:rsid w:val="00673005"/>
    <w:rsid w:val="00676AA8"/>
    <w:rsid w:val="006804BE"/>
    <w:rsid w:val="00682706"/>
    <w:rsid w:val="00682728"/>
    <w:rsid w:val="0068434A"/>
    <w:rsid w:val="00685018"/>
    <w:rsid w:val="00687772"/>
    <w:rsid w:val="0069008E"/>
    <w:rsid w:val="0069087E"/>
    <w:rsid w:val="006925C4"/>
    <w:rsid w:val="00696D73"/>
    <w:rsid w:val="006A02B7"/>
    <w:rsid w:val="006A6AD8"/>
    <w:rsid w:val="006A7019"/>
    <w:rsid w:val="006B46D5"/>
    <w:rsid w:val="006B46F4"/>
    <w:rsid w:val="006B4ABA"/>
    <w:rsid w:val="006B59F1"/>
    <w:rsid w:val="006C06F3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760"/>
    <w:rsid w:val="00704D1D"/>
    <w:rsid w:val="00704DE1"/>
    <w:rsid w:val="00705C5C"/>
    <w:rsid w:val="00710C61"/>
    <w:rsid w:val="00711475"/>
    <w:rsid w:val="007116CE"/>
    <w:rsid w:val="00712158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189C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0D30"/>
    <w:rsid w:val="00783241"/>
    <w:rsid w:val="00784BDC"/>
    <w:rsid w:val="00785684"/>
    <w:rsid w:val="00786CF4"/>
    <w:rsid w:val="00790D18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7BC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A89"/>
    <w:rsid w:val="007F31BA"/>
    <w:rsid w:val="007F4078"/>
    <w:rsid w:val="0080014B"/>
    <w:rsid w:val="008012F8"/>
    <w:rsid w:val="00801793"/>
    <w:rsid w:val="00803642"/>
    <w:rsid w:val="00805BA7"/>
    <w:rsid w:val="00806EA2"/>
    <w:rsid w:val="00810140"/>
    <w:rsid w:val="00810924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1AC7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5757E"/>
    <w:rsid w:val="00860C57"/>
    <w:rsid w:val="008623FD"/>
    <w:rsid w:val="00863FFB"/>
    <w:rsid w:val="00866CA5"/>
    <w:rsid w:val="00867186"/>
    <w:rsid w:val="008676FA"/>
    <w:rsid w:val="00867CBF"/>
    <w:rsid w:val="00870AF6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65BD"/>
    <w:rsid w:val="008B7900"/>
    <w:rsid w:val="008C3CE6"/>
    <w:rsid w:val="008C71BF"/>
    <w:rsid w:val="008C7FE0"/>
    <w:rsid w:val="008D0A7A"/>
    <w:rsid w:val="008D4AC9"/>
    <w:rsid w:val="008D5717"/>
    <w:rsid w:val="008E018D"/>
    <w:rsid w:val="008E3A27"/>
    <w:rsid w:val="008E415F"/>
    <w:rsid w:val="008E44A9"/>
    <w:rsid w:val="008E6362"/>
    <w:rsid w:val="008E66FB"/>
    <w:rsid w:val="008E6B4D"/>
    <w:rsid w:val="008E6BFF"/>
    <w:rsid w:val="008E73B2"/>
    <w:rsid w:val="008F21AF"/>
    <w:rsid w:val="008F2400"/>
    <w:rsid w:val="008F61BA"/>
    <w:rsid w:val="008F6E3C"/>
    <w:rsid w:val="008F7871"/>
    <w:rsid w:val="008F7C55"/>
    <w:rsid w:val="009018FC"/>
    <w:rsid w:val="009123FC"/>
    <w:rsid w:val="00913967"/>
    <w:rsid w:val="00914A23"/>
    <w:rsid w:val="00915D53"/>
    <w:rsid w:val="00924E72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2B90"/>
    <w:rsid w:val="00946676"/>
    <w:rsid w:val="00947889"/>
    <w:rsid w:val="009478BD"/>
    <w:rsid w:val="0095273F"/>
    <w:rsid w:val="0095600D"/>
    <w:rsid w:val="00960E98"/>
    <w:rsid w:val="009633B3"/>
    <w:rsid w:val="00963A82"/>
    <w:rsid w:val="00966A75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6F56"/>
    <w:rsid w:val="009B76D5"/>
    <w:rsid w:val="009C0E86"/>
    <w:rsid w:val="009C165D"/>
    <w:rsid w:val="009C3CEA"/>
    <w:rsid w:val="009C583D"/>
    <w:rsid w:val="009C5962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04A0"/>
    <w:rsid w:val="00A01D5D"/>
    <w:rsid w:val="00A0297C"/>
    <w:rsid w:val="00A05D16"/>
    <w:rsid w:val="00A0659F"/>
    <w:rsid w:val="00A073F9"/>
    <w:rsid w:val="00A079BA"/>
    <w:rsid w:val="00A12CAA"/>
    <w:rsid w:val="00A12E81"/>
    <w:rsid w:val="00A14E8C"/>
    <w:rsid w:val="00A15BA2"/>
    <w:rsid w:val="00A1625B"/>
    <w:rsid w:val="00A20C70"/>
    <w:rsid w:val="00A20DC7"/>
    <w:rsid w:val="00A25594"/>
    <w:rsid w:val="00A25711"/>
    <w:rsid w:val="00A268DD"/>
    <w:rsid w:val="00A27EB3"/>
    <w:rsid w:val="00A30AAF"/>
    <w:rsid w:val="00A31A49"/>
    <w:rsid w:val="00A33875"/>
    <w:rsid w:val="00A357D8"/>
    <w:rsid w:val="00A360A1"/>
    <w:rsid w:val="00A368E0"/>
    <w:rsid w:val="00A402B3"/>
    <w:rsid w:val="00A43CFB"/>
    <w:rsid w:val="00A44ED7"/>
    <w:rsid w:val="00A47C39"/>
    <w:rsid w:val="00A512B3"/>
    <w:rsid w:val="00A536E9"/>
    <w:rsid w:val="00A53C29"/>
    <w:rsid w:val="00A53E3F"/>
    <w:rsid w:val="00A544B7"/>
    <w:rsid w:val="00A55EF2"/>
    <w:rsid w:val="00A57FBF"/>
    <w:rsid w:val="00A618CF"/>
    <w:rsid w:val="00A62770"/>
    <w:rsid w:val="00A62EEB"/>
    <w:rsid w:val="00A63B52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460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6188"/>
    <w:rsid w:val="00AB714D"/>
    <w:rsid w:val="00AB7EFF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2179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065C7"/>
    <w:rsid w:val="00B1003C"/>
    <w:rsid w:val="00B14D5D"/>
    <w:rsid w:val="00B22CF2"/>
    <w:rsid w:val="00B23211"/>
    <w:rsid w:val="00B26445"/>
    <w:rsid w:val="00B2730E"/>
    <w:rsid w:val="00B30D97"/>
    <w:rsid w:val="00B31074"/>
    <w:rsid w:val="00B3181A"/>
    <w:rsid w:val="00B35A7C"/>
    <w:rsid w:val="00B35F8B"/>
    <w:rsid w:val="00B417A9"/>
    <w:rsid w:val="00B43EB1"/>
    <w:rsid w:val="00B44A6C"/>
    <w:rsid w:val="00B44ECD"/>
    <w:rsid w:val="00B450D1"/>
    <w:rsid w:val="00B52E01"/>
    <w:rsid w:val="00B53636"/>
    <w:rsid w:val="00B53D47"/>
    <w:rsid w:val="00B54A25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3980"/>
    <w:rsid w:val="00B75AE5"/>
    <w:rsid w:val="00B760F0"/>
    <w:rsid w:val="00B800C0"/>
    <w:rsid w:val="00B8132B"/>
    <w:rsid w:val="00B816C5"/>
    <w:rsid w:val="00B8213A"/>
    <w:rsid w:val="00B82264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B6216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608F"/>
    <w:rsid w:val="00BE6876"/>
    <w:rsid w:val="00BF23BB"/>
    <w:rsid w:val="00BF2D24"/>
    <w:rsid w:val="00BF33DD"/>
    <w:rsid w:val="00BF52D2"/>
    <w:rsid w:val="00BF5755"/>
    <w:rsid w:val="00BF5BD2"/>
    <w:rsid w:val="00BF684B"/>
    <w:rsid w:val="00C016F3"/>
    <w:rsid w:val="00C03F3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44"/>
    <w:rsid w:val="00C6300F"/>
    <w:rsid w:val="00C635A8"/>
    <w:rsid w:val="00C642A6"/>
    <w:rsid w:val="00C64C6B"/>
    <w:rsid w:val="00C64F74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DCC"/>
    <w:rsid w:val="00C82E26"/>
    <w:rsid w:val="00C83027"/>
    <w:rsid w:val="00C84B8A"/>
    <w:rsid w:val="00C84FAF"/>
    <w:rsid w:val="00C85E65"/>
    <w:rsid w:val="00C87CA1"/>
    <w:rsid w:val="00C911B4"/>
    <w:rsid w:val="00C91550"/>
    <w:rsid w:val="00C91934"/>
    <w:rsid w:val="00C91B3B"/>
    <w:rsid w:val="00C92C30"/>
    <w:rsid w:val="00C93716"/>
    <w:rsid w:val="00C937CC"/>
    <w:rsid w:val="00C94262"/>
    <w:rsid w:val="00C96A74"/>
    <w:rsid w:val="00C976E1"/>
    <w:rsid w:val="00CA148E"/>
    <w:rsid w:val="00CA1D93"/>
    <w:rsid w:val="00CA3A9A"/>
    <w:rsid w:val="00CA5E9A"/>
    <w:rsid w:val="00CB5F7F"/>
    <w:rsid w:val="00CB6438"/>
    <w:rsid w:val="00CB6BC1"/>
    <w:rsid w:val="00CB7021"/>
    <w:rsid w:val="00CB710F"/>
    <w:rsid w:val="00CD3294"/>
    <w:rsid w:val="00CD4524"/>
    <w:rsid w:val="00CD5C6B"/>
    <w:rsid w:val="00CD6027"/>
    <w:rsid w:val="00CD784D"/>
    <w:rsid w:val="00CE29AF"/>
    <w:rsid w:val="00CE3D59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1B8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AC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3C5B"/>
    <w:rsid w:val="00D95CBE"/>
    <w:rsid w:val="00D968F8"/>
    <w:rsid w:val="00DA2526"/>
    <w:rsid w:val="00DA2913"/>
    <w:rsid w:val="00DA5C22"/>
    <w:rsid w:val="00DA7D12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5D35"/>
    <w:rsid w:val="00DE7C7D"/>
    <w:rsid w:val="00DF2992"/>
    <w:rsid w:val="00DF2D0C"/>
    <w:rsid w:val="00DF6B5A"/>
    <w:rsid w:val="00DF7EEE"/>
    <w:rsid w:val="00E00058"/>
    <w:rsid w:val="00E01B9D"/>
    <w:rsid w:val="00E028DF"/>
    <w:rsid w:val="00E02F5D"/>
    <w:rsid w:val="00E0468F"/>
    <w:rsid w:val="00E04F5E"/>
    <w:rsid w:val="00E0522E"/>
    <w:rsid w:val="00E059A2"/>
    <w:rsid w:val="00E05C08"/>
    <w:rsid w:val="00E07046"/>
    <w:rsid w:val="00E114E0"/>
    <w:rsid w:val="00E120F4"/>
    <w:rsid w:val="00E12625"/>
    <w:rsid w:val="00E15CC9"/>
    <w:rsid w:val="00E1613D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5FE3"/>
    <w:rsid w:val="00E57AF9"/>
    <w:rsid w:val="00E625E3"/>
    <w:rsid w:val="00E63111"/>
    <w:rsid w:val="00E63F34"/>
    <w:rsid w:val="00E63FEA"/>
    <w:rsid w:val="00E6715A"/>
    <w:rsid w:val="00E74974"/>
    <w:rsid w:val="00E749E5"/>
    <w:rsid w:val="00E75DC9"/>
    <w:rsid w:val="00E81610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5941"/>
    <w:rsid w:val="00EF64F1"/>
    <w:rsid w:val="00EF6A47"/>
    <w:rsid w:val="00EF7AF9"/>
    <w:rsid w:val="00F00952"/>
    <w:rsid w:val="00F00E74"/>
    <w:rsid w:val="00F01495"/>
    <w:rsid w:val="00F02DBE"/>
    <w:rsid w:val="00F03433"/>
    <w:rsid w:val="00F06335"/>
    <w:rsid w:val="00F06A09"/>
    <w:rsid w:val="00F07DDB"/>
    <w:rsid w:val="00F100C8"/>
    <w:rsid w:val="00F10138"/>
    <w:rsid w:val="00F13DBA"/>
    <w:rsid w:val="00F13F92"/>
    <w:rsid w:val="00F1487D"/>
    <w:rsid w:val="00F22ECA"/>
    <w:rsid w:val="00F23348"/>
    <w:rsid w:val="00F240E8"/>
    <w:rsid w:val="00F244FA"/>
    <w:rsid w:val="00F366A2"/>
    <w:rsid w:val="00F42B2B"/>
    <w:rsid w:val="00F42B8F"/>
    <w:rsid w:val="00F44F43"/>
    <w:rsid w:val="00F450E1"/>
    <w:rsid w:val="00F455DA"/>
    <w:rsid w:val="00F46406"/>
    <w:rsid w:val="00F4748E"/>
    <w:rsid w:val="00F50DF4"/>
    <w:rsid w:val="00F512D7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7610"/>
    <w:rsid w:val="00FB02BD"/>
    <w:rsid w:val="00FB37AA"/>
    <w:rsid w:val="00FB37ED"/>
    <w:rsid w:val="00FB398F"/>
    <w:rsid w:val="00FB4EF8"/>
    <w:rsid w:val="00FB54AE"/>
    <w:rsid w:val="00FB55A5"/>
    <w:rsid w:val="00FB6CBC"/>
    <w:rsid w:val="00FB6DA6"/>
    <w:rsid w:val="00FB709A"/>
    <w:rsid w:val="00FB78DD"/>
    <w:rsid w:val="00FC0F40"/>
    <w:rsid w:val="00FC3EF3"/>
    <w:rsid w:val="00FC5D35"/>
    <w:rsid w:val="00FC6994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postolou@cystat.mof.gov.cy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6379-493A-4569-9FFA-3ADEA8F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4486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</cp:revision>
  <cp:lastPrinted>2024-01-29T06:30:00Z</cp:lastPrinted>
  <dcterms:created xsi:type="dcterms:W3CDTF">2025-02-24T12:04:00Z</dcterms:created>
  <dcterms:modified xsi:type="dcterms:W3CDTF">2025-02-27T09:08:00Z</dcterms:modified>
</cp:coreProperties>
</file>