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E4D2" w14:textId="77777777" w:rsidR="00936E21" w:rsidRPr="008E6362" w:rsidRDefault="00936E21" w:rsidP="00A12E81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652F846" w14:textId="77777777" w:rsidR="00936E21" w:rsidRPr="00FB55A5" w:rsidRDefault="00936E21" w:rsidP="00A12E81">
      <w:pPr>
        <w:jc w:val="center"/>
        <w:rPr>
          <w:rFonts w:ascii="Verdana" w:eastAsia="Malgun Gothic" w:hAnsi="Verdana" w:cs="Arial"/>
          <w:sz w:val="6"/>
          <w:szCs w:val="6"/>
          <w:lang w:val="el-GR"/>
        </w:rPr>
      </w:pPr>
    </w:p>
    <w:p w14:paraId="580B60CE" w14:textId="1F14354A" w:rsidR="00FB55A5" w:rsidRPr="008A2744" w:rsidRDefault="00B43EB1" w:rsidP="009F6337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0F6616">
        <w:rPr>
          <w:rFonts w:ascii="Verdana" w:hAnsi="Verdana" w:cs="Arial"/>
          <w:sz w:val="18"/>
          <w:szCs w:val="18"/>
          <w:lang w:val="el-GR"/>
        </w:rPr>
        <w:t xml:space="preserve">27 </w:t>
      </w:r>
      <w:r>
        <w:rPr>
          <w:rFonts w:ascii="Verdana" w:hAnsi="Verdana" w:cs="Arial"/>
          <w:sz w:val="18"/>
          <w:szCs w:val="18"/>
          <w:lang w:val="el-GR"/>
        </w:rPr>
        <w:t>Ιου</w:t>
      </w:r>
      <w:r w:rsidR="008C3CE6">
        <w:rPr>
          <w:rFonts w:ascii="Verdana" w:hAnsi="Verdana" w:cs="Arial"/>
          <w:sz w:val="18"/>
          <w:szCs w:val="18"/>
          <w:lang w:val="el-GR"/>
        </w:rPr>
        <w:t>λ</w:t>
      </w:r>
      <w:r>
        <w:rPr>
          <w:rFonts w:ascii="Verdana" w:hAnsi="Verdana" w:cs="Arial"/>
          <w:sz w:val="18"/>
          <w:szCs w:val="18"/>
          <w:lang w:val="el-GR"/>
        </w:rPr>
        <w:t>ίου</w:t>
      </w:r>
      <w:r w:rsidR="00AB4C5E">
        <w:rPr>
          <w:rFonts w:ascii="Verdana" w:hAnsi="Verdana" w:cs="Arial"/>
          <w:sz w:val="18"/>
          <w:szCs w:val="18"/>
          <w:lang w:val="el-GR"/>
        </w:rPr>
        <w:t>, 202</w:t>
      </w:r>
      <w:r w:rsidR="007C1738">
        <w:rPr>
          <w:rFonts w:ascii="Verdana" w:hAnsi="Verdana" w:cs="Arial"/>
          <w:sz w:val="18"/>
          <w:szCs w:val="18"/>
          <w:lang w:val="el-GR"/>
        </w:rPr>
        <w:t>3</w:t>
      </w:r>
    </w:p>
    <w:p w14:paraId="225A0627" w14:textId="77777777" w:rsidR="00D95CBE" w:rsidRDefault="00D95CBE" w:rsidP="00982D65">
      <w:pPr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5861BF0" w14:textId="77777777" w:rsidR="00A90238" w:rsidRPr="00982D65" w:rsidRDefault="00A90238" w:rsidP="00982D65">
      <w:pPr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72AAD8D0" w14:textId="77777777" w:rsidR="00FB55A5" w:rsidRPr="00CF40F8" w:rsidRDefault="00FB55A5" w:rsidP="00FB55A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1F4C8AD1" w14:textId="77777777" w:rsidR="00FB55A5" w:rsidRPr="00930ECB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56763317" w14:textId="2AED6A59" w:rsidR="00EE3110" w:rsidRPr="00EE3110" w:rsidRDefault="00FB55A5" w:rsidP="00EE3110">
      <w:pPr>
        <w:pStyle w:val="Heading6"/>
        <w:tabs>
          <w:tab w:val="clear" w:pos="6840"/>
        </w:tabs>
        <w:jc w:val="left"/>
        <w:rPr>
          <w:rFonts w:ascii="Verdana" w:hAnsi="Verdana"/>
          <w:szCs w:val="22"/>
          <w:shd w:val="clear" w:color="auto" w:fill="FFFFFF"/>
        </w:rPr>
      </w:pPr>
      <w:r w:rsidRPr="009F6337">
        <w:rPr>
          <w:rFonts w:ascii="Verdana" w:hAnsi="Verdana"/>
          <w:b w:val="0"/>
          <w:szCs w:val="22"/>
          <w:shd w:val="clear" w:color="auto" w:fill="FFFFFF"/>
        </w:rPr>
        <w:t>ΕΙΣΑΓΩΓΕΣ, ΠΩΛΗΣΕΙΣ ΚΑΙ ΑΠΟΘΕΜΑΤΑ ΠΕΤΡΕΛΑΙΟΕΙΔΩΝ:</w:t>
      </w:r>
      <w:r w:rsidRPr="009F6337">
        <w:rPr>
          <w:rFonts w:ascii="Verdana" w:hAnsi="Verdana"/>
          <w:szCs w:val="22"/>
          <w:shd w:val="clear" w:color="auto" w:fill="FFFFFF"/>
        </w:rPr>
        <w:t xml:space="preserve"> </w:t>
      </w:r>
      <w:r w:rsidR="008C3CE6">
        <w:rPr>
          <w:rFonts w:ascii="Verdana" w:hAnsi="Verdana"/>
          <w:szCs w:val="22"/>
          <w:shd w:val="clear" w:color="auto" w:fill="FFFFFF"/>
        </w:rPr>
        <w:t>ΙΟΥΝΙΟ</w:t>
      </w:r>
      <w:r w:rsidR="00B43EB1">
        <w:rPr>
          <w:rFonts w:ascii="Verdana" w:hAnsi="Verdana"/>
          <w:szCs w:val="22"/>
          <w:shd w:val="clear" w:color="auto" w:fill="FFFFFF"/>
        </w:rPr>
        <w:t>Σ</w:t>
      </w:r>
      <w:r w:rsidRPr="009F6337">
        <w:rPr>
          <w:rFonts w:ascii="Verdana" w:hAnsi="Verdana"/>
          <w:szCs w:val="22"/>
          <w:shd w:val="clear" w:color="auto" w:fill="FFFFFF"/>
        </w:rPr>
        <w:t xml:space="preserve"> 202</w:t>
      </w:r>
      <w:r w:rsidR="00EE3110">
        <w:rPr>
          <w:rFonts w:ascii="Verdana" w:hAnsi="Verdana"/>
          <w:szCs w:val="22"/>
          <w:shd w:val="clear" w:color="auto" w:fill="FFFFFF"/>
        </w:rPr>
        <w:t>3</w:t>
      </w:r>
    </w:p>
    <w:p w14:paraId="0F92D7EB" w14:textId="77777777" w:rsidR="00FB55A5" w:rsidRPr="009F6337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F720EB1" w14:textId="1A664B9C" w:rsidR="009F6337" w:rsidRPr="009F6337" w:rsidRDefault="009F6337" w:rsidP="009F6337">
      <w:pPr>
        <w:jc w:val="center"/>
        <w:rPr>
          <w:rFonts w:ascii="Verdana" w:eastAsia="Malgun Gothic" w:hAnsi="Verdana" w:cs="Arial"/>
          <w:b/>
          <w:bCs/>
          <w:lang w:val="el-GR"/>
        </w:rPr>
      </w:pPr>
      <w:r w:rsidRPr="009F6337">
        <w:rPr>
          <w:rFonts w:ascii="Verdana" w:eastAsia="Malgun Gothic" w:hAnsi="Verdana" w:cs="Arial"/>
          <w:b/>
          <w:bCs/>
          <w:lang w:val="el-GR"/>
        </w:rPr>
        <w:t xml:space="preserve">Ετήσια Μεταβολή στις Πωλήσεις </w:t>
      </w:r>
      <w:r w:rsidR="000F6616" w:rsidRPr="008C3CE6">
        <w:rPr>
          <w:rFonts w:ascii="Verdana" w:eastAsia="Malgun Gothic" w:hAnsi="Verdana" w:cs="Arial"/>
          <w:b/>
          <w:bCs/>
          <w:lang w:val="el-GR"/>
        </w:rPr>
        <w:t>+</w:t>
      </w:r>
      <w:r w:rsidR="008C3CE6">
        <w:rPr>
          <w:rFonts w:ascii="Verdana" w:eastAsia="Malgun Gothic" w:hAnsi="Verdana" w:cs="Arial"/>
          <w:b/>
          <w:bCs/>
          <w:lang w:val="el-GR"/>
        </w:rPr>
        <w:t>5</w:t>
      </w:r>
      <w:r w:rsidRPr="009F6337">
        <w:rPr>
          <w:rFonts w:ascii="Verdana" w:eastAsia="Malgun Gothic" w:hAnsi="Verdana" w:cs="Arial"/>
          <w:b/>
          <w:bCs/>
          <w:lang w:val="el-GR"/>
        </w:rPr>
        <w:t>,</w:t>
      </w:r>
      <w:r w:rsidR="00B43EB1">
        <w:rPr>
          <w:rFonts w:ascii="Verdana" w:eastAsia="Malgun Gothic" w:hAnsi="Verdana" w:cs="Arial"/>
          <w:b/>
          <w:bCs/>
          <w:lang w:val="el-GR"/>
        </w:rPr>
        <w:t>4</w:t>
      </w:r>
      <w:r w:rsidRPr="009F6337">
        <w:rPr>
          <w:rFonts w:ascii="Verdana" w:eastAsia="Malgun Gothic" w:hAnsi="Verdana" w:cs="Arial"/>
          <w:b/>
          <w:bCs/>
          <w:lang w:val="el-GR"/>
        </w:rPr>
        <w:t>%</w:t>
      </w:r>
      <w:r w:rsidR="00D40B9E">
        <w:rPr>
          <w:rFonts w:ascii="Verdana" w:eastAsia="Malgun Gothic" w:hAnsi="Verdana" w:cs="Arial"/>
          <w:b/>
          <w:bCs/>
          <w:lang w:val="el-GR"/>
        </w:rPr>
        <w:t xml:space="preserve">  </w:t>
      </w:r>
    </w:p>
    <w:p w14:paraId="25AA583F" w14:textId="77777777" w:rsidR="004423CD" w:rsidRPr="009F6337" w:rsidRDefault="004423CD" w:rsidP="004423C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1308285B" w14:textId="5AD0E197" w:rsidR="001530A1" w:rsidRPr="009F6337" w:rsidRDefault="00FB55A5" w:rsidP="00E5145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Κατά τον</w:t>
      </w:r>
      <w:r w:rsidR="00C756F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C3CE6">
        <w:rPr>
          <w:rFonts w:ascii="Verdana" w:hAnsi="Verdana"/>
          <w:sz w:val="18"/>
          <w:szCs w:val="18"/>
          <w:shd w:val="clear" w:color="auto" w:fill="FFFFFF"/>
          <w:lang w:val="el-GR"/>
        </w:rPr>
        <w:t>Ιούνιο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 w:rsidR="008C3CE6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συνολικές πωλήσεις πετρελαιοειδών έφτασαν τους </w:t>
      </w:r>
      <w:bookmarkStart w:id="0" w:name="_Hlk107213034"/>
      <w:r w:rsidR="008C3CE6">
        <w:rPr>
          <w:rFonts w:ascii="Verdana" w:hAnsi="Verdana"/>
          <w:sz w:val="18"/>
          <w:szCs w:val="18"/>
          <w:shd w:val="clear" w:color="auto" w:fill="FFFFFF"/>
          <w:lang w:val="el-GR"/>
        </w:rPr>
        <w:t>132</w:t>
      </w:r>
      <w:r w:rsidR="0003371B" w:rsidRPr="009F633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.</w:t>
      </w:r>
      <w:r w:rsidR="008C3CE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828</w:t>
      </w:r>
      <w:r w:rsidRPr="009F633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bookmarkEnd w:id="0"/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τόνους, </w:t>
      </w:r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σημειώνοντας 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άνοδο</w:t>
      </w:r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Start w:id="1" w:name="_Hlk107213045"/>
      <w:r w:rsidR="008C3CE6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bookmarkEnd w:id="1"/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σχέση με τον </w:t>
      </w:r>
      <w:r w:rsidR="008C3CE6">
        <w:rPr>
          <w:rFonts w:ascii="Verdana" w:hAnsi="Verdana"/>
          <w:sz w:val="18"/>
          <w:szCs w:val="18"/>
          <w:shd w:val="clear" w:color="auto" w:fill="FFFFFF"/>
          <w:lang w:val="el-GR"/>
        </w:rPr>
        <w:t>Ιούνιο</w:t>
      </w:r>
      <w:r w:rsidR="008C3CE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A2744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8C3CE6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98789B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Αύξηση </w:t>
      </w:r>
      <w:r w:rsidR="00B43EB1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καταγράφηκε στις προμήθειες πετρελαίο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υ σε αεροπλάνα (</w:t>
      </w:r>
      <w:r w:rsidR="00E51453" w:rsidRPr="00E51453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51453" w:rsidRPr="00E51453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%),</w:t>
      </w:r>
      <w:r w:rsidR="00B43EB1" w:rsidRPr="00B43E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B43EB1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καθώς και στις πωλήσεις</w:t>
      </w:r>
      <w:r w:rsidR="003A43E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βαρέος</w:t>
      </w:r>
      <w:proofErr w:type="spellEnd"/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μαζούτ (</w:t>
      </w:r>
      <w:r w:rsidR="00E51453" w:rsidRPr="00E51453">
        <w:rPr>
          <w:rFonts w:ascii="Verdana" w:hAnsi="Verdana"/>
          <w:sz w:val="18"/>
          <w:szCs w:val="18"/>
          <w:shd w:val="clear" w:color="auto" w:fill="FFFFFF"/>
          <w:lang w:val="el-GR"/>
        </w:rPr>
        <w:t>66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51453" w:rsidRPr="00E51453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%),</w:t>
      </w:r>
      <w:r w:rsidR="00B43EB1" w:rsidRPr="00B6720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ασφάλτου (</w:t>
      </w:r>
      <w:r w:rsidR="00E51453" w:rsidRPr="00E51453">
        <w:rPr>
          <w:rFonts w:ascii="Verdana" w:hAnsi="Verdana"/>
          <w:sz w:val="18"/>
          <w:szCs w:val="18"/>
          <w:shd w:val="clear" w:color="auto" w:fill="FFFFFF"/>
          <w:lang w:val="el-GR"/>
        </w:rPr>
        <w:t>50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51453" w:rsidRPr="00E51453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%),</w:t>
      </w:r>
      <w:r w:rsidR="00E51453" w:rsidRPr="00E5145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κίνησης (</w:t>
      </w:r>
      <w:r w:rsidR="00E51453" w:rsidRPr="00E51453">
        <w:rPr>
          <w:rFonts w:ascii="Verdana" w:hAnsi="Verdana"/>
          <w:sz w:val="18"/>
          <w:szCs w:val="18"/>
          <w:shd w:val="clear" w:color="auto" w:fill="FFFFFF"/>
          <w:lang w:val="el-GR"/>
        </w:rPr>
        <w:t>12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51453" w:rsidRPr="00E51453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D40B9E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51453" w:rsidRPr="007C64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υγραερίου </w:t>
      </w:r>
      <w:r w:rsidR="00E51453"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E51453"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51453" w:rsidRPr="00E51453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E51453"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πετρελαίου θέρμανσης </w:t>
      </w:r>
      <w:r w:rsidR="00E51453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E51453" w:rsidRPr="00E51453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51453" w:rsidRPr="00E51453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%) και</w:t>
      </w:r>
      <w:r w:rsidR="00E51453" w:rsidRPr="00C756F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51453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βενζίνης (</w:t>
      </w:r>
      <w:r w:rsidR="00E51453" w:rsidRPr="00E51453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E51453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51453" w:rsidRPr="00E51453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E51453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E51453" w:rsidRPr="000F06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51453" w:rsidRPr="00E5145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Αντίθετα, μ</w:t>
      </w:r>
      <w:r w:rsidR="00E51453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είωση σημειώθηκε στις προμήθειες πετρελαίου σε πλοία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51453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(-</w:t>
      </w:r>
      <w:r w:rsidR="00E51453" w:rsidRPr="00E51453">
        <w:rPr>
          <w:rFonts w:ascii="Verdana" w:hAnsi="Verdana"/>
          <w:sz w:val="18"/>
          <w:szCs w:val="18"/>
          <w:shd w:val="clear" w:color="auto" w:fill="FFFFFF"/>
          <w:lang w:val="el-GR"/>
        </w:rPr>
        <w:t>27</w:t>
      </w:r>
      <w:r w:rsidR="00E51453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51453" w:rsidRPr="00E51453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E51453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%),</w:t>
      </w:r>
      <w:r w:rsidR="00E51453" w:rsidRPr="000F06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καθώς και στις πωλήσεις</w:t>
      </w:r>
      <w:r w:rsidR="00E51453" w:rsidRPr="00B6720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51453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κηροζίνης (</w:t>
      </w:r>
      <w:r w:rsidR="00E51453" w:rsidRPr="00E51453">
        <w:rPr>
          <w:rFonts w:ascii="Verdana" w:hAnsi="Verdana"/>
          <w:sz w:val="18"/>
          <w:szCs w:val="18"/>
          <w:shd w:val="clear" w:color="auto" w:fill="FFFFFF"/>
          <w:lang w:val="el-GR"/>
        </w:rPr>
        <w:t>-49</w:t>
      </w:r>
      <w:r w:rsidR="00E51453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51453" w:rsidRPr="00E51453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E51453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E51453" w:rsidRPr="00E5145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και </w:t>
      </w:r>
      <w:r w:rsidR="00E51453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ελαφρού μαζούτ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51453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(-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E51453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E51453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="00B22CF2">
        <w:rPr>
          <w:rFonts w:ascii="Verdana" w:hAnsi="Verdana"/>
          <w:sz w:val="18"/>
          <w:szCs w:val="18"/>
          <w:shd w:val="clear" w:color="auto" w:fill="FFFFFF"/>
          <w:lang w:val="el-GR"/>
        </w:rPr>
        <w:t>Όσ</w:t>
      </w:r>
      <w:r w:rsidR="001530A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ον αφορά ειδικότερα στις πωλήσεις από πρατήρια πετρελαιοειδών, αυτές παρουσίασαν </w:t>
      </w:r>
      <w:r w:rsidR="00B67200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="001530A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τάξης του 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1530A1"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,</w:t>
      </w:r>
      <w:r w:rsidR="00E5145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8</w:t>
      </w:r>
      <w:r w:rsidR="001530A1"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 </w:t>
      </w:r>
      <w:r w:rsidR="001530A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στους 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59</w:t>
      </w:r>
      <w:r w:rsidR="001530A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298</w:t>
      </w:r>
      <w:r w:rsidR="001530A1"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r w:rsidR="001530A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τόνους.</w:t>
      </w:r>
    </w:p>
    <w:p w14:paraId="3B00D8C4" w14:textId="77777777" w:rsidR="00FB55A5" w:rsidRPr="009F6337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A88A967" w14:textId="69287323" w:rsidR="00FB55A5" w:rsidRPr="000E45D3" w:rsidRDefault="00FB55A5" w:rsidP="000E45D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ολικές πωλήσεις πετρελαιοειδών κατά τον μήνα </w:t>
      </w:r>
      <w:r w:rsidR="006E30CA">
        <w:rPr>
          <w:rFonts w:ascii="Verdana" w:hAnsi="Verdana"/>
          <w:sz w:val="18"/>
          <w:szCs w:val="18"/>
          <w:shd w:val="clear" w:color="auto" w:fill="FFFFFF"/>
          <w:lang w:val="el-GR"/>
        </w:rPr>
        <w:t>Ιούνιο</w:t>
      </w:r>
      <w:r w:rsidR="006E30CA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B22CF2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B22CF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3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τον </w:t>
      </w:r>
      <w:r w:rsidR="006E30CA">
        <w:rPr>
          <w:rFonts w:ascii="Verdana" w:hAnsi="Verdana"/>
          <w:sz w:val="18"/>
          <w:szCs w:val="18"/>
          <w:shd w:val="clear" w:color="auto" w:fill="FFFFFF"/>
          <w:lang w:val="el-GR"/>
        </w:rPr>
        <w:t>Μάιο</w:t>
      </w:r>
      <w:r w:rsidR="006E30CA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13F84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613F8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3 σημείωσαν </w:t>
      </w:r>
      <w:r w:rsidR="007946A6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="00440B9F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E30CA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440B9F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E30CA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8A126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%.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Ενδεικτικά,</w:t>
      </w:r>
      <w:r w:rsidR="00264637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="00B22CF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60C2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</w:t>
      </w:r>
      <w:r w:rsidR="00660C23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προμήθειες πετρελαίου </w:t>
      </w:r>
      <w:r w:rsidR="000F6616">
        <w:rPr>
          <w:rFonts w:ascii="Verdana" w:hAnsi="Verdana"/>
          <w:sz w:val="18"/>
          <w:szCs w:val="18"/>
          <w:shd w:val="clear" w:color="auto" w:fill="FFFFFF"/>
          <w:lang w:val="el-GR"/>
        </w:rPr>
        <w:t>σε αεροπλάνα (1</w:t>
      </w:r>
      <w:r w:rsidR="006E30CA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0F6616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E30CA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0F6616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6E30C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B22CF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πωλήσεις </w:t>
      </w:r>
      <w:r w:rsidR="007C64E6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πετρελ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αίου</w:t>
      </w:r>
      <w:r w:rsidR="007C64E6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κίνησης (</w:t>
      </w:r>
      <w:r w:rsidR="006E30CA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7C64E6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E30CA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7C64E6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</w:t>
      </w:r>
      <w:r w:rsidR="00660C23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βενζίνης (</w:t>
      </w:r>
      <w:r w:rsidR="006E30CA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660C23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E30CA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660C23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660C23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B22CF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ολικά αποθέματα πετρελαιοειδών στο τέλος </w:t>
      </w:r>
      <w:bookmarkStart w:id="2" w:name="_Hlk106979418"/>
      <w:r w:rsidR="006E30CA">
        <w:rPr>
          <w:rFonts w:ascii="Verdana" w:hAnsi="Verdana"/>
          <w:sz w:val="18"/>
          <w:szCs w:val="18"/>
          <w:shd w:val="clear" w:color="auto" w:fill="FFFFFF"/>
          <w:lang w:val="el-GR"/>
        </w:rPr>
        <w:t>Ιουνίου</w:t>
      </w:r>
      <w:r w:rsidR="00440B9F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2"/>
      <w:r w:rsidR="00856783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DD7F94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946A6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μειώθηκαν</w:t>
      </w:r>
      <w:r w:rsidR="001F5381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6E30CA">
        <w:rPr>
          <w:rFonts w:ascii="Verdana" w:hAnsi="Verdana"/>
          <w:sz w:val="18"/>
          <w:szCs w:val="18"/>
          <w:shd w:val="clear" w:color="auto" w:fill="FFFFFF"/>
          <w:lang w:val="el-GR"/>
        </w:rPr>
        <w:t>14</w:t>
      </w:r>
      <w:r w:rsidR="00B67200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E30CA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 σε σχέση με το τέλος του προηγούμενου μήνα.</w:t>
      </w:r>
    </w:p>
    <w:p w14:paraId="57D791DC" w14:textId="77777777" w:rsidR="007B4BFD" w:rsidRDefault="007B4BFD" w:rsidP="00DD7F9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4037CAB" w14:textId="0E5E7D5E" w:rsidR="007B4BFD" w:rsidRPr="00982D65" w:rsidRDefault="007B4BFD" w:rsidP="00DD7F9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περίοδο Ιανουαρίου – </w:t>
      </w:r>
      <w:r w:rsidR="006E30CA">
        <w:rPr>
          <w:rFonts w:ascii="Verdana" w:hAnsi="Verdana"/>
          <w:sz w:val="18"/>
          <w:szCs w:val="18"/>
          <w:shd w:val="clear" w:color="auto" w:fill="FFFFFF"/>
          <w:lang w:val="el-GR"/>
        </w:rPr>
        <w:t>Ιουνίου</w:t>
      </w:r>
      <w:r w:rsidR="006E30CA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4A2A58" w:rsidRPr="004A2A58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ολικές πωλήσεις πετρελαιοειδών σημείωσαν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πτώση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E30CA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E30CA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την αντίστοιχη περίοδο του προηγούμενου έτους</w:t>
      </w:r>
      <w:r w:rsidR="00982D65" w:rsidRPr="00982D65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14D25423" w14:textId="77777777" w:rsidR="00DD7F94" w:rsidRDefault="00DD7F94" w:rsidP="00DD7F9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24A78FD" w14:textId="4C81FE57" w:rsidR="00D40B9E" w:rsidRPr="00D40B9E" w:rsidRDefault="00A90238" w:rsidP="00D40B9E">
      <w:pPr>
        <w:jc w:val="center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  <w:drawing>
          <wp:inline distT="0" distB="0" distL="0" distR="0" wp14:anchorId="012DEDB3" wp14:editId="66F47D90">
            <wp:extent cx="6132830" cy="3932555"/>
            <wp:effectExtent l="0" t="0" r="1270" b="0"/>
            <wp:docPr id="31281329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393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2E197" w14:textId="5C16C5F2" w:rsidR="00405879" w:rsidRPr="00F93135" w:rsidRDefault="00405879" w:rsidP="00A90238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lang w:val="el-GR"/>
        </w:rPr>
        <w:fldChar w:fldCharType="begin"/>
      </w:r>
      <w:r>
        <w:rPr>
          <w:lang w:val="el-GR"/>
        </w:rPr>
        <w:instrText xml:space="preserve"> LINK </w:instrText>
      </w:r>
      <w:r w:rsidR="00B43EB1">
        <w:rPr>
          <w:lang w:val="el-GR"/>
        </w:rPr>
        <w:instrText xml:space="preserve">Excel.Sheet.8 "C:\\Users\\User\\Desktop\\work files\\ENERGY\\ΙΣΤΟΣΕΛΙΔΑ - ΔΗΜΟΣΙΕΥΣΕΙΣ\\ΜΗΝΙΑΙΕΣ\\2023\\05 May\\GRAPHS &amp; calculations.xls" "tables for word file!R1C1:R17C7" </w:instrText>
      </w:r>
      <w:r>
        <w:rPr>
          <w:lang w:val="el-GR"/>
        </w:rPr>
        <w:instrText xml:space="preserve">\a \f 4 \h  \* MERGEFORMAT </w:instrText>
      </w:r>
      <w:r>
        <w:rPr>
          <w:lang w:val="el-GR"/>
        </w:rPr>
        <w:fldChar w:fldCharType="separate"/>
      </w:r>
    </w:p>
    <w:tbl>
      <w:tblPr>
        <w:tblW w:w="10025" w:type="dxa"/>
        <w:jc w:val="center"/>
        <w:tblLook w:val="04A0" w:firstRow="1" w:lastRow="0" w:firstColumn="1" w:lastColumn="0" w:noHBand="0" w:noVBand="1"/>
      </w:tblPr>
      <w:tblGrid>
        <w:gridCol w:w="2325"/>
        <w:gridCol w:w="1264"/>
        <w:gridCol w:w="57"/>
        <w:gridCol w:w="1208"/>
        <w:gridCol w:w="1264"/>
        <w:gridCol w:w="1266"/>
        <w:gridCol w:w="1320"/>
        <w:gridCol w:w="1321"/>
      </w:tblGrid>
      <w:tr w:rsidR="00A90238" w:rsidRPr="00A90238" w14:paraId="05678AE5" w14:textId="77777777" w:rsidTr="00852630">
        <w:trPr>
          <w:gridAfter w:val="5"/>
          <w:wAfter w:w="6379" w:type="dxa"/>
          <w:trHeight w:val="47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2BD75" w14:textId="5158B8A0" w:rsidR="00D40B9E" w:rsidRPr="00A90238" w:rsidRDefault="00D40B9E" w:rsidP="00405879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lastRenderedPageBreak/>
              <w:t xml:space="preserve">  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Πίν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ακας 1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eastAsia="en-CY" w:bidi="he-IL"/>
              </w:rPr>
              <w:t xml:space="preserve">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 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   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     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eastAsia="en-CY" w:bidi="he-IL"/>
              </w:rPr>
              <w:t xml:space="preserve">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        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7C9023C" w14:textId="77777777" w:rsidR="00D40B9E" w:rsidRPr="00A90238" w:rsidRDefault="00D40B9E" w:rsidP="00405879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</w:p>
        </w:tc>
      </w:tr>
      <w:tr w:rsidR="00A90238" w:rsidRPr="00A90238" w14:paraId="2ED1F26F" w14:textId="77777777" w:rsidTr="00852630">
        <w:trPr>
          <w:trHeight w:val="613"/>
          <w:jc w:val="center"/>
        </w:trPr>
        <w:tc>
          <w:tcPr>
            <w:tcW w:w="2325" w:type="dxa"/>
            <w:vMerge w:val="restart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70483786" w14:textId="77777777" w:rsidR="00405879" w:rsidRPr="00A90238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Προϊόντ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α</w:t>
            </w:r>
          </w:p>
        </w:tc>
        <w:tc>
          <w:tcPr>
            <w:tcW w:w="5059" w:type="dxa"/>
            <w:gridSpan w:val="5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D8702B2" w14:textId="258DD229" w:rsidR="00405879" w:rsidRPr="00A90238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Ολικές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Πωλήσεις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(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τόνοι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)</w:t>
            </w:r>
          </w:p>
        </w:tc>
        <w:tc>
          <w:tcPr>
            <w:tcW w:w="2641" w:type="dxa"/>
            <w:gridSpan w:val="2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5F7F399C" w14:textId="77777777" w:rsidR="00405879" w:rsidRPr="00A90238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Ποσοστι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αία 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αβολή (%)</w:t>
            </w:r>
          </w:p>
        </w:tc>
      </w:tr>
      <w:tr w:rsidR="00A90238" w:rsidRPr="00A90238" w14:paraId="59DAEFED" w14:textId="77777777" w:rsidTr="00852630">
        <w:trPr>
          <w:trHeight w:val="1085"/>
          <w:jc w:val="center"/>
        </w:trPr>
        <w:tc>
          <w:tcPr>
            <w:tcW w:w="2325" w:type="dxa"/>
            <w:vMerge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vAlign w:val="center"/>
            <w:hideMark/>
          </w:tcPr>
          <w:p w14:paraId="474E6138" w14:textId="77777777" w:rsidR="00D40B9E" w:rsidRPr="00A90238" w:rsidRDefault="00D40B9E" w:rsidP="00D40B9E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24F47378" w14:textId="7AA1EA94" w:rsidR="00D40B9E" w:rsidRPr="00A90238" w:rsidRDefault="00D40B9E" w:rsidP="00D40B9E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Ιούν</w:t>
            </w:r>
            <w:proofErr w:type="spellEnd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br/>
              <w:t>2023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50FE7911" w14:textId="165987FD" w:rsidR="00D40B9E" w:rsidRPr="00A90238" w:rsidRDefault="00D40B9E" w:rsidP="00D40B9E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Ιούν</w:t>
            </w:r>
            <w:proofErr w:type="spellEnd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br/>
              <w:t>2022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4D775D0A" w14:textId="5D63D3E7" w:rsidR="00D40B9E" w:rsidRPr="00A90238" w:rsidRDefault="00D40B9E" w:rsidP="00D40B9E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Ιαν - </w:t>
            </w:r>
            <w:proofErr w:type="spellStart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Ιούν</w:t>
            </w:r>
            <w:proofErr w:type="spellEnd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 2023                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773916A1" w14:textId="7D4A86D7" w:rsidR="00D40B9E" w:rsidRPr="00A90238" w:rsidRDefault="00D40B9E" w:rsidP="00D40B9E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Ιαν - </w:t>
            </w:r>
            <w:proofErr w:type="spellStart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Ιούν</w:t>
            </w:r>
            <w:proofErr w:type="spellEnd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 2022              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6426220F" w14:textId="0D55ECE6" w:rsidR="00D40B9E" w:rsidRPr="00A90238" w:rsidRDefault="00D40B9E" w:rsidP="00D40B9E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Ιούν</w:t>
            </w:r>
            <w:proofErr w:type="spellEnd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 2023</w:t>
            </w: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br/>
              <w:t xml:space="preserve"> / </w:t>
            </w: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br/>
            </w:r>
            <w:proofErr w:type="spellStart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Ιούν</w:t>
            </w:r>
            <w:proofErr w:type="spellEnd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 2022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25F59828" w14:textId="76E613D8" w:rsidR="00D40B9E" w:rsidRPr="00A90238" w:rsidRDefault="00D40B9E" w:rsidP="00D40B9E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 Ιαν - </w:t>
            </w:r>
            <w:proofErr w:type="spellStart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Ιούν</w:t>
            </w:r>
            <w:proofErr w:type="spellEnd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 2023 / Ιαν - </w:t>
            </w:r>
            <w:proofErr w:type="spellStart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Ιούν</w:t>
            </w:r>
            <w:proofErr w:type="spellEnd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 2022</w:t>
            </w:r>
          </w:p>
        </w:tc>
      </w:tr>
      <w:tr w:rsidR="00A90238" w:rsidRPr="00A90238" w14:paraId="438689C9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3362F" w14:textId="77777777" w:rsidR="00D40B9E" w:rsidRPr="00A90238" w:rsidRDefault="00D40B9E" w:rsidP="00D40B9E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Βενζίνη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Αμόλυ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βδη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2AB26FCF" w14:textId="54444400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29.567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A781DA9" w14:textId="22376A27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27.473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D169E7C" w14:textId="0EEC1D3F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156.454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7CAB677" w14:textId="66834361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147.226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6C6CEA4" w14:textId="6988A86C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7,6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3F25A7F" w14:textId="61D4B78E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6,3</w:t>
            </w:r>
          </w:p>
        </w:tc>
      </w:tr>
      <w:tr w:rsidR="00A90238" w:rsidRPr="00A90238" w14:paraId="3918B026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0C115" w14:textId="77777777" w:rsidR="00D40B9E" w:rsidRPr="00A90238" w:rsidRDefault="00D40B9E" w:rsidP="00D40B9E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Βενζίνη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Αερο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πλάνων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69DC0D08" w14:textId="70367D57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9ECD3E8" w14:textId="6465166E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D8A499E" w14:textId="322F818E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D37002C" w14:textId="3CD35139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20E86A7" w14:textId="519C435C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2509960" w14:textId="56FDE3EC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33,3</w:t>
            </w:r>
          </w:p>
        </w:tc>
      </w:tr>
      <w:tr w:rsidR="00A90238" w:rsidRPr="00A90238" w14:paraId="5E1018DA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A6518" w14:textId="77777777" w:rsidR="00D40B9E" w:rsidRPr="00A90238" w:rsidRDefault="00D40B9E" w:rsidP="00D40B9E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αιο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Αερο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πλάνων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0C75018B" w14:textId="423FE6BA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31.097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FC8F155" w14:textId="4C4F3BBC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28.642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ADF57C8" w14:textId="7D9611E7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124.029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53785C6" w14:textId="1DD99C8D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106.084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E13C8E7" w14:textId="78FC842C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8,6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80F4D2A" w14:textId="3DEAA842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16,9</w:t>
            </w:r>
          </w:p>
        </w:tc>
      </w:tr>
      <w:tr w:rsidR="00A90238" w:rsidRPr="00A90238" w14:paraId="03DCF44E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63FCF" w14:textId="77777777" w:rsidR="00D40B9E" w:rsidRPr="00A90238" w:rsidRDefault="00D40B9E" w:rsidP="00D40B9E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Κηροζίνη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611AAF28" w14:textId="0255FC0C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112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7BE6BE5" w14:textId="696FB2B6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F3E0C47" w14:textId="7B30A586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6.351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A69E2B3" w14:textId="1E75321C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9.643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B2ABDE0" w14:textId="2FC50A06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-49,5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1C313D8" w14:textId="64E901EF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-34,1</w:t>
            </w:r>
          </w:p>
        </w:tc>
      </w:tr>
      <w:tr w:rsidR="00A90238" w:rsidRPr="00A90238" w14:paraId="41B1DD4E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4F59B" w14:textId="77777777" w:rsidR="00D40B9E" w:rsidRPr="00A90238" w:rsidRDefault="00D40B9E" w:rsidP="00D40B9E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αιο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Κίνησης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439F07A9" w14:textId="35F82856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33.304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6F5BBC1" w14:textId="2EB25806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29.678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C30C164" w14:textId="74666230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169.627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577F0D8" w14:textId="06A6E520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159.625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55F6E4D" w14:textId="51ABE649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12,2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9176606" w14:textId="1CCB7B3E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6,3</w:t>
            </w:r>
          </w:p>
        </w:tc>
      </w:tr>
      <w:tr w:rsidR="00A90238" w:rsidRPr="00A90238" w14:paraId="6975AC53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3CD1B" w14:textId="77777777" w:rsidR="00D40B9E" w:rsidRPr="00A90238" w:rsidRDefault="00D40B9E" w:rsidP="00D40B9E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Γεωργικό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αιο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5E60617E" w14:textId="54A9189F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1.918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2891310" w14:textId="2304DB13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2.056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FAD230E" w14:textId="38A922AB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9.560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026AC8C" w14:textId="66DF17D9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12.316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6B6563F" w14:textId="5B8E2C91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-6,7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C176B21" w14:textId="454C2F0F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-22,4</w:t>
            </w:r>
          </w:p>
        </w:tc>
      </w:tr>
      <w:tr w:rsidR="00A90238" w:rsidRPr="00A90238" w14:paraId="0024132D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0D619" w14:textId="77777777" w:rsidR="00D40B9E" w:rsidRPr="00A90238" w:rsidRDefault="00D40B9E" w:rsidP="00D40B9E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αιο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Θέρμ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ανσης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38027724" w14:textId="62EE05A9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5.134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1A175CC" w14:textId="4703B523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4.706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A30E528" w14:textId="2A926577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47.662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0D40567" w14:textId="5DE578E7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56.237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0DFFA09" w14:textId="32D80B83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9,1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B881F43" w14:textId="65034CA3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-15,2</w:t>
            </w:r>
          </w:p>
        </w:tc>
      </w:tr>
      <w:tr w:rsidR="00A90238" w:rsidRPr="00A90238" w14:paraId="5C3A3AE8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063EB" w14:textId="77777777" w:rsidR="00D40B9E" w:rsidRPr="00A90238" w:rsidRDefault="00D40B9E" w:rsidP="00D40B9E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αιο Να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υτιλί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ας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4105D530" w14:textId="74F8892F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8.328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7D057BD" w14:textId="73DD2179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11.461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EC2A1E3" w14:textId="69D26306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43.955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BC94C17" w14:textId="42F50868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72.576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4790B42" w14:textId="1E581F46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-27,3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2B1DB62" w14:textId="66EEFB87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-39,4</w:t>
            </w:r>
          </w:p>
        </w:tc>
      </w:tr>
      <w:tr w:rsidR="00A90238" w:rsidRPr="00A90238" w14:paraId="6869667D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2BD3C" w14:textId="77777777" w:rsidR="00D40B9E" w:rsidRPr="00A90238" w:rsidRDefault="00D40B9E" w:rsidP="00D40B9E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Ελ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αφρύ Μα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ζούτ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3B52704D" w14:textId="69C0315C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14.784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4AB1B14" w14:textId="66A162A0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15.278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33AB7B1" w14:textId="4A7B05CB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77.996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EA5CA95" w14:textId="6FDCB917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89.746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9598255" w14:textId="2FD5F71D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-3,2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9E9C64E" w14:textId="4A26A6D2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-13,1</w:t>
            </w:r>
          </w:p>
        </w:tc>
      </w:tr>
      <w:tr w:rsidR="00A90238" w:rsidRPr="00A90238" w14:paraId="5AC67870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DC68B" w14:textId="77777777" w:rsidR="00D40B9E" w:rsidRPr="00A90238" w:rsidRDefault="00D40B9E" w:rsidP="00D40B9E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Βα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ρύ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Μα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ζούτ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10068303" w14:textId="2A7FD52D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1.671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4DCCCA0" w14:textId="03223AF5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1.004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5A2FB5B" w14:textId="5485B514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7.047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89194BE" w14:textId="6A179ECC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5.564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4043030" w14:textId="0ACAC04A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66,4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FB98240" w14:textId="62782AEE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26,7</w:t>
            </w:r>
          </w:p>
        </w:tc>
      </w:tr>
      <w:tr w:rsidR="00A90238" w:rsidRPr="00A90238" w14:paraId="1407F68F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73A75" w14:textId="77777777" w:rsidR="00D40B9E" w:rsidRPr="00A90238" w:rsidRDefault="00D40B9E" w:rsidP="00D40B9E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Λι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παντικά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Λάδι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2F5A3ED8" w14:textId="0F7149B4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278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429C1FB" w14:textId="1894A531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1038809" w14:textId="104BA42F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1.412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F86908B" w14:textId="60610CBA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1.308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8640515" w14:textId="4DA529B3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14,9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023AF47" w14:textId="59FA98D8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8,0</w:t>
            </w:r>
          </w:p>
        </w:tc>
      </w:tr>
      <w:tr w:rsidR="00A90238" w:rsidRPr="00A90238" w14:paraId="1D2F88AA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A9588" w14:textId="77777777" w:rsidR="00D40B9E" w:rsidRPr="00A90238" w:rsidRDefault="00D40B9E" w:rsidP="00D40B9E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Άσφ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αλτος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2F97441F" w14:textId="4275E55C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2.967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91D1833" w14:textId="7CBD12D1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1.974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C364C8B" w14:textId="0342ADAB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16.645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A235F8A" w14:textId="070F9D42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12.060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A151251" w14:textId="7FFCC9EC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50,3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56C7775" w14:textId="40804B23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38,0</w:t>
            </w:r>
          </w:p>
        </w:tc>
      </w:tr>
      <w:tr w:rsidR="00A90238" w:rsidRPr="00A90238" w14:paraId="0D2F3892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39AAE56" w14:textId="77777777" w:rsidR="00D40B9E" w:rsidRPr="00A90238" w:rsidRDefault="00D40B9E" w:rsidP="00D40B9E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Υγρ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αέριο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201EE526" w14:textId="73B1B97C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3.666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C49965B" w14:textId="375FBB59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3.340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E19F9B4" w14:textId="00D0651A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30.538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58D1D4C" w14:textId="41A6E102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34.160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1A9BB35" w14:textId="02B0D7D7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9,8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77FCED9" w14:textId="3C5FD77B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-10,6</w:t>
            </w:r>
          </w:p>
        </w:tc>
      </w:tr>
      <w:tr w:rsidR="00A90238" w:rsidRPr="00A90238" w14:paraId="23D6B216" w14:textId="77777777" w:rsidTr="00852630">
        <w:trPr>
          <w:trHeight w:val="628"/>
          <w:jc w:val="center"/>
        </w:trPr>
        <w:tc>
          <w:tcPr>
            <w:tcW w:w="2325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6799F56E" w14:textId="77777777" w:rsidR="00D40B9E" w:rsidRPr="00A90238" w:rsidRDefault="00D40B9E" w:rsidP="00D40B9E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Σύνολο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   </w:t>
            </w:r>
          </w:p>
        </w:tc>
        <w:tc>
          <w:tcPr>
            <w:tcW w:w="1264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869663D" w14:textId="2C84D937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132.828</w:t>
            </w:r>
          </w:p>
        </w:tc>
        <w:tc>
          <w:tcPr>
            <w:tcW w:w="1265" w:type="dxa"/>
            <w:gridSpan w:val="2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E83ED81" w14:textId="002DE3B6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126.078</w:t>
            </w:r>
          </w:p>
        </w:tc>
        <w:tc>
          <w:tcPr>
            <w:tcW w:w="1264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63B424F" w14:textId="477CDD11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691.288</w:t>
            </w:r>
          </w:p>
        </w:tc>
        <w:tc>
          <w:tcPr>
            <w:tcW w:w="1266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A6B9F5F" w14:textId="6CAE361B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706.554</w:t>
            </w:r>
          </w:p>
        </w:tc>
        <w:tc>
          <w:tcPr>
            <w:tcW w:w="1320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DCDF513" w14:textId="30D03353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5,4</w:t>
            </w:r>
          </w:p>
        </w:tc>
        <w:tc>
          <w:tcPr>
            <w:tcW w:w="1321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13FB385" w14:textId="4B0F69AB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-2,2</w:t>
            </w:r>
          </w:p>
        </w:tc>
      </w:tr>
    </w:tbl>
    <w:p w14:paraId="50F7E12F" w14:textId="3B205873" w:rsidR="00CA1D93" w:rsidRPr="0002765A" w:rsidRDefault="00405879" w:rsidP="0002765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fldChar w:fldCharType="end"/>
      </w:r>
    </w:p>
    <w:p w14:paraId="232FCE7C" w14:textId="59BC8C00" w:rsidR="00405879" w:rsidRDefault="00405879" w:rsidP="00FB55A5">
      <w:pPr>
        <w:tabs>
          <w:tab w:val="left" w:pos="1080"/>
          <w:tab w:val="left" w:pos="6840"/>
        </w:tabs>
        <w:rPr>
          <w:sz w:val="20"/>
          <w:szCs w:val="20"/>
          <w:lang w:val="en-CY" w:eastAsia="en-CY"/>
        </w:rPr>
      </w:pPr>
      <w:r>
        <w:fldChar w:fldCharType="begin"/>
      </w:r>
      <w:r>
        <w:instrText xml:space="preserve"> LINK </w:instrText>
      </w:r>
      <w:r w:rsidR="00B43EB1">
        <w:instrText xml:space="preserve">Excel.Sheet.8 "C:\\Users\\User\\Desktop\\work files\\ENERGY\\ΙΣΤΟΣΕΛΙΔΑ - ΔΗΜΟΣΙΕΥΣΕΙΣ\\ΜΗΝΙΑΙΕΣ\\2023\\05 May\\GRAPHS &amp; calculations.xls" "tables for word file!R20C1:R30C7" </w:instrText>
      </w:r>
      <w:r>
        <w:instrText xml:space="preserve">\a \f 4 \h  \* MERGEFORMAT </w:instrText>
      </w:r>
      <w:r>
        <w:fldChar w:fldCharType="separate"/>
      </w:r>
    </w:p>
    <w:tbl>
      <w:tblPr>
        <w:tblW w:w="10105" w:type="dxa"/>
        <w:jc w:val="center"/>
        <w:tblLook w:val="04A0" w:firstRow="1" w:lastRow="0" w:firstColumn="1" w:lastColumn="0" w:noHBand="0" w:noVBand="1"/>
      </w:tblPr>
      <w:tblGrid>
        <w:gridCol w:w="2370"/>
        <w:gridCol w:w="1174"/>
        <w:gridCol w:w="1289"/>
        <w:gridCol w:w="1289"/>
        <w:gridCol w:w="1291"/>
        <w:gridCol w:w="1346"/>
        <w:gridCol w:w="1346"/>
      </w:tblGrid>
      <w:tr w:rsidR="00A90238" w:rsidRPr="00A90238" w14:paraId="10B91D77" w14:textId="77777777" w:rsidTr="00852630">
        <w:trPr>
          <w:trHeight w:val="450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29925" w14:textId="6B1F19DB" w:rsidR="00405879" w:rsidRPr="00A90238" w:rsidRDefault="00405879" w:rsidP="00405879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 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Πίν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ακας 2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92A19C0" w14:textId="77777777" w:rsidR="00405879" w:rsidRPr="00A90238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6F2AB795" w14:textId="77777777" w:rsidR="00405879" w:rsidRPr="00A90238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54D1D15A" w14:textId="77777777" w:rsidR="00405879" w:rsidRPr="00A90238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0595E36" w14:textId="77777777" w:rsidR="00405879" w:rsidRPr="00A90238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F800267" w14:textId="77777777" w:rsidR="00405879" w:rsidRPr="00A90238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7CE8F983" w14:textId="77777777" w:rsidR="00405879" w:rsidRPr="00A90238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</w:p>
        </w:tc>
      </w:tr>
      <w:tr w:rsidR="00A90238" w:rsidRPr="00A90238" w14:paraId="54667758" w14:textId="77777777" w:rsidTr="0002765A">
        <w:trPr>
          <w:trHeight w:val="585"/>
          <w:jc w:val="center"/>
        </w:trPr>
        <w:tc>
          <w:tcPr>
            <w:tcW w:w="2370" w:type="dxa"/>
            <w:vMerge w:val="restart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28AC0FE9" w14:textId="77777777" w:rsidR="00405879" w:rsidRPr="00A90238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Προϊόντ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α</w:t>
            </w:r>
          </w:p>
        </w:tc>
        <w:tc>
          <w:tcPr>
            <w:tcW w:w="5043" w:type="dxa"/>
            <w:gridSpan w:val="4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6BEB2187" w14:textId="77777777" w:rsidR="00405879" w:rsidRPr="00A90238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Πωλήσεις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από 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Πρ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ατήρια 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Πετρελ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αιοειδών (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τόνοι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)</w:t>
            </w:r>
          </w:p>
        </w:tc>
        <w:tc>
          <w:tcPr>
            <w:tcW w:w="2692" w:type="dxa"/>
            <w:gridSpan w:val="2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3672279D" w14:textId="77777777" w:rsidR="00405879" w:rsidRPr="00A90238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Ποσοστι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αία 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αβολή (%)</w:t>
            </w:r>
          </w:p>
        </w:tc>
      </w:tr>
      <w:tr w:rsidR="00A90238" w:rsidRPr="00A90238" w14:paraId="7E660A99" w14:textId="77777777" w:rsidTr="00852630">
        <w:trPr>
          <w:trHeight w:val="1035"/>
          <w:jc w:val="center"/>
        </w:trPr>
        <w:tc>
          <w:tcPr>
            <w:tcW w:w="2370" w:type="dxa"/>
            <w:vMerge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vAlign w:val="center"/>
            <w:hideMark/>
          </w:tcPr>
          <w:p w14:paraId="79FD457B" w14:textId="77777777" w:rsidR="00D40B9E" w:rsidRPr="00A90238" w:rsidRDefault="00D40B9E" w:rsidP="00D40B9E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045F69B6" w14:textId="0FD57F00" w:rsidR="00D40B9E" w:rsidRPr="00A90238" w:rsidRDefault="00D40B9E" w:rsidP="00D40B9E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Ιούν</w:t>
            </w:r>
            <w:proofErr w:type="spellEnd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br/>
              <w:t>2023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5B671F7E" w14:textId="2207BD18" w:rsidR="00D40B9E" w:rsidRPr="00A90238" w:rsidRDefault="00D40B9E" w:rsidP="00D40B9E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Ιούν</w:t>
            </w:r>
            <w:proofErr w:type="spellEnd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br/>
              <w:t>2022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1E2FFD57" w14:textId="5098E628" w:rsidR="00D40B9E" w:rsidRPr="00A90238" w:rsidRDefault="00D40B9E" w:rsidP="00D40B9E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Ιαν - </w:t>
            </w:r>
            <w:proofErr w:type="spellStart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Ιούν</w:t>
            </w:r>
            <w:proofErr w:type="spellEnd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 2023                  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3216C0E8" w14:textId="03F7787E" w:rsidR="00D40B9E" w:rsidRPr="00A90238" w:rsidRDefault="00D40B9E" w:rsidP="00D40B9E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Ιαν - </w:t>
            </w:r>
            <w:proofErr w:type="spellStart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Ιούν</w:t>
            </w:r>
            <w:proofErr w:type="spellEnd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 2022               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2DF35701" w14:textId="533FAACD" w:rsidR="00D40B9E" w:rsidRPr="00A90238" w:rsidRDefault="00D40B9E" w:rsidP="00D40B9E">
            <w:pPr>
              <w:ind w:right="123"/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Ιούν</w:t>
            </w:r>
            <w:proofErr w:type="spellEnd"/>
            <w:r w:rsid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2023</w:t>
            </w: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br/>
              <w:t xml:space="preserve"> / </w:t>
            </w: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br/>
            </w:r>
            <w:proofErr w:type="spellStart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Ιούν</w:t>
            </w:r>
            <w:proofErr w:type="spellEnd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 2022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6B5D8938" w14:textId="1A54A123" w:rsidR="00D40B9E" w:rsidRPr="00A90238" w:rsidRDefault="00D40B9E" w:rsidP="00D40B9E">
            <w:pPr>
              <w:tabs>
                <w:tab w:val="left" w:pos="1050"/>
                <w:tab w:val="left" w:pos="1215"/>
              </w:tabs>
              <w:ind w:left="59" w:right="73"/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 Ιαν - </w:t>
            </w:r>
            <w:proofErr w:type="spellStart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Ιούν</w:t>
            </w:r>
            <w:proofErr w:type="spellEnd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 2023 / Ιαν - </w:t>
            </w:r>
            <w:proofErr w:type="spellStart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Ιούν</w:t>
            </w:r>
            <w:proofErr w:type="spellEnd"/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 2022</w:t>
            </w:r>
          </w:p>
        </w:tc>
      </w:tr>
      <w:tr w:rsidR="00A90238" w:rsidRPr="00A90238" w14:paraId="4BA6B52C" w14:textId="77777777" w:rsidTr="00852630">
        <w:trPr>
          <w:trHeight w:val="402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18718" w14:textId="77777777" w:rsidR="00D40B9E" w:rsidRPr="00A90238" w:rsidRDefault="00D40B9E" w:rsidP="00D40B9E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Βενζίνη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Αμόλυ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βδη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27" w:type="dxa"/>
            </w:tcMar>
            <w:vAlign w:val="center"/>
            <w:hideMark/>
          </w:tcPr>
          <w:p w14:paraId="549872C4" w14:textId="298236FD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29.245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7777BB3E" w14:textId="0892B555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27.166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475724E5" w14:textId="4E4AF2EE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154.857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752F4A44" w14:textId="0C6A7F49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145.424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241142E" w14:textId="13D507E6" w:rsidR="00D40B9E" w:rsidRPr="00A90238" w:rsidRDefault="00D40B9E" w:rsidP="00D40B9E">
            <w:pPr>
              <w:ind w:right="123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7,7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05AFFDC2" w14:textId="10757AC0" w:rsidR="00D40B9E" w:rsidRPr="00A90238" w:rsidRDefault="00D40B9E" w:rsidP="00D40B9E">
            <w:pPr>
              <w:ind w:right="186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6,5</w:t>
            </w:r>
          </w:p>
        </w:tc>
      </w:tr>
      <w:tr w:rsidR="00A90238" w:rsidRPr="00A90238" w14:paraId="6A6F2D18" w14:textId="77777777" w:rsidTr="00852630">
        <w:trPr>
          <w:trHeight w:val="402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12D94" w14:textId="77777777" w:rsidR="00D40B9E" w:rsidRPr="00A90238" w:rsidRDefault="00D40B9E" w:rsidP="00D40B9E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Κηροζίνη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27" w:type="dxa"/>
            </w:tcMar>
            <w:vAlign w:val="center"/>
            <w:hideMark/>
          </w:tcPr>
          <w:p w14:paraId="57BE6360" w14:textId="4DE147F3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80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DF74732" w14:textId="3D2F7A00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168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52732387" w14:textId="74A02630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4.830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2626CE22" w14:textId="17A152EF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7.559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9BEAAE5" w14:textId="04641312" w:rsidR="00D40B9E" w:rsidRPr="00A90238" w:rsidRDefault="00D40B9E" w:rsidP="00D40B9E">
            <w:pPr>
              <w:ind w:right="123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-52,4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62AEE40A" w14:textId="3B5D78E0" w:rsidR="00D40B9E" w:rsidRPr="00A90238" w:rsidRDefault="00D40B9E" w:rsidP="00D40B9E">
            <w:pPr>
              <w:ind w:right="186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-36,1</w:t>
            </w:r>
          </w:p>
        </w:tc>
      </w:tr>
      <w:tr w:rsidR="00A90238" w:rsidRPr="00A90238" w14:paraId="2894F889" w14:textId="77777777" w:rsidTr="00852630">
        <w:trPr>
          <w:trHeight w:val="402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ED47" w14:textId="77777777" w:rsidR="00D40B9E" w:rsidRPr="00A90238" w:rsidRDefault="00D40B9E" w:rsidP="00D40B9E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αιο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Κίνησης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27" w:type="dxa"/>
            </w:tcMar>
            <w:vAlign w:val="center"/>
            <w:hideMark/>
          </w:tcPr>
          <w:p w14:paraId="1E98846D" w14:textId="02C11E53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25.720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5C1D15F3" w14:textId="4B36EE92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23.653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62DFE8A3" w14:textId="4C6CF757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133.081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42EC9B7E" w14:textId="09ACFB3E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127.321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0A16084B" w14:textId="49CF9FCF" w:rsidR="00D40B9E" w:rsidRPr="00A90238" w:rsidRDefault="00D40B9E" w:rsidP="00D40B9E">
            <w:pPr>
              <w:ind w:right="123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8,7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0A48DEB8" w14:textId="5A4B6DA2" w:rsidR="00D40B9E" w:rsidRPr="00A90238" w:rsidRDefault="00D40B9E" w:rsidP="00D40B9E">
            <w:pPr>
              <w:ind w:right="186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4,5</w:t>
            </w:r>
          </w:p>
        </w:tc>
      </w:tr>
      <w:tr w:rsidR="00A90238" w:rsidRPr="00A90238" w14:paraId="34C0E50B" w14:textId="77777777" w:rsidTr="00852630">
        <w:trPr>
          <w:trHeight w:val="402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F6261" w14:textId="77777777" w:rsidR="00D40B9E" w:rsidRPr="00A90238" w:rsidRDefault="00D40B9E" w:rsidP="00D40B9E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Γεωργικό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αιο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27" w:type="dxa"/>
            </w:tcMar>
            <w:vAlign w:val="center"/>
            <w:hideMark/>
          </w:tcPr>
          <w:p w14:paraId="473E0F6F" w14:textId="61A29225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1.403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2E2FA41" w14:textId="49D69BF2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1.353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48A75CCA" w14:textId="56FE659C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6.674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579F8EAB" w14:textId="52870300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8.347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1F31156F" w14:textId="0F122517" w:rsidR="00D40B9E" w:rsidRPr="00A90238" w:rsidRDefault="00D40B9E" w:rsidP="00D40B9E">
            <w:pPr>
              <w:ind w:right="123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3,7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90FF899" w14:textId="29F3083E" w:rsidR="00D40B9E" w:rsidRPr="00A90238" w:rsidRDefault="00D40B9E" w:rsidP="00D40B9E">
            <w:pPr>
              <w:ind w:right="186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-20,0</w:t>
            </w:r>
          </w:p>
        </w:tc>
      </w:tr>
      <w:tr w:rsidR="00A90238" w:rsidRPr="00A90238" w14:paraId="3DC5A15A" w14:textId="77777777" w:rsidTr="00852630">
        <w:trPr>
          <w:trHeight w:val="402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F9A34" w14:textId="77777777" w:rsidR="00D40B9E" w:rsidRPr="00A90238" w:rsidRDefault="00D40B9E" w:rsidP="00D40B9E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αιο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Θέρμ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ανσης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27" w:type="dxa"/>
            </w:tcMar>
            <w:vAlign w:val="center"/>
            <w:hideMark/>
          </w:tcPr>
          <w:p w14:paraId="426BBA78" w14:textId="0FE6A115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2.705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9DD77EB" w14:textId="29FA1B7B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2.532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004E428C" w14:textId="5A6B0220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28.607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555BB5F9" w14:textId="0F278001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35.339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A60E561" w14:textId="679F929E" w:rsidR="00D40B9E" w:rsidRPr="00A90238" w:rsidRDefault="00D40B9E" w:rsidP="00D40B9E">
            <w:pPr>
              <w:ind w:right="123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6,8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24C8CE3" w14:textId="019767DD" w:rsidR="00D40B9E" w:rsidRPr="00A90238" w:rsidRDefault="00D40B9E" w:rsidP="00D40B9E">
            <w:pPr>
              <w:ind w:right="186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-19,0</w:t>
            </w:r>
          </w:p>
        </w:tc>
      </w:tr>
      <w:tr w:rsidR="00A90238" w:rsidRPr="00A90238" w14:paraId="29767536" w14:textId="77777777" w:rsidTr="00852630">
        <w:trPr>
          <w:trHeight w:val="402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BDF12" w14:textId="77777777" w:rsidR="00D40B9E" w:rsidRPr="00A90238" w:rsidRDefault="00D40B9E" w:rsidP="00D40B9E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Ελ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αφρύ Μα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ζούτ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27" w:type="dxa"/>
            </w:tcMar>
            <w:vAlign w:val="center"/>
            <w:hideMark/>
          </w:tcPr>
          <w:p w14:paraId="6539AC86" w14:textId="27CB55FF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709C7B9A" w14:textId="57A2405E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E3EA481" w14:textId="4CAF1C59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246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0439AF86" w14:textId="36F70022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236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40F662C" w14:textId="1BADE7E9" w:rsidR="00D40B9E" w:rsidRPr="00A90238" w:rsidRDefault="00D40B9E" w:rsidP="00D40B9E">
            <w:pPr>
              <w:ind w:right="123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-2,8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4DCF6C31" w14:textId="04ADBE86" w:rsidR="00D40B9E" w:rsidRPr="00A90238" w:rsidRDefault="00D40B9E" w:rsidP="00D40B9E">
            <w:pPr>
              <w:ind w:right="186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4,2</w:t>
            </w:r>
          </w:p>
        </w:tc>
      </w:tr>
      <w:tr w:rsidR="00A90238" w:rsidRPr="00A90238" w14:paraId="04B881E4" w14:textId="77777777" w:rsidTr="00852630">
        <w:trPr>
          <w:trHeight w:val="402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B5130" w14:textId="77777777" w:rsidR="00D40B9E" w:rsidRPr="00A90238" w:rsidRDefault="00D40B9E" w:rsidP="00D40B9E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Λι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παντικά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Λάδι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27" w:type="dxa"/>
            </w:tcMar>
            <w:vAlign w:val="center"/>
            <w:hideMark/>
          </w:tcPr>
          <w:p w14:paraId="55E67D98" w14:textId="082A9CE5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110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066D2449" w14:textId="39E910FB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102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2415C5DC" w14:textId="72FD014C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573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72544B61" w14:textId="61621139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513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26DCCCDD" w14:textId="2E678A33" w:rsidR="00D40B9E" w:rsidRPr="00A90238" w:rsidRDefault="00D40B9E" w:rsidP="00D40B9E">
            <w:pPr>
              <w:ind w:right="123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7,8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7FAC013D" w14:textId="508B1D8C" w:rsidR="00D40B9E" w:rsidRPr="00A90238" w:rsidRDefault="00D40B9E" w:rsidP="00D40B9E">
            <w:pPr>
              <w:ind w:right="186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11,7</w:t>
            </w:r>
          </w:p>
        </w:tc>
      </w:tr>
      <w:tr w:rsidR="00A90238" w:rsidRPr="00A90238" w14:paraId="4EAA36C7" w14:textId="77777777" w:rsidTr="00852630">
        <w:trPr>
          <w:trHeight w:val="600"/>
          <w:jc w:val="center"/>
        </w:trPr>
        <w:tc>
          <w:tcPr>
            <w:tcW w:w="2370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355BBDB4" w14:textId="77777777" w:rsidR="00D40B9E" w:rsidRPr="00A90238" w:rsidRDefault="00D40B9E" w:rsidP="00D40B9E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Σύνολο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   </w:t>
            </w:r>
          </w:p>
        </w:tc>
        <w:tc>
          <w:tcPr>
            <w:tcW w:w="1174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1B896CDF" w14:textId="10C02B60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59.298</w:t>
            </w:r>
          </w:p>
        </w:tc>
        <w:tc>
          <w:tcPr>
            <w:tcW w:w="1289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02226F9F" w14:textId="15268BC0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55.010</w:t>
            </w:r>
          </w:p>
        </w:tc>
        <w:tc>
          <w:tcPr>
            <w:tcW w:w="1289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7E20DA9C" w14:textId="65E1DC09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328.868</w:t>
            </w:r>
          </w:p>
        </w:tc>
        <w:tc>
          <w:tcPr>
            <w:tcW w:w="1291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4D6F8730" w14:textId="6CE959B5" w:rsidR="00D40B9E" w:rsidRPr="00A90238" w:rsidRDefault="00D40B9E" w:rsidP="00D40B9E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324.739</w:t>
            </w:r>
          </w:p>
        </w:tc>
        <w:tc>
          <w:tcPr>
            <w:tcW w:w="1346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4AA21839" w14:textId="1A59BA12" w:rsidR="00D40B9E" w:rsidRPr="00A90238" w:rsidRDefault="00D40B9E" w:rsidP="00D40B9E">
            <w:pPr>
              <w:ind w:right="123"/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7,8</w:t>
            </w:r>
          </w:p>
        </w:tc>
        <w:tc>
          <w:tcPr>
            <w:tcW w:w="1346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4788301A" w14:textId="718AF536" w:rsidR="00D40B9E" w:rsidRPr="00A90238" w:rsidRDefault="00D40B9E" w:rsidP="00D40B9E">
            <w:pPr>
              <w:ind w:right="186"/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1,3</w:t>
            </w:r>
          </w:p>
        </w:tc>
      </w:tr>
    </w:tbl>
    <w:p w14:paraId="56919A50" w14:textId="77777777" w:rsidR="00A90238" w:rsidRPr="00A90238" w:rsidRDefault="00405879" w:rsidP="00A9023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</w:rPr>
      </w:pPr>
      <w:r>
        <w:rPr>
          <w:rFonts w:ascii="Verdana" w:eastAsia="Malgun Gothic" w:hAnsi="Verdana" w:cs="Arial"/>
          <w:b/>
          <w:u w:val="single"/>
        </w:rPr>
        <w:lastRenderedPageBreak/>
        <w:fldChar w:fldCharType="end"/>
      </w:r>
    </w:p>
    <w:p w14:paraId="797CE836" w14:textId="32072134" w:rsidR="00FB55A5" w:rsidRPr="00780A62" w:rsidRDefault="00FB55A5" w:rsidP="00A90238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t>ΜΕΘΟΔΟΛΟΓΙΚΕΣ ΠΛΗΡΟΦΟΡΙΕΣ</w:t>
      </w:r>
    </w:p>
    <w:p w14:paraId="47E550AF" w14:textId="77777777" w:rsidR="00FB55A5" w:rsidRPr="001937BC" w:rsidRDefault="00FB55A5" w:rsidP="00FB55A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3552729" w14:textId="63FA0C4D" w:rsidR="00FB55A5" w:rsidRPr="00405879" w:rsidRDefault="00FB55A5" w:rsidP="00FB55A5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4CC24B7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16A94BA3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H συλλογή στοιχείων για τις Εισαγωγές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Πωλήσεις και Αποθέματα Πετρελαιοειδών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1937BC">
        <w:rPr>
          <w:rFonts w:ascii="Verdana" w:hAnsi="Verdana"/>
          <w:sz w:val="18"/>
          <w:szCs w:val="18"/>
          <w:lang w:val="el-GR"/>
        </w:rPr>
        <w:t>διεξάγεται σε μηνιαία βάση.</w:t>
      </w:r>
    </w:p>
    <w:p w14:paraId="77C766CE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37BFEEB0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Αφορά τις πωλήσεις πετρελαιοει</w:t>
      </w:r>
      <w:r>
        <w:rPr>
          <w:rFonts w:ascii="Verdana" w:hAnsi="Verdana"/>
          <w:sz w:val="18"/>
          <w:szCs w:val="18"/>
          <w:lang w:val="el-GR"/>
        </w:rPr>
        <w:t>δών από πρατήρια πετρελαιοειδών και τις πωλήσεις</w:t>
      </w:r>
      <w:r w:rsidRPr="001937BC">
        <w:rPr>
          <w:rFonts w:ascii="Verdana" w:hAnsi="Verdana"/>
          <w:sz w:val="18"/>
          <w:szCs w:val="18"/>
          <w:lang w:val="el-GR"/>
        </w:rPr>
        <w:t xml:space="preserve"> σε κυβερνητικά τμήματα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στις Βρετανικές Βάσεις και</w:t>
      </w:r>
      <w:r>
        <w:rPr>
          <w:rFonts w:ascii="Verdana" w:hAnsi="Verdana"/>
          <w:sz w:val="18"/>
          <w:szCs w:val="18"/>
          <w:lang w:val="el-GR"/>
        </w:rPr>
        <w:t xml:space="preserve"> στα</w:t>
      </w:r>
      <w:r w:rsidRPr="001937BC">
        <w:rPr>
          <w:rFonts w:ascii="Verdana" w:hAnsi="Verdana"/>
          <w:sz w:val="18"/>
          <w:szCs w:val="18"/>
          <w:lang w:val="el-GR"/>
        </w:rPr>
        <w:t xml:space="preserve"> Ηνωμένα Έθνη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σε πλοία και σε άλλους πελάτες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καθώς και τα αποθέματα στο τέλος κάθε μήνα. </w:t>
      </w:r>
      <w:r>
        <w:rPr>
          <w:rFonts w:ascii="Verdana" w:hAnsi="Verdana"/>
          <w:sz w:val="18"/>
          <w:szCs w:val="18"/>
          <w:lang w:val="el-GR"/>
        </w:rPr>
        <w:t xml:space="preserve">Καλύπτονται μόνο οι εταιρείες πετρελαιοειδών. </w:t>
      </w:r>
      <w:r w:rsidRPr="001937BC">
        <w:rPr>
          <w:rFonts w:ascii="Verdana" w:hAnsi="Verdana"/>
          <w:sz w:val="18"/>
          <w:szCs w:val="18"/>
          <w:lang w:val="el-GR"/>
        </w:rPr>
        <w:t>Επιπρόσθετα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περιλαμβάνει και τις εισαγωγές πετρελαιοειδών απευθείας από την Αρχή Ηλεκτρισμού Κύπρου (ΑΗΚ) και τη μεταποιητική βιομηχανία.</w:t>
      </w:r>
    </w:p>
    <w:p w14:paraId="540C0531" w14:textId="77777777" w:rsidR="00FB55A5" w:rsidRPr="00FB55A5" w:rsidRDefault="00FB55A5" w:rsidP="00FB55A5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6C2FFB25" w14:textId="20B2972F" w:rsidR="00FB55A5" w:rsidRPr="001937BC" w:rsidRDefault="00FB55A5" w:rsidP="00FB55A5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07C2AC30" w14:textId="77777777" w:rsidR="00FB55A5" w:rsidRPr="004F7605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25456B9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δεδομένων γίνεται σε μηνιαία βάση από τη Στατιστική Υπηρεσία, η οποία λαμβάνει ηλεκτρονικά το ειδικά διαμορφωμένο ερωτηματολόγιο από</w:t>
      </w:r>
      <w:r w:rsidRPr="00F859E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κάθε μία από τις εν λόγω εταιρείες.</w:t>
      </w:r>
    </w:p>
    <w:p w14:paraId="088FD446" w14:textId="77777777" w:rsidR="00E42235" w:rsidRPr="00E42235" w:rsidRDefault="00E42235" w:rsidP="00E42235">
      <w:pPr>
        <w:rPr>
          <w:rFonts w:ascii="Verdana" w:hAnsi="Verdana"/>
          <w:b/>
          <w:bCs/>
          <w:color w:val="0000CC"/>
          <w:sz w:val="18"/>
          <w:szCs w:val="18"/>
          <w:lang w:val="el-GR" w:bidi="he-IL"/>
        </w:rPr>
      </w:pPr>
    </w:p>
    <w:p w14:paraId="10CF2579" w14:textId="77777777" w:rsidR="00FB55A5" w:rsidRPr="00FB55A5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5DD5497" w14:textId="4B60D81D" w:rsidR="00FB55A5" w:rsidRPr="001937BC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1937BC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  <w:r w:rsidR="00F93135">
        <w:rPr>
          <w:rFonts w:ascii="Verdana" w:eastAsia="Malgun Gothic" w:hAnsi="Verdana" w:cs="Arial"/>
          <w:b/>
          <w:i/>
          <w:sz w:val="18"/>
          <w:szCs w:val="18"/>
          <w:lang w:val="el-GR"/>
        </w:rPr>
        <w:t xml:space="preserve"> </w:t>
      </w:r>
    </w:p>
    <w:p w14:paraId="4703298E" w14:textId="77777777" w:rsidR="00C91550" w:rsidRPr="00C91550" w:rsidRDefault="00C91550" w:rsidP="00C91550">
      <w:pPr>
        <w:tabs>
          <w:tab w:val="left" w:pos="5400"/>
        </w:tabs>
        <w:rPr>
          <w:rFonts w:ascii="Verdana" w:hAnsi="Verdana"/>
          <w:sz w:val="18"/>
          <w:szCs w:val="18"/>
          <w:lang w:val="el-GR"/>
        </w:rPr>
      </w:pPr>
      <w:r w:rsidRPr="00C9155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Ενέργεια</w:t>
        </w:r>
      </w:hyperlink>
    </w:p>
    <w:p w14:paraId="5F5DFA6F" w14:textId="77777777" w:rsidR="00C91550" w:rsidRPr="00C91550" w:rsidRDefault="00000000" w:rsidP="00C91550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</w:rPr>
          <w:t>CYSTAT</w:t>
        </w:r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-</w:t>
        </w:r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</w:rPr>
          <w:t>DB</w:t>
        </w:r>
      </w:hyperlink>
      <w:r w:rsidR="00C91550" w:rsidRPr="00C9155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35D69F6" w14:textId="77777777" w:rsidR="00C91550" w:rsidRPr="00E42235" w:rsidRDefault="00000000" w:rsidP="00C91550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Προκαθορισμένοι Πίνακες</w:t>
        </w:r>
      </w:hyperlink>
      <w:r w:rsidR="00C91550" w:rsidRPr="00C91550">
        <w:rPr>
          <w:rFonts w:ascii="Verdana" w:hAnsi="Verdana"/>
          <w:sz w:val="18"/>
          <w:szCs w:val="18"/>
          <w:lang w:val="el-GR"/>
        </w:rPr>
        <w:t xml:space="preserve"> (</w:t>
      </w:r>
      <w:r w:rsidR="00C91550" w:rsidRPr="00C91550">
        <w:rPr>
          <w:rFonts w:ascii="Verdana" w:hAnsi="Verdana"/>
          <w:sz w:val="18"/>
          <w:szCs w:val="18"/>
        </w:rPr>
        <w:t>Excel</w:t>
      </w:r>
      <w:r w:rsidR="00C91550" w:rsidRPr="00C91550">
        <w:rPr>
          <w:rFonts w:ascii="Verdana" w:hAnsi="Verdana"/>
          <w:sz w:val="18"/>
          <w:szCs w:val="18"/>
          <w:lang w:val="el-GR"/>
        </w:rPr>
        <w:t>)</w:t>
      </w:r>
    </w:p>
    <w:p w14:paraId="21B6E2F4" w14:textId="77777777" w:rsidR="003D646B" w:rsidRDefault="00000000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hyperlink r:id="rId12" w:tooltip="Μεθοδολογικές Πληροφορίες" w:history="1">
        <w:r w:rsidR="003D646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Μεθοδολογικές Πληροφορίες</w:t>
        </w:r>
      </w:hyperlink>
    </w:p>
    <w:p w14:paraId="002D634A" w14:textId="77777777" w:rsidR="00B04256" w:rsidRDefault="00B04256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846CDA5" w14:textId="77777777" w:rsidR="00FB55A5" w:rsidRPr="003F118C" w:rsidRDefault="00B04256" w:rsidP="00FB55A5">
      <w:pPr>
        <w:ind w:right="-79"/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3F118C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3F118C">
        <w:rPr>
          <w:rFonts w:ascii="Verdana" w:hAnsi="Verdana"/>
          <w:b/>
          <w:bCs/>
          <w:sz w:val="18"/>
          <w:szCs w:val="18"/>
        </w:rPr>
        <w:t>Excel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Δεκέμβριο 2022. Για τον Ιανουάριο 2023 και μετέπειτα, η ενημέρωση γίνεται μόνο στη Βάση Δεδομένων </w:t>
      </w:r>
      <w:r w:rsidRPr="003F118C">
        <w:rPr>
          <w:rFonts w:ascii="Verdana" w:hAnsi="Verdana"/>
          <w:b/>
          <w:bCs/>
          <w:sz w:val="18"/>
          <w:szCs w:val="18"/>
        </w:rPr>
        <w:t>CYSTAT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3F118C">
        <w:rPr>
          <w:rFonts w:ascii="Verdana" w:hAnsi="Verdana"/>
          <w:b/>
          <w:bCs/>
          <w:sz w:val="18"/>
          <w:szCs w:val="18"/>
        </w:rPr>
        <w:t>DB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7F4C22E2" w14:textId="77777777" w:rsidR="00B04256" w:rsidRPr="00B04256" w:rsidRDefault="00B04256" w:rsidP="00FB55A5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</w:p>
    <w:p w14:paraId="26E32E91" w14:textId="77777777" w:rsidR="00FB55A5" w:rsidRDefault="00FB55A5" w:rsidP="00FB55A5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1937BC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47E2AE4" w14:textId="77777777" w:rsidR="00DE5D35" w:rsidRDefault="00FB55A5" w:rsidP="00FB55A5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Ναυσικά Αποστόλου: </w:t>
      </w:r>
      <w:proofErr w:type="spellStart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.: 22602199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1937BC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13" w:history="1">
        <w:r w:rsidR="00F46406" w:rsidRPr="005D0E81">
          <w:rPr>
            <w:rStyle w:val="Hyperlink"/>
            <w:rFonts w:ascii="Verdana" w:hAnsi="Verdana"/>
            <w:sz w:val="18"/>
            <w:szCs w:val="18"/>
            <w:lang w:val="el-GR"/>
          </w:rPr>
          <w:t>napostolou@cystat.mof.gov.cy</w:t>
        </w:r>
      </w:hyperlink>
    </w:p>
    <w:p w14:paraId="3C03475F" w14:textId="5BAAAF8C" w:rsidR="00405879" w:rsidRPr="00B760F0" w:rsidRDefault="00405879" w:rsidP="00E25966">
      <w:pPr>
        <w:rPr>
          <w:sz w:val="20"/>
          <w:szCs w:val="20"/>
          <w:lang w:val="el-GR" w:eastAsia="en-CY"/>
        </w:rPr>
      </w:pPr>
    </w:p>
    <w:sectPr w:rsidR="00405879" w:rsidRPr="00B760F0" w:rsidSect="00D95CBE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1" w:right="1134" w:bottom="1021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B2E5" w14:textId="77777777" w:rsidR="008A06DF" w:rsidRDefault="008A06DF" w:rsidP="00FB398F">
      <w:r>
        <w:separator/>
      </w:r>
    </w:p>
  </w:endnote>
  <w:endnote w:type="continuationSeparator" w:id="0">
    <w:p w14:paraId="31469893" w14:textId="77777777" w:rsidR="008A06DF" w:rsidRDefault="008A06DF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A8D1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4E7EC8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BE11" w14:textId="77777777" w:rsidR="004E4F42" w:rsidRPr="00A12E81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A12E81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 w:rsidRPr="00A12E81">
      <w:rPr>
        <w:rFonts w:ascii="Arial" w:hAnsi="Arial" w:cs="Arial"/>
        <w:i/>
        <w:iCs/>
        <w:sz w:val="16"/>
        <w:szCs w:val="16"/>
        <w:lang w:val="el-GR"/>
      </w:rPr>
      <w:t>ήλ</w:t>
    </w:r>
    <w:r w:rsidRPr="00A12E81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A12E81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A12E81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422C6C2A" w14:textId="77777777" w:rsidR="004E4F42" w:rsidRPr="00A12E81" w:rsidRDefault="00D67EF5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A12E81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9633B3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="004E4F42" w:rsidRPr="00A12E81">
      <w:rPr>
        <w:rFonts w:ascii="Arial" w:hAnsi="Arial" w:cs="Arial"/>
        <w:i/>
        <w:iCs/>
        <w:sz w:val="16"/>
        <w:szCs w:val="16"/>
        <w:lang w:val="el-GR"/>
      </w:rPr>
      <w:t>Φαξ</w:t>
    </w:r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="004E4F42" w:rsidRPr="00A12E81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3D3E66DE" w14:textId="77777777" w:rsidR="004E4F42" w:rsidRPr="00A12E81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12E81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A12E81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A12E81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A12E81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A12E81">
      <w:rPr>
        <w:rFonts w:ascii="Verdana" w:hAnsi="Verdana" w:cs="Arial"/>
        <w:i/>
        <w:i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9014" w14:textId="77777777" w:rsidR="008A06DF" w:rsidRDefault="008A06DF" w:rsidP="00FB398F">
      <w:r>
        <w:separator/>
      </w:r>
    </w:p>
  </w:footnote>
  <w:footnote w:type="continuationSeparator" w:id="0">
    <w:p w14:paraId="022F5FF9" w14:textId="77777777" w:rsidR="008A06DF" w:rsidRDefault="008A06DF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05B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A437" w14:textId="77777777" w:rsidR="004E4F42" w:rsidRDefault="003F118C" w:rsidP="00D95CBE">
    <w:pPr>
      <w:pStyle w:val="Header"/>
      <w:tabs>
        <w:tab w:val="clear" w:pos="4153"/>
        <w:tab w:val="clear" w:pos="8306"/>
        <w:tab w:val="left" w:pos="4080"/>
      </w:tabs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CFC8B3" wp14:editId="3F536A85">
              <wp:simplePos x="0" y="0"/>
              <wp:positionH relativeFrom="column">
                <wp:posOffset>4454525</wp:posOffset>
              </wp:positionH>
              <wp:positionV relativeFrom="paragraph">
                <wp:posOffset>936625</wp:posOffset>
              </wp:positionV>
              <wp:extent cx="1828800" cy="43815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A8B23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5E8656E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FC8B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50.75pt;margin-top:73.75pt;width:2in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RN8gEAAMo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" stroked="f">
              <v:textbox>
                <w:txbxContent>
                  <w:p w14:paraId="09EA8B23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05E8656E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2A54F1" wp14:editId="39099F95">
              <wp:simplePos x="0" y="0"/>
              <wp:positionH relativeFrom="column">
                <wp:posOffset>4716780</wp:posOffset>
              </wp:positionH>
              <wp:positionV relativeFrom="paragraph">
                <wp:posOffset>26035</wp:posOffset>
              </wp:positionV>
              <wp:extent cx="1669415" cy="910590"/>
              <wp:effectExtent l="11430" t="6985" r="12700" b="1206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9415" cy="910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46A883" w14:textId="77777777" w:rsidR="004E4F42" w:rsidRDefault="003F118C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0243B310" wp14:editId="7A390DC7">
                                <wp:extent cx="1476375" cy="80962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37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A54F1" id="Text Box 14" o:spid="_x0000_s1027" type="#_x0000_t202" style="position:absolute;margin-left:371.4pt;margin-top:2.05pt;width:131.45pt;height:71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" strokecolor="white">
              <v:textbox style="mso-fit-shape-to-text:t">
                <w:txbxContent>
                  <w:p w14:paraId="5C46A883" w14:textId="77777777" w:rsidR="004E4F42" w:rsidRDefault="003F118C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0243B310" wp14:editId="7A390DC7">
                          <wp:extent cx="1476375" cy="80962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637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413BDEB0" wp14:editId="30DACB53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                                                                                 </w:t>
    </w:r>
    <w:r w:rsidR="00C93716">
      <w:rPr>
        <w:rFonts w:ascii="Arial" w:hAnsi="Arial" w:cs="Arial"/>
        <w:bCs/>
        <w:sz w:val="18"/>
        <w:szCs w:val="18"/>
      </w:rPr>
      <w:t xml:space="preserve">     </w:t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</w:t>
    </w:r>
    <w:r w:rsidRPr="00815F28">
      <w:rPr>
        <w:noProof/>
      </w:rPr>
      <w:drawing>
        <wp:inline distT="0" distB="0" distL="0" distR="0" wp14:anchorId="54B6EA45" wp14:editId="08463EF9">
          <wp:extent cx="1543050" cy="942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0F5">
      <w:rPr>
        <w:rFonts w:ascii="Arial" w:hAnsi="Arial" w:cs="Arial"/>
        <w:bCs/>
        <w:sz w:val="18"/>
        <w:szCs w:val="18"/>
      </w:rPr>
      <w:tab/>
    </w:r>
  </w:p>
  <w:p w14:paraId="51EAC525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</w:p>
  <w:p w14:paraId="3699FD53" w14:textId="5ED333ED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C982DAC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5886887">
    <w:abstractNumId w:val="5"/>
  </w:num>
  <w:num w:numId="2" w16cid:durableId="11346982">
    <w:abstractNumId w:val="2"/>
  </w:num>
  <w:num w:numId="3" w16cid:durableId="289941188">
    <w:abstractNumId w:val="3"/>
  </w:num>
  <w:num w:numId="4" w16cid:durableId="1658725001">
    <w:abstractNumId w:val="4"/>
  </w:num>
  <w:num w:numId="5" w16cid:durableId="272908784">
    <w:abstractNumId w:val="1"/>
  </w:num>
  <w:num w:numId="6" w16cid:durableId="1767575292">
    <w:abstractNumId w:val="6"/>
  </w:num>
  <w:num w:numId="7" w16cid:durableId="23058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2D1E"/>
    <w:rsid w:val="00004E08"/>
    <w:rsid w:val="0000542E"/>
    <w:rsid w:val="000059B2"/>
    <w:rsid w:val="00007B44"/>
    <w:rsid w:val="00012EC9"/>
    <w:rsid w:val="00013E40"/>
    <w:rsid w:val="000148F1"/>
    <w:rsid w:val="000161B1"/>
    <w:rsid w:val="00017E99"/>
    <w:rsid w:val="00022E82"/>
    <w:rsid w:val="00025A39"/>
    <w:rsid w:val="0002765A"/>
    <w:rsid w:val="00027853"/>
    <w:rsid w:val="00030E18"/>
    <w:rsid w:val="00031D32"/>
    <w:rsid w:val="0003371B"/>
    <w:rsid w:val="00034A14"/>
    <w:rsid w:val="0003603D"/>
    <w:rsid w:val="000365A4"/>
    <w:rsid w:val="00045088"/>
    <w:rsid w:val="00045390"/>
    <w:rsid w:val="00045A06"/>
    <w:rsid w:val="0004770A"/>
    <w:rsid w:val="00050391"/>
    <w:rsid w:val="00055291"/>
    <w:rsid w:val="00055BB9"/>
    <w:rsid w:val="000563D3"/>
    <w:rsid w:val="00057162"/>
    <w:rsid w:val="00057E44"/>
    <w:rsid w:val="00061299"/>
    <w:rsid w:val="00066FA8"/>
    <w:rsid w:val="000671E6"/>
    <w:rsid w:val="00070576"/>
    <w:rsid w:val="00072074"/>
    <w:rsid w:val="000752BB"/>
    <w:rsid w:val="00076C03"/>
    <w:rsid w:val="00081ADF"/>
    <w:rsid w:val="000839A4"/>
    <w:rsid w:val="00084A02"/>
    <w:rsid w:val="00084BF7"/>
    <w:rsid w:val="000869DB"/>
    <w:rsid w:val="000870E9"/>
    <w:rsid w:val="00092DD6"/>
    <w:rsid w:val="000932CF"/>
    <w:rsid w:val="000942E5"/>
    <w:rsid w:val="00096ED8"/>
    <w:rsid w:val="000A0203"/>
    <w:rsid w:val="000A1A88"/>
    <w:rsid w:val="000A2B5C"/>
    <w:rsid w:val="000A32B3"/>
    <w:rsid w:val="000A3601"/>
    <w:rsid w:val="000A6FA8"/>
    <w:rsid w:val="000B0A64"/>
    <w:rsid w:val="000B3367"/>
    <w:rsid w:val="000B40DB"/>
    <w:rsid w:val="000B4267"/>
    <w:rsid w:val="000B5492"/>
    <w:rsid w:val="000B579E"/>
    <w:rsid w:val="000C0A04"/>
    <w:rsid w:val="000C1070"/>
    <w:rsid w:val="000C122B"/>
    <w:rsid w:val="000C1B8D"/>
    <w:rsid w:val="000C2BF6"/>
    <w:rsid w:val="000C3B16"/>
    <w:rsid w:val="000C4E72"/>
    <w:rsid w:val="000D1E7A"/>
    <w:rsid w:val="000D3C4D"/>
    <w:rsid w:val="000E24B1"/>
    <w:rsid w:val="000E2735"/>
    <w:rsid w:val="000E32D6"/>
    <w:rsid w:val="000E42D7"/>
    <w:rsid w:val="000E45D3"/>
    <w:rsid w:val="000E4B59"/>
    <w:rsid w:val="000E57F2"/>
    <w:rsid w:val="000E5E60"/>
    <w:rsid w:val="000E72A7"/>
    <w:rsid w:val="000F06B1"/>
    <w:rsid w:val="000F1162"/>
    <w:rsid w:val="000F3467"/>
    <w:rsid w:val="000F38DE"/>
    <w:rsid w:val="000F3C74"/>
    <w:rsid w:val="000F532A"/>
    <w:rsid w:val="000F5886"/>
    <w:rsid w:val="000F5D6C"/>
    <w:rsid w:val="000F6616"/>
    <w:rsid w:val="000F7308"/>
    <w:rsid w:val="000F762B"/>
    <w:rsid w:val="00103E27"/>
    <w:rsid w:val="001046DA"/>
    <w:rsid w:val="00106852"/>
    <w:rsid w:val="00107DBB"/>
    <w:rsid w:val="00110F9D"/>
    <w:rsid w:val="00114A67"/>
    <w:rsid w:val="00114BC1"/>
    <w:rsid w:val="0011536F"/>
    <w:rsid w:val="001248A2"/>
    <w:rsid w:val="00124E88"/>
    <w:rsid w:val="001253B6"/>
    <w:rsid w:val="001257BC"/>
    <w:rsid w:val="001262C3"/>
    <w:rsid w:val="00127320"/>
    <w:rsid w:val="00127456"/>
    <w:rsid w:val="001312D8"/>
    <w:rsid w:val="0013137B"/>
    <w:rsid w:val="001353D3"/>
    <w:rsid w:val="00143ED6"/>
    <w:rsid w:val="0015118B"/>
    <w:rsid w:val="001519CE"/>
    <w:rsid w:val="001530A1"/>
    <w:rsid w:val="001540D4"/>
    <w:rsid w:val="00161CF3"/>
    <w:rsid w:val="00162C00"/>
    <w:rsid w:val="001639EF"/>
    <w:rsid w:val="00163D46"/>
    <w:rsid w:val="001648A2"/>
    <w:rsid w:val="0016589F"/>
    <w:rsid w:val="001702EA"/>
    <w:rsid w:val="0017769A"/>
    <w:rsid w:val="00181155"/>
    <w:rsid w:val="0018250A"/>
    <w:rsid w:val="00183DFC"/>
    <w:rsid w:val="00184384"/>
    <w:rsid w:val="0018527E"/>
    <w:rsid w:val="0018595E"/>
    <w:rsid w:val="00186717"/>
    <w:rsid w:val="00187789"/>
    <w:rsid w:val="00187FFC"/>
    <w:rsid w:val="00194386"/>
    <w:rsid w:val="001959E3"/>
    <w:rsid w:val="001A1480"/>
    <w:rsid w:val="001A2018"/>
    <w:rsid w:val="001A2191"/>
    <w:rsid w:val="001A4860"/>
    <w:rsid w:val="001A4C47"/>
    <w:rsid w:val="001B08E9"/>
    <w:rsid w:val="001B1BD4"/>
    <w:rsid w:val="001B2C39"/>
    <w:rsid w:val="001B3675"/>
    <w:rsid w:val="001B5E10"/>
    <w:rsid w:val="001B6AB3"/>
    <w:rsid w:val="001B73D5"/>
    <w:rsid w:val="001B7F49"/>
    <w:rsid w:val="001C0681"/>
    <w:rsid w:val="001C22B4"/>
    <w:rsid w:val="001C549B"/>
    <w:rsid w:val="001C62B3"/>
    <w:rsid w:val="001C6A58"/>
    <w:rsid w:val="001C6D54"/>
    <w:rsid w:val="001C7C8C"/>
    <w:rsid w:val="001D0D6A"/>
    <w:rsid w:val="001D20A4"/>
    <w:rsid w:val="001D53A1"/>
    <w:rsid w:val="001E00D1"/>
    <w:rsid w:val="001E0E58"/>
    <w:rsid w:val="001E14F3"/>
    <w:rsid w:val="001E15ED"/>
    <w:rsid w:val="001E3856"/>
    <w:rsid w:val="001E47CD"/>
    <w:rsid w:val="001E61AA"/>
    <w:rsid w:val="001E7658"/>
    <w:rsid w:val="001F5381"/>
    <w:rsid w:val="001F5498"/>
    <w:rsid w:val="001F7A6D"/>
    <w:rsid w:val="00201F28"/>
    <w:rsid w:val="0020309E"/>
    <w:rsid w:val="00206189"/>
    <w:rsid w:val="0021061B"/>
    <w:rsid w:val="00210B58"/>
    <w:rsid w:val="00210E84"/>
    <w:rsid w:val="00216B06"/>
    <w:rsid w:val="00222423"/>
    <w:rsid w:val="00225807"/>
    <w:rsid w:val="00225B28"/>
    <w:rsid w:val="0022606C"/>
    <w:rsid w:val="00226891"/>
    <w:rsid w:val="00230D9B"/>
    <w:rsid w:val="002313AC"/>
    <w:rsid w:val="0023347D"/>
    <w:rsid w:val="002356C2"/>
    <w:rsid w:val="00235FB2"/>
    <w:rsid w:val="00236ECE"/>
    <w:rsid w:val="00237BC1"/>
    <w:rsid w:val="002430B4"/>
    <w:rsid w:val="002447D0"/>
    <w:rsid w:val="002454C5"/>
    <w:rsid w:val="00245E19"/>
    <w:rsid w:val="00246AEB"/>
    <w:rsid w:val="00247871"/>
    <w:rsid w:val="00250005"/>
    <w:rsid w:val="0025254F"/>
    <w:rsid w:val="0025566D"/>
    <w:rsid w:val="0025595C"/>
    <w:rsid w:val="00256E2A"/>
    <w:rsid w:val="00257149"/>
    <w:rsid w:val="002576E7"/>
    <w:rsid w:val="00260357"/>
    <w:rsid w:val="00261FC4"/>
    <w:rsid w:val="002620B5"/>
    <w:rsid w:val="00264637"/>
    <w:rsid w:val="00264F04"/>
    <w:rsid w:val="00267554"/>
    <w:rsid w:val="00273C8A"/>
    <w:rsid w:val="0027474C"/>
    <w:rsid w:val="00274E2B"/>
    <w:rsid w:val="002818A5"/>
    <w:rsid w:val="00281B73"/>
    <w:rsid w:val="00281D55"/>
    <w:rsid w:val="0028338F"/>
    <w:rsid w:val="0028381B"/>
    <w:rsid w:val="002915C4"/>
    <w:rsid w:val="0029215E"/>
    <w:rsid w:val="00292B36"/>
    <w:rsid w:val="00293BF0"/>
    <w:rsid w:val="00297E6B"/>
    <w:rsid w:val="002A1D1C"/>
    <w:rsid w:val="002A4D64"/>
    <w:rsid w:val="002A67D9"/>
    <w:rsid w:val="002B4969"/>
    <w:rsid w:val="002B6554"/>
    <w:rsid w:val="002B6788"/>
    <w:rsid w:val="002B7DAA"/>
    <w:rsid w:val="002C3834"/>
    <w:rsid w:val="002C6C73"/>
    <w:rsid w:val="002C7AF3"/>
    <w:rsid w:val="002D0045"/>
    <w:rsid w:val="002D05F0"/>
    <w:rsid w:val="002D2829"/>
    <w:rsid w:val="002D4064"/>
    <w:rsid w:val="002D7D4A"/>
    <w:rsid w:val="002E0EE8"/>
    <w:rsid w:val="002E28AD"/>
    <w:rsid w:val="002E383B"/>
    <w:rsid w:val="002E3846"/>
    <w:rsid w:val="002E3F78"/>
    <w:rsid w:val="002F400C"/>
    <w:rsid w:val="002F4D76"/>
    <w:rsid w:val="002F6D26"/>
    <w:rsid w:val="002F75BE"/>
    <w:rsid w:val="0030231E"/>
    <w:rsid w:val="003042C4"/>
    <w:rsid w:val="00304CB4"/>
    <w:rsid w:val="00306B28"/>
    <w:rsid w:val="00312C52"/>
    <w:rsid w:val="00313F37"/>
    <w:rsid w:val="003141D0"/>
    <w:rsid w:val="003168C1"/>
    <w:rsid w:val="00322FBE"/>
    <w:rsid w:val="00325570"/>
    <w:rsid w:val="00325632"/>
    <w:rsid w:val="003263AF"/>
    <w:rsid w:val="00327549"/>
    <w:rsid w:val="003341A3"/>
    <w:rsid w:val="003342A5"/>
    <w:rsid w:val="00334616"/>
    <w:rsid w:val="00336C36"/>
    <w:rsid w:val="003403B5"/>
    <w:rsid w:val="00343278"/>
    <w:rsid w:val="00343702"/>
    <w:rsid w:val="00343815"/>
    <w:rsid w:val="0035178C"/>
    <w:rsid w:val="003522BB"/>
    <w:rsid w:val="00352F6C"/>
    <w:rsid w:val="00354298"/>
    <w:rsid w:val="003556EA"/>
    <w:rsid w:val="003640B7"/>
    <w:rsid w:val="00377170"/>
    <w:rsid w:val="0038153A"/>
    <w:rsid w:val="00383AC7"/>
    <w:rsid w:val="00386FC7"/>
    <w:rsid w:val="00390A32"/>
    <w:rsid w:val="003A0859"/>
    <w:rsid w:val="003A1142"/>
    <w:rsid w:val="003A1E91"/>
    <w:rsid w:val="003A241F"/>
    <w:rsid w:val="003A40F2"/>
    <w:rsid w:val="003A43E9"/>
    <w:rsid w:val="003A50D1"/>
    <w:rsid w:val="003A667A"/>
    <w:rsid w:val="003B0EF6"/>
    <w:rsid w:val="003B13F7"/>
    <w:rsid w:val="003B196D"/>
    <w:rsid w:val="003B2710"/>
    <w:rsid w:val="003B4608"/>
    <w:rsid w:val="003B5DC6"/>
    <w:rsid w:val="003B60F5"/>
    <w:rsid w:val="003B706F"/>
    <w:rsid w:val="003C2392"/>
    <w:rsid w:val="003C5174"/>
    <w:rsid w:val="003C5240"/>
    <w:rsid w:val="003C76E6"/>
    <w:rsid w:val="003D14E0"/>
    <w:rsid w:val="003D1EA5"/>
    <w:rsid w:val="003D3348"/>
    <w:rsid w:val="003D3471"/>
    <w:rsid w:val="003D646B"/>
    <w:rsid w:val="003D6822"/>
    <w:rsid w:val="003D724C"/>
    <w:rsid w:val="003E0CE2"/>
    <w:rsid w:val="003E3E46"/>
    <w:rsid w:val="003E6FF5"/>
    <w:rsid w:val="003F118C"/>
    <w:rsid w:val="003F1C6D"/>
    <w:rsid w:val="003F2CBC"/>
    <w:rsid w:val="003F45FC"/>
    <w:rsid w:val="003F49E4"/>
    <w:rsid w:val="003F4D2F"/>
    <w:rsid w:val="003F5E32"/>
    <w:rsid w:val="003F69B6"/>
    <w:rsid w:val="003F75F6"/>
    <w:rsid w:val="003F7F2C"/>
    <w:rsid w:val="004037A2"/>
    <w:rsid w:val="00404670"/>
    <w:rsid w:val="00404939"/>
    <w:rsid w:val="00405879"/>
    <w:rsid w:val="00414CA0"/>
    <w:rsid w:val="004217D5"/>
    <w:rsid w:val="00422F54"/>
    <w:rsid w:val="00425B2C"/>
    <w:rsid w:val="00431516"/>
    <w:rsid w:val="004361B3"/>
    <w:rsid w:val="00436DD3"/>
    <w:rsid w:val="00440B9F"/>
    <w:rsid w:val="004423CD"/>
    <w:rsid w:val="0044249D"/>
    <w:rsid w:val="0044379F"/>
    <w:rsid w:val="004438DB"/>
    <w:rsid w:val="0044405C"/>
    <w:rsid w:val="00444FCC"/>
    <w:rsid w:val="00446FB1"/>
    <w:rsid w:val="0045145A"/>
    <w:rsid w:val="00452753"/>
    <w:rsid w:val="0045603D"/>
    <w:rsid w:val="0046078F"/>
    <w:rsid w:val="00463214"/>
    <w:rsid w:val="0046434D"/>
    <w:rsid w:val="00464F69"/>
    <w:rsid w:val="00464FEB"/>
    <w:rsid w:val="004656FA"/>
    <w:rsid w:val="00471D77"/>
    <w:rsid w:val="00475566"/>
    <w:rsid w:val="00475587"/>
    <w:rsid w:val="00480BC2"/>
    <w:rsid w:val="0049261A"/>
    <w:rsid w:val="004929C2"/>
    <w:rsid w:val="00493FDD"/>
    <w:rsid w:val="00495727"/>
    <w:rsid w:val="0049586B"/>
    <w:rsid w:val="00495D7C"/>
    <w:rsid w:val="00497B3F"/>
    <w:rsid w:val="004A2A58"/>
    <w:rsid w:val="004A3E44"/>
    <w:rsid w:val="004B1F39"/>
    <w:rsid w:val="004B2018"/>
    <w:rsid w:val="004B20DE"/>
    <w:rsid w:val="004B2896"/>
    <w:rsid w:val="004B31D7"/>
    <w:rsid w:val="004B378C"/>
    <w:rsid w:val="004B38E9"/>
    <w:rsid w:val="004B3FBA"/>
    <w:rsid w:val="004B6599"/>
    <w:rsid w:val="004C0966"/>
    <w:rsid w:val="004C2A4B"/>
    <w:rsid w:val="004C390D"/>
    <w:rsid w:val="004C394D"/>
    <w:rsid w:val="004C6CA7"/>
    <w:rsid w:val="004D071F"/>
    <w:rsid w:val="004D2721"/>
    <w:rsid w:val="004D4357"/>
    <w:rsid w:val="004D4950"/>
    <w:rsid w:val="004E2393"/>
    <w:rsid w:val="004E25AC"/>
    <w:rsid w:val="004E2605"/>
    <w:rsid w:val="004E288E"/>
    <w:rsid w:val="004E3745"/>
    <w:rsid w:val="004E42BE"/>
    <w:rsid w:val="004E4F42"/>
    <w:rsid w:val="004E5CEE"/>
    <w:rsid w:val="004E63D5"/>
    <w:rsid w:val="004E65F9"/>
    <w:rsid w:val="004E7EC8"/>
    <w:rsid w:val="004F03FD"/>
    <w:rsid w:val="004F2C9D"/>
    <w:rsid w:val="004F2DB2"/>
    <w:rsid w:val="004F46C5"/>
    <w:rsid w:val="004F52F0"/>
    <w:rsid w:val="004F6250"/>
    <w:rsid w:val="004F6542"/>
    <w:rsid w:val="004F677C"/>
    <w:rsid w:val="004F6D8F"/>
    <w:rsid w:val="00505503"/>
    <w:rsid w:val="005064E5"/>
    <w:rsid w:val="00507F2E"/>
    <w:rsid w:val="0051107B"/>
    <w:rsid w:val="00512CE8"/>
    <w:rsid w:val="00512F9C"/>
    <w:rsid w:val="005132ED"/>
    <w:rsid w:val="00514E41"/>
    <w:rsid w:val="00521DFE"/>
    <w:rsid w:val="00527CDB"/>
    <w:rsid w:val="005335B9"/>
    <w:rsid w:val="005341C9"/>
    <w:rsid w:val="005369CA"/>
    <w:rsid w:val="00536D0B"/>
    <w:rsid w:val="00536DE9"/>
    <w:rsid w:val="00536F27"/>
    <w:rsid w:val="00540703"/>
    <w:rsid w:val="00541E08"/>
    <w:rsid w:val="00542B81"/>
    <w:rsid w:val="00545330"/>
    <w:rsid w:val="00545F21"/>
    <w:rsid w:val="00554FE0"/>
    <w:rsid w:val="00556AAC"/>
    <w:rsid w:val="005576DF"/>
    <w:rsid w:val="0055789A"/>
    <w:rsid w:val="00560952"/>
    <w:rsid w:val="005652D1"/>
    <w:rsid w:val="005660A0"/>
    <w:rsid w:val="00566A4F"/>
    <w:rsid w:val="00567D64"/>
    <w:rsid w:val="005765CB"/>
    <w:rsid w:val="00583042"/>
    <w:rsid w:val="00591B64"/>
    <w:rsid w:val="005978D4"/>
    <w:rsid w:val="00597A21"/>
    <w:rsid w:val="005A0D3D"/>
    <w:rsid w:val="005A1338"/>
    <w:rsid w:val="005A19B8"/>
    <w:rsid w:val="005A23FA"/>
    <w:rsid w:val="005B2A67"/>
    <w:rsid w:val="005B2F45"/>
    <w:rsid w:val="005B3DCD"/>
    <w:rsid w:val="005B4AD4"/>
    <w:rsid w:val="005B5602"/>
    <w:rsid w:val="005B61F8"/>
    <w:rsid w:val="005B790A"/>
    <w:rsid w:val="005C2798"/>
    <w:rsid w:val="005C36C3"/>
    <w:rsid w:val="005C56DD"/>
    <w:rsid w:val="005C56EE"/>
    <w:rsid w:val="005D1714"/>
    <w:rsid w:val="005D6116"/>
    <w:rsid w:val="005D760E"/>
    <w:rsid w:val="005D7638"/>
    <w:rsid w:val="005E5534"/>
    <w:rsid w:val="005E66E0"/>
    <w:rsid w:val="005E6A43"/>
    <w:rsid w:val="005F12F5"/>
    <w:rsid w:val="005F1EAE"/>
    <w:rsid w:val="005F483D"/>
    <w:rsid w:val="005F538F"/>
    <w:rsid w:val="005F5586"/>
    <w:rsid w:val="005F5696"/>
    <w:rsid w:val="005F7C7D"/>
    <w:rsid w:val="006007C7"/>
    <w:rsid w:val="006044B7"/>
    <w:rsid w:val="006052E8"/>
    <w:rsid w:val="006071CE"/>
    <w:rsid w:val="006075B5"/>
    <w:rsid w:val="0061018C"/>
    <w:rsid w:val="0061094E"/>
    <w:rsid w:val="00613440"/>
    <w:rsid w:val="00613BE3"/>
    <w:rsid w:val="00613D45"/>
    <w:rsid w:val="00613F84"/>
    <w:rsid w:val="00615E04"/>
    <w:rsid w:val="0062327B"/>
    <w:rsid w:val="00624B50"/>
    <w:rsid w:val="00627ACA"/>
    <w:rsid w:val="00632777"/>
    <w:rsid w:val="00633750"/>
    <w:rsid w:val="00633A66"/>
    <w:rsid w:val="00634491"/>
    <w:rsid w:val="00634F6C"/>
    <w:rsid w:val="0063679C"/>
    <w:rsid w:val="00637055"/>
    <w:rsid w:val="006413E2"/>
    <w:rsid w:val="00641D59"/>
    <w:rsid w:val="00642BD8"/>
    <w:rsid w:val="00643161"/>
    <w:rsid w:val="00644507"/>
    <w:rsid w:val="00646880"/>
    <w:rsid w:val="00647D2A"/>
    <w:rsid w:val="00651C4C"/>
    <w:rsid w:val="006537BB"/>
    <w:rsid w:val="00653A57"/>
    <w:rsid w:val="00655DC1"/>
    <w:rsid w:val="0065643E"/>
    <w:rsid w:val="00660C23"/>
    <w:rsid w:val="00665974"/>
    <w:rsid w:val="00667E07"/>
    <w:rsid w:val="00671785"/>
    <w:rsid w:val="00672BA9"/>
    <w:rsid w:val="00673005"/>
    <w:rsid w:val="00676AA8"/>
    <w:rsid w:val="006804BE"/>
    <w:rsid w:val="00682706"/>
    <w:rsid w:val="00682728"/>
    <w:rsid w:val="0068434A"/>
    <w:rsid w:val="0069008E"/>
    <w:rsid w:val="0069087E"/>
    <w:rsid w:val="006925C4"/>
    <w:rsid w:val="00696D73"/>
    <w:rsid w:val="006A02B7"/>
    <w:rsid w:val="006A6AD8"/>
    <w:rsid w:val="006A7019"/>
    <w:rsid w:val="006B46D5"/>
    <w:rsid w:val="006B46F4"/>
    <w:rsid w:val="006C39BB"/>
    <w:rsid w:val="006C7AF3"/>
    <w:rsid w:val="006D0B9D"/>
    <w:rsid w:val="006D602A"/>
    <w:rsid w:val="006D6548"/>
    <w:rsid w:val="006E0E20"/>
    <w:rsid w:val="006E19F0"/>
    <w:rsid w:val="006E2689"/>
    <w:rsid w:val="006E30CA"/>
    <w:rsid w:val="006E4256"/>
    <w:rsid w:val="006E4BBA"/>
    <w:rsid w:val="006E5F43"/>
    <w:rsid w:val="006E60A6"/>
    <w:rsid w:val="006E79AC"/>
    <w:rsid w:val="006F0F69"/>
    <w:rsid w:val="006F116B"/>
    <w:rsid w:val="006F117F"/>
    <w:rsid w:val="006F13DF"/>
    <w:rsid w:val="006F2780"/>
    <w:rsid w:val="006F3809"/>
    <w:rsid w:val="006F4214"/>
    <w:rsid w:val="006F69FB"/>
    <w:rsid w:val="006F7283"/>
    <w:rsid w:val="00702F26"/>
    <w:rsid w:val="0070313E"/>
    <w:rsid w:val="00703799"/>
    <w:rsid w:val="00704D1D"/>
    <w:rsid w:val="00705C5C"/>
    <w:rsid w:val="00710C61"/>
    <w:rsid w:val="00711475"/>
    <w:rsid w:val="007116CE"/>
    <w:rsid w:val="00716401"/>
    <w:rsid w:val="00720A6A"/>
    <w:rsid w:val="00721BD0"/>
    <w:rsid w:val="007223BC"/>
    <w:rsid w:val="00723BF8"/>
    <w:rsid w:val="0072548A"/>
    <w:rsid w:val="007277A6"/>
    <w:rsid w:val="00733A8C"/>
    <w:rsid w:val="0074028F"/>
    <w:rsid w:val="007437AB"/>
    <w:rsid w:val="00745425"/>
    <w:rsid w:val="007457DC"/>
    <w:rsid w:val="00747B6B"/>
    <w:rsid w:val="00747D04"/>
    <w:rsid w:val="007534F8"/>
    <w:rsid w:val="0075413E"/>
    <w:rsid w:val="007545AD"/>
    <w:rsid w:val="00757ADE"/>
    <w:rsid w:val="007605FE"/>
    <w:rsid w:val="00763722"/>
    <w:rsid w:val="00764081"/>
    <w:rsid w:val="00764BC1"/>
    <w:rsid w:val="0076604A"/>
    <w:rsid w:val="00770869"/>
    <w:rsid w:val="00770C2E"/>
    <w:rsid w:val="00772FE4"/>
    <w:rsid w:val="007738AA"/>
    <w:rsid w:val="0078022C"/>
    <w:rsid w:val="00780A62"/>
    <w:rsid w:val="00783241"/>
    <w:rsid w:val="00784BDC"/>
    <w:rsid w:val="00785684"/>
    <w:rsid w:val="00786CF4"/>
    <w:rsid w:val="007924A2"/>
    <w:rsid w:val="00792F28"/>
    <w:rsid w:val="007946A6"/>
    <w:rsid w:val="0079543F"/>
    <w:rsid w:val="00795880"/>
    <w:rsid w:val="007A1268"/>
    <w:rsid w:val="007A15D5"/>
    <w:rsid w:val="007A270B"/>
    <w:rsid w:val="007A4099"/>
    <w:rsid w:val="007A4367"/>
    <w:rsid w:val="007B0867"/>
    <w:rsid w:val="007B15EA"/>
    <w:rsid w:val="007B1AC1"/>
    <w:rsid w:val="007B4B39"/>
    <w:rsid w:val="007B4BFD"/>
    <w:rsid w:val="007B5A08"/>
    <w:rsid w:val="007B693D"/>
    <w:rsid w:val="007C1738"/>
    <w:rsid w:val="007C1EA2"/>
    <w:rsid w:val="007C4CDC"/>
    <w:rsid w:val="007C597A"/>
    <w:rsid w:val="007C6102"/>
    <w:rsid w:val="007C64E6"/>
    <w:rsid w:val="007D0380"/>
    <w:rsid w:val="007D602E"/>
    <w:rsid w:val="007E041B"/>
    <w:rsid w:val="007E199A"/>
    <w:rsid w:val="007E20FC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5BA7"/>
    <w:rsid w:val="00806EA2"/>
    <w:rsid w:val="00812A2B"/>
    <w:rsid w:val="00814A4C"/>
    <w:rsid w:val="00814BDA"/>
    <w:rsid w:val="00816BF0"/>
    <w:rsid w:val="0082356C"/>
    <w:rsid w:val="00831AAB"/>
    <w:rsid w:val="00833BCD"/>
    <w:rsid w:val="00834287"/>
    <w:rsid w:val="00834B82"/>
    <w:rsid w:val="00834E38"/>
    <w:rsid w:val="0083574E"/>
    <w:rsid w:val="0083640C"/>
    <w:rsid w:val="008374E3"/>
    <w:rsid w:val="00837953"/>
    <w:rsid w:val="0084157B"/>
    <w:rsid w:val="00842BFB"/>
    <w:rsid w:val="00846B85"/>
    <w:rsid w:val="00847DC3"/>
    <w:rsid w:val="00847F49"/>
    <w:rsid w:val="00850A90"/>
    <w:rsid w:val="00850E1B"/>
    <w:rsid w:val="00851807"/>
    <w:rsid w:val="00852630"/>
    <w:rsid w:val="008528B3"/>
    <w:rsid w:val="008535C5"/>
    <w:rsid w:val="00853765"/>
    <w:rsid w:val="00854660"/>
    <w:rsid w:val="0085516F"/>
    <w:rsid w:val="00856783"/>
    <w:rsid w:val="00856A94"/>
    <w:rsid w:val="00860C57"/>
    <w:rsid w:val="00863FFB"/>
    <w:rsid w:val="00866CA5"/>
    <w:rsid w:val="00867186"/>
    <w:rsid w:val="00867CBF"/>
    <w:rsid w:val="00870AF6"/>
    <w:rsid w:val="00877452"/>
    <w:rsid w:val="00877BB5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94FE2"/>
    <w:rsid w:val="0089556E"/>
    <w:rsid w:val="00897F25"/>
    <w:rsid w:val="008A06DF"/>
    <w:rsid w:val="008A126B"/>
    <w:rsid w:val="008A2744"/>
    <w:rsid w:val="008A5918"/>
    <w:rsid w:val="008B0E7E"/>
    <w:rsid w:val="008B1A54"/>
    <w:rsid w:val="008B29F0"/>
    <w:rsid w:val="008B3C0A"/>
    <w:rsid w:val="008B65BD"/>
    <w:rsid w:val="008B7900"/>
    <w:rsid w:val="008C3CE6"/>
    <w:rsid w:val="008C71BF"/>
    <w:rsid w:val="008C7FE0"/>
    <w:rsid w:val="008D4AC9"/>
    <w:rsid w:val="008D5717"/>
    <w:rsid w:val="008E018D"/>
    <w:rsid w:val="008E3A27"/>
    <w:rsid w:val="008E415F"/>
    <w:rsid w:val="008E44A9"/>
    <w:rsid w:val="008E6362"/>
    <w:rsid w:val="008E66FB"/>
    <w:rsid w:val="008E6B4D"/>
    <w:rsid w:val="008E6BFF"/>
    <w:rsid w:val="008F21AF"/>
    <w:rsid w:val="008F2400"/>
    <w:rsid w:val="008F61BA"/>
    <w:rsid w:val="008F6E3C"/>
    <w:rsid w:val="008F7871"/>
    <w:rsid w:val="008F7C55"/>
    <w:rsid w:val="009018FC"/>
    <w:rsid w:val="00913967"/>
    <w:rsid w:val="00914A23"/>
    <w:rsid w:val="00915D53"/>
    <w:rsid w:val="00930754"/>
    <w:rsid w:val="00934F68"/>
    <w:rsid w:val="009355AC"/>
    <w:rsid w:val="00935F38"/>
    <w:rsid w:val="00936E21"/>
    <w:rsid w:val="00937586"/>
    <w:rsid w:val="00937A69"/>
    <w:rsid w:val="009405B0"/>
    <w:rsid w:val="00942294"/>
    <w:rsid w:val="00946676"/>
    <w:rsid w:val="00947889"/>
    <w:rsid w:val="009478BD"/>
    <w:rsid w:val="0095600D"/>
    <w:rsid w:val="00960E98"/>
    <w:rsid w:val="009633B3"/>
    <w:rsid w:val="00963A82"/>
    <w:rsid w:val="00972147"/>
    <w:rsid w:val="00972912"/>
    <w:rsid w:val="00976D1F"/>
    <w:rsid w:val="00980523"/>
    <w:rsid w:val="00981C81"/>
    <w:rsid w:val="00982D65"/>
    <w:rsid w:val="00982F81"/>
    <w:rsid w:val="009869F2"/>
    <w:rsid w:val="0098789B"/>
    <w:rsid w:val="009923AF"/>
    <w:rsid w:val="009963EE"/>
    <w:rsid w:val="009A09EF"/>
    <w:rsid w:val="009A2D24"/>
    <w:rsid w:val="009A456C"/>
    <w:rsid w:val="009A4A56"/>
    <w:rsid w:val="009A5E30"/>
    <w:rsid w:val="009B00E0"/>
    <w:rsid w:val="009B292A"/>
    <w:rsid w:val="009B6F56"/>
    <w:rsid w:val="009B76D5"/>
    <w:rsid w:val="009C0E86"/>
    <w:rsid w:val="009C165D"/>
    <w:rsid w:val="009C3CEA"/>
    <w:rsid w:val="009C583D"/>
    <w:rsid w:val="009D2611"/>
    <w:rsid w:val="009D440E"/>
    <w:rsid w:val="009D77BF"/>
    <w:rsid w:val="009D79D2"/>
    <w:rsid w:val="009E02CA"/>
    <w:rsid w:val="009E19E1"/>
    <w:rsid w:val="009E247C"/>
    <w:rsid w:val="009E31BA"/>
    <w:rsid w:val="009F028E"/>
    <w:rsid w:val="009F0528"/>
    <w:rsid w:val="009F0806"/>
    <w:rsid w:val="009F233B"/>
    <w:rsid w:val="009F6337"/>
    <w:rsid w:val="00A01D5D"/>
    <w:rsid w:val="00A0297C"/>
    <w:rsid w:val="00A05D16"/>
    <w:rsid w:val="00A0659F"/>
    <w:rsid w:val="00A073F9"/>
    <w:rsid w:val="00A079BA"/>
    <w:rsid w:val="00A12E81"/>
    <w:rsid w:val="00A14E8C"/>
    <w:rsid w:val="00A15BA2"/>
    <w:rsid w:val="00A1625B"/>
    <w:rsid w:val="00A20C70"/>
    <w:rsid w:val="00A25594"/>
    <w:rsid w:val="00A25711"/>
    <w:rsid w:val="00A268DD"/>
    <w:rsid w:val="00A27EB3"/>
    <w:rsid w:val="00A30AAF"/>
    <w:rsid w:val="00A33875"/>
    <w:rsid w:val="00A357D8"/>
    <w:rsid w:val="00A360A1"/>
    <w:rsid w:val="00A368E0"/>
    <w:rsid w:val="00A402B3"/>
    <w:rsid w:val="00A44ED7"/>
    <w:rsid w:val="00A47C39"/>
    <w:rsid w:val="00A536E9"/>
    <w:rsid w:val="00A53C29"/>
    <w:rsid w:val="00A53E3F"/>
    <w:rsid w:val="00A544B7"/>
    <w:rsid w:val="00A55EF2"/>
    <w:rsid w:val="00A618CF"/>
    <w:rsid w:val="00A62770"/>
    <w:rsid w:val="00A62EEB"/>
    <w:rsid w:val="00A660FF"/>
    <w:rsid w:val="00A718DF"/>
    <w:rsid w:val="00A73395"/>
    <w:rsid w:val="00A73CEE"/>
    <w:rsid w:val="00A76A05"/>
    <w:rsid w:val="00A771E3"/>
    <w:rsid w:val="00A81E0F"/>
    <w:rsid w:val="00A8203D"/>
    <w:rsid w:val="00A82B4C"/>
    <w:rsid w:val="00A8539F"/>
    <w:rsid w:val="00A90238"/>
    <w:rsid w:val="00A91158"/>
    <w:rsid w:val="00A93A4C"/>
    <w:rsid w:val="00A94D5D"/>
    <w:rsid w:val="00A95C13"/>
    <w:rsid w:val="00AA1D9B"/>
    <w:rsid w:val="00AA2543"/>
    <w:rsid w:val="00AA2F69"/>
    <w:rsid w:val="00AA2FC2"/>
    <w:rsid w:val="00AA3804"/>
    <w:rsid w:val="00AA5464"/>
    <w:rsid w:val="00AA55C2"/>
    <w:rsid w:val="00AB0ACA"/>
    <w:rsid w:val="00AB0B31"/>
    <w:rsid w:val="00AB1D41"/>
    <w:rsid w:val="00AB2915"/>
    <w:rsid w:val="00AB2D2D"/>
    <w:rsid w:val="00AB4C5E"/>
    <w:rsid w:val="00AB714D"/>
    <w:rsid w:val="00AC5706"/>
    <w:rsid w:val="00AC5E9A"/>
    <w:rsid w:val="00AC68E0"/>
    <w:rsid w:val="00AC704B"/>
    <w:rsid w:val="00AD04A1"/>
    <w:rsid w:val="00AD1654"/>
    <w:rsid w:val="00AD553E"/>
    <w:rsid w:val="00AD5848"/>
    <w:rsid w:val="00AD58B7"/>
    <w:rsid w:val="00AD61E7"/>
    <w:rsid w:val="00AE2EE0"/>
    <w:rsid w:val="00AE5ADA"/>
    <w:rsid w:val="00AF16D6"/>
    <w:rsid w:val="00AF6145"/>
    <w:rsid w:val="00B01386"/>
    <w:rsid w:val="00B01BB5"/>
    <w:rsid w:val="00B026CC"/>
    <w:rsid w:val="00B03E3B"/>
    <w:rsid w:val="00B04256"/>
    <w:rsid w:val="00B04AF4"/>
    <w:rsid w:val="00B04F1E"/>
    <w:rsid w:val="00B05214"/>
    <w:rsid w:val="00B1003C"/>
    <w:rsid w:val="00B14D5D"/>
    <w:rsid w:val="00B22CF2"/>
    <w:rsid w:val="00B2730E"/>
    <w:rsid w:val="00B30D97"/>
    <w:rsid w:val="00B31074"/>
    <w:rsid w:val="00B3181A"/>
    <w:rsid w:val="00B35A7C"/>
    <w:rsid w:val="00B417A9"/>
    <w:rsid w:val="00B43EB1"/>
    <w:rsid w:val="00B44A6C"/>
    <w:rsid w:val="00B44ECD"/>
    <w:rsid w:val="00B450D1"/>
    <w:rsid w:val="00B52E01"/>
    <w:rsid w:val="00B53636"/>
    <w:rsid w:val="00B53D47"/>
    <w:rsid w:val="00B54A25"/>
    <w:rsid w:val="00B616AA"/>
    <w:rsid w:val="00B618C3"/>
    <w:rsid w:val="00B62A89"/>
    <w:rsid w:val="00B63652"/>
    <w:rsid w:val="00B668B0"/>
    <w:rsid w:val="00B66C47"/>
    <w:rsid w:val="00B67200"/>
    <w:rsid w:val="00B70F5C"/>
    <w:rsid w:val="00B7141D"/>
    <w:rsid w:val="00B71873"/>
    <w:rsid w:val="00B73980"/>
    <w:rsid w:val="00B75AE5"/>
    <w:rsid w:val="00B760F0"/>
    <w:rsid w:val="00B800C0"/>
    <w:rsid w:val="00B8132B"/>
    <w:rsid w:val="00B8213A"/>
    <w:rsid w:val="00B84C5A"/>
    <w:rsid w:val="00B84E52"/>
    <w:rsid w:val="00B85379"/>
    <w:rsid w:val="00B858F5"/>
    <w:rsid w:val="00B93668"/>
    <w:rsid w:val="00B93D3D"/>
    <w:rsid w:val="00B955CB"/>
    <w:rsid w:val="00B9718A"/>
    <w:rsid w:val="00BA151C"/>
    <w:rsid w:val="00BA2CC5"/>
    <w:rsid w:val="00BA34A0"/>
    <w:rsid w:val="00BA68C6"/>
    <w:rsid w:val="00BB12F1"/>
    <w:rsid w:val="00BB276E"/>
    <w:rsid w:val="00BB3FEE"/>
    <w:rsid w:val="00BB5EB0"/>
    <w:rsid w:val="00BC00EA"/>
    <w:rsid w:val="00BC0352"/>
    <w:rsid w:val="00BC0539"/>
    <w:rsid w:val="00BC245A"/>
    <w:rsid w:val="00BC6D0A"/>
    <w:rsid w:val="00BD0FFB"/>
    <w:rsid w:val="00BD16FA"/>
    <w:rsid w:val="00BD41C3"/>
    <w:rsid w:val="00BD488B"/>
    <w:rsid w:val="00BD6616"/>
    <w:rsid w:val="00BD75A1"/>
    <w:rsid w:val="00BD7850"/>
    <w:rsid w:val="00BD7CCC"/>
    <w:rsid w:val="00BE002A"/>
    <w:rsid w:val="00BE0283"/>
    <w:rsid w:val="00BE1BC9"/>
    <w:rsid w:val="00BE46FC"/>
    <w:rsid w:val="00BE5CDA"/>
    <w:rsid w:val="00BE608F"/>
    <w:rsid w:val="00BE6876"/>
    <w:rsid w:val="00BF23BB"/>
    <w:rsid w:val="00BF2D24"/>
    <w:rsid w:val="00BF33DD"/>
    <w:rsid w:val="00BF52D2"/>
    <w:rsid w:val="00BF5755"/>
    <w:rsid w:val="00BF5BD2"/>
    <w:rsid w:val="00BF684B"/>
    <w:rsid w:val="00C016F3"/>
    <w:rsid w:val="00C03F3F"/>
    <w:rsid w:val="00C07BFD"/>
    <w:rsid w:val="00C15193"/>
    <w:rsid w:val="00C15609"/>
    <w:rsid w:val="00C15F6A"/>
    <w:rsid w:val="00C16942"/>
    <w:rsid w:val="00C235CB"/>
    <w:rsid w:val="00C23EA7"/>
    <w:rsid w:val="00C2470F"/>
    <w:rsid w:val="00C254C3"/>
    <w:rsid w:val="00C256F3"/>
    <w:rsid w:val="00C270A2"/>
    <w:rsid w:val="00C315B5"/>
    <w:rsid w:val="00C3233C"/>
    <w:rsid w:val="00C35994"/>
    <w:rsid w:val="00C35E28"/>
    <w:rsid w:val="00C426AF"/>
    <w:rsid w:val="00C469C1"/>
    <w:rsid w:val="00C500CD"/>
    <w:rsid w:val="00C50659"/>
    <w:rsid w:val="00C519D6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F44"/>
    <w:rsid w:val="00C6300F"/>
    <w:rsid w:val="00C635A8"/>
    <w:rsid w:val="00C64C6B"/>
    <w:rsid w:val="00C6678E"/>
    <w:rsid w:val="00C66F2E"/>
    <w:rsid w:val="00C6785C"/>
    <w:rsid w:val="00C7002B"/>
    <w:rsid w:val="00C70E74"/>
    <w:rsid w:val="00C70FD1"/>
    <w:rsid w:val="00C72B76"/>
    <w:rsid w:val="00C7318E"/>
    <w:rsid w:val="00C733AA"/>
    <w:rsid w:val="00C7367A"/>
    <w:rsid w:val="00C74333"/>
    <w:rsid w:val="00C74E68"/>
    <w:rsid w:val="00C756F6"/>
    <w:rsid w:val="00C82E26"/>
    <w:rsid w:val="00C83027"/>
    <w:rsid w:val="00C84B8A"/>
    <w:rsid w:val="00C84FAF"/>
    <w:rsid w:val="00C85E65"/>
    <w:rsid w:val="00C87CA1"/>
    <w:rsid w:val="00C911B4"/>
    <w:rsid w:val="00C91550"/>
    <w:rsid w:val="00C91934"/>
    <w:rsid w:val="00C91B3B"/>
    <w:rsid w:val="00C92C30"/>
    <w:rsid w:val="00C93716"/>
    <w:rsid w:val="00C94262"/>
    <w:rsid w:val="00C96A74"/>
    <w:rsid w:val="00C976E1"/>
    <w:rsid w:val="00CA148E"/>
    <w:rsid w:val="00CA1D93"/>
    <w:rsid w:val="00CA3A9A"/>
    <w:rsid w:val="00CA5E9A"/>
    <w:rsid w:val="00CB5F7F"/>
    <w:rsid w:val="00CB6438"/>
    <w:rsid w:val="00CB6BC1"/>
    <w:rsid w:val="00CB7021"/>
    <w:rsid w:val="00CB710F"/>
    <w:rsid w:val="00CD3294"/>
    <w:rsid w:val="00CD4524"/>
    <w:rsid w:val="00CD5C6B"/>
    <w:rsid w:val="00CD6027"/>
    <w:rsid w:val="00CD784D"/>
    <w:rsid w:val="00CE29AF"/>
    <w:rsid w:val="00CE3D59"/>
    <w:rsid w:val="00CF025A"/>
    <w:rsid w:val="00CF0B80"/>
    <w:rsid w:val="00CF2355"/>
    <w:rsid w:val="00CF3A1C"/>
    <w:rsid w:val="00CF40F8"/>
    <w:rsid w:val="00D008DA"/>
    <w:rsid w:val="00D024B0"/>
    <w:rsid w:val="00D02859"/>
    <w:rsid w:val="00D0416F"/>
    <w:rsid w:val="00D04B73"/>
    <w:rsid w:val="00D04CE0"/>
    <w:rsid w:val="00D04F74"/>
    <w:rsid w:val="00D05851"/>
    <w:rsid w:val="00D06632"/>
    <w:rsid w:val="00D10FED"/>
    <w:rsid w:val="00D11736"/>
    <w:rsid w:val="00D12EE8"/>
    <w:rsid w:val="00D14CDF"/>
    <w:rsid w:val="00D15FF1"/>
    <w:rsid w:val="00D167F4"/>
    <w:rsid w:val="00D17323"/>
    <w:rsid w:val="00D1733F"/>
    <w:rsid w:val="00D2092A"/>
    <w:rsid w:val="00D2216D"/>
    <w:rsid w:val="00D31A6F"/>
    <w:rsid w:val="00D32DC3"/>
    <w:rsid w:val="00D33518"/>
    <w:rsid w:val="00D353D1"/>
    <w:rsid w:val="00D367DB"/>
    <w:rsid w:val="00D36E05"/>
    <w:rsid w:val="00D40B9E"/>
    <w:rsid w:val="00D44F27"/>
    <w:rsid w:val="00D45304"/>
    <w:rsid w:val="00D46165"/>
    <w:rsid w:val="00D461C7"/>
    <w:rsid w:val="00D476FC"/>
    <w:rsid w:val="00D50424"/>
    <w:rsid w:val="00D523D2"/>
    <w:rsid w:val="00D525C9"/>
    <w:rsid w:val="00D54047"/>
    <w:rsid w:val="00D543C3"/>
    <w:rsid w:val="00D57D3E"/>
    <w:rsid w:val="00D620FA"/>
    <w:rsid w:val="00D66E02"/>
    <w:rsid w:val="00D67EF5"/>
    <w:rsid w:val="00D71A61"/>
    <w:rsid w:val="00D75917"/>
    <w:rsid w:val="00D76249"/>
    <w:rsid w:val="00D862D1"/>
    <w:rsid w:val="00D93C5B"/>
    <w:rsid w:val="00D95CBE"/>
    <w:rsid w:val="00D968F8"/>
    <w:rsid w:val="00DA2526"/>
    <w:rsid w:val="00DA2913"/>
    <w:rsid w:val="00DA5C22"/>
    <w:rsid w:val="00DA7D12"/>
    <w:rsid w:val="00DB25ED"/>
    <w:rsid w:val="00DB62B5"/>
    <w:rsid w:val="00DB6505"/>
    <w:rsid w:val="00DB744B"/>
    <w:rsid w:val="00DC23CF"/>
    <w:rsid w:val="00DC6562"/>
    <w:rsid w:val="00DC6CB8"/>
    <w:rsid w:val="00DC7416"/>
    <w:rsid w:val="00DD0069"/>
    <w:rsid w:val="00DD1944"/>
    <w:rsid w:val="00DD1A90"/>
    <w:rsid w:val="00DD1FAA"/>
    <w:rsid w:val="00DD2919"/>
    <w:rsid w:val="00DD298A"/>
    <w:rsid w:val="00DD7F94"/>
    <w:rsid w:val="00DE0339"/>
    <w:rsid w:val="00DE130D"/>
    <w:rsid w:val="00DE24CF"/>
    <w:rsid w:val="00DE407C"/>
    <w:rsid w:val="00DE5D35"/>
    <w:rsid w:val="00DE7C7D"/>
    <w:rsid w:val="00DF2992"/>
    <w:rsid w:val="00DF2D0C"/>
    <w:rsid w:val="00DF6B5A"/>
    <w:rsid w:val="00DF7EEE"/>
    <w:rsid w:val="00E00058"/>
    <w:rsid w:val="00E01B9D"/>
    <w:rsid w:val="00E028DF"/>
    <w:rsid w:val="00E02F5D"/>
    <w:rsid w:val="00E0468F"/>
    <w:rsid w:val="00E04F5E"/>
    <w:rsid w:val="00E0522E"/>
    <w:rsid w:val="00E059A2"/>
    <w:rsid w:val="00E114E0"/>
    <w:rsid w:val="00E120F4"/>
    <w:rsid w:val="00E12625"/>
    <w:rsid w:val="00E15CC9"/>
    <w:rsid w:val="00E1613D"/>
    <w:rsid w:val="00E17172"/>
    <w:rsid w:val="00E21366"/>
    <w:rsid w:val="00E21E42"/>
    <w:rsid w:val="00E24DE3"/>
    <w:rsid w:val="00E25966"/>
    <w:rsid w:val="00E31365"/>
    <w:rsid w:val="00E3181C"/>
    <w:rsid w:val="00E3280A"/>
    <w:rsid w:val="00E33F73"/>
    <w:rsid w:val="00E3467C"/>
    <w:rsid w:val="00E372AF"/>
    <w:rsid w:val="00E37D68"/>
    <w:rsid w:val="00E40EAE"/>
    <w:rsid w:val="00E42235"/>
    <w:rsid w:val="00E436AC"/>
    <w:rsid w:val="00E44F7A"/>
    <w:rsid w:val="00E44FF8"/>
    <w:rsid w:val="00E47656"/>
    <w:rsid w:val="00E478D6"/>
    <w:rsid w:val="00E5066A"/>
    <w:rsid w:val="00E51453"/>
    <w:rsid w:val="00E52CF9"/>
    <w:rsid w:val="00E54397"/>
    <w:rsid w:val="00E54950"/>
    <w:rsid w:val="00E57AF9"/>
    <w:rsid w:val="00E625E3"/>
    <w:rsid w:val="00E63F34"/>
    <w:rsid w:val="00E63FEA"/>
    <w:rsid w:val="00E6715A"/>
    <w:rsid w:val="00E74974"/>
    <w:rsid w:val="00E749E5"/>
    <w:rsid w:val="00E75DC9"/>
    <w:rsid w:val="00E81610"/>
    <w:rsid w:val="00E8199E"/>
    <w:rsid w:val="00E841B3"/>
    <w:rsid w:val="00E84910"/>
    <w:rsid w:val="00E85B28"/>
    <w:rsid w:val="00E87F0B"/>
    <w:rsid w:val="00E91976"/>
    <w:rsid w:val="00E947A6"/>
    <w:rsid w:val="00E97FC7"/>
    <w:rsid w:val="00EA05C2"/>
    <w:rsid w:val="00EA0690"/>
    <w:rsid w:val="00EA3956"/>
    <w:rsid w:val="00EA4FD8"/>
    <w:rsid w:val="00EA5404"/>
    <w:rsid w:val="00EA545E"/>
    <w:rsid w:val="00EA7012"/>
    <w:rsid w:val="00EA7136"/>
    <w:rsid w:val="00EB26FA"/>
    <w:rsid w:val="00EB325A"/>
    <w:rsid w:val="00EC02A5"/>
    <w:rsid w:val="00EC0ABC"/>
    <w:rsid w:val="00EC176B"/>
    <w:rsid w:val="00EC33CD"/>
    <w:rsid w:val="00EC5BE5"/>
    <w:rsid w:val="00EC7BB1"/>
    <w:rsid w:val="00ED2650"/>
    <w:rsid w:val="00ED721A"/>
    <w:rsid w:val="00EE165B"/>
    <w:rsid w:val="00EE279B"/>
    <w:rsid w:val="00EE3110"/>
    <w:rsid w:val="00EE393D"/>
    <w:rsid w:val="00EE3C03"/>
    <w:rsid w:val="00EE742D"/>
    <w:rsid w:val="00EE7BBC"/>
    <w:rsid w:val="00EF01CF"/>
    <w:rsid w:val="00EF201A"/>
    <w:rsid w:val="00EF285F"/>
    <w:rsid w:val="00EF5941"/>
    <w:rsid w:val="00EF64F1"/>
    <w:rsid w:val="00EF6A47"/>
    <w:rsid w:val="00EF7AF9"/>
    <w:rsid w:val="00F00952"/>
    <w:rsid w:val="00F00E74"/>
    <w:rsid w:val="00F01495"/>
    <w:rsid w:val="00F02DBE"/>
    <w:rsid w:val="00F06335"/>
    <w:rsid w:val="00F06A09"/>
    <w:rsid w:val="00F07DDB"/>
    <w:rsid w:val="00F100C8"/>
    <w:rsid w:val="00F10138"/>
    <w:rsid w:val="00F13DBA"/>
    <w:rsid w:val="00F13F92"/>
    <w:rsid w:val="00F22ECA"/>
    <w:rsid w:val="00F23348"/>
    <w:rsid w:val="00F240E8"/>
    <w:rsid w:val="00F244FA"/>
    <w:rsid w:val="00F366A2"/>
    <w:rsid w:val="00F42B8F"/>
    <w:rsid w:val="00F44F43"/>
    <w:rsid w:val="00F450E1"/>
    <w:rsid w:val="00F455DA"/>
    <w:rsid w:val="00F46406"/>
    <w:rsid w:val="00F4748E"/>
    <w:rsid w:val="00F50DF4"/>
    <w:rsid w:val="00F512D7"/>
    <w:rsid w:val="00F557DF"/>
    <w:rsid w:val="00F57AFE"/>
    <w:rsid w:val="00F6278E"/>
    <w:rsid w:val="00F63C41"/>
    <w:rsid w:val="00F63E96"/>
    <w:rsid w:val="00F6421C"/>
    <w:rsid w:val="00F6426A"/>
    <w:rsid w:val="00F701E3"/>
    <w:rsid w:val="00F71008"/>
    <w:rsid w:val="00F71F8C"/>
    <w:rsid w:val="00F7702D"/>
    <w:rsid w:val="00F86AD4"/>
    <w:rsid w:val="00F87D45"/>
    <w:rsid w:val="00F93135"/>
    <w:rsid w:val="00F97F28"/>
    <w:rsid w:val="00FA0113"/>
    <w:rsid w:val="00FA0431"/>
    <w:rsid w:val="00FA12B2"/>
    <w:rsid w:val="00FA23CE"/>
    <w:rsid w:val="00FA7610"/>
    <w:rsid w:val="00FB02BD"/>
    <w:rsid w:val="00FB37AA"/>
    <w:rsid w:val="00FB37ED"/>
    <w:rsid w:val="00FB398F"/>
    <w:rsid w:val="00FB4EF8"/>
    <w:rsid w:val="00FB54AE"/>
    <w:rsid w:val="00FB55A5"/>
    <w:rsid w:val="00FB6DA6"/>
    <w:rsid w:val="00FB709A"/>
    <w:rsid w:val="00FB78DD"/>
    <w:rsid w:val="00FC3EF3"/>
    <w:rsid w:val="00FC5D35"/>
    <w:rsid w:val="00FC7560"/>
    <w:rsid w:val="00FD0547"/>
    <w:rsid w:val="00FD2049"/>
    <w:rsid w:val="00FD2140"/>
    <w:rsid w:val="00FD3D04"/>
    <w:rsid w:val="00FD43A9"/>
    <w:rsid w:val="00FD5B5F"/>
    <w:rsid w:val="00FD5BDE"/>
    <w:rsid w:val="00FD68EC"/>
    <w:rsid w:val="00FE07B6"/>
    <w:rsid w:val="00FE24A5"/>
    <w:rsid w:val="00FE31E5"/>
    <w:rsid w:val="00FE4292"/>
    <w:rsid w:val="00FE466D"/>
    <w:rsid w:val="00FE53DC"/>
    <w:rsid w:val="00FE631A"/>
    <w:rsid w:val="00FF19AD"/>
    <w:rsid w:val="00FF1EB5"/>
    <w:rsid w:val="00FF292D"/>
    <w:rsid w:val="00FF298D"/>
    <w:rsid w:val="00FF4B55"/>
    <w:rsid w:val="00FF6287"/>
    <w:rsid w:val="00FF6A74"/>
    <w:rsid w:val="00FF6D2D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E7FCD"/>
  <w15:chartTrackingRefBased/>
  <w15:docId w15:val="{507735FF-94EF-4B6C-A455-45C11B65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6D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A536E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1C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postol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9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Energy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34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34D5-EEA9-428F-8665-58FD48F1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4959</CharactersWithSpaces>
  <SharedDoc>false</SharedDoc>
  <HLinks>
    <vt:vector size="42" baseType="variant">
      <vt:variant>
        <vt:i4>5177462</vt:i4>
      </vt:variant>
      <vt:variant>
        <vt:i4>12</vt:i4>
      </vt:variant>
      <vt:variant>
        <vt:i4>0</vt:i4>
      </vt:variant>
      <vt:variant>
        <vt:i4>5</vt:i4>
      </vt:variant>
      <vt:variant>
        <vt:lpwstr>mailto:napostolou@cystat.mof.gov.cy</vt:lpwstr>
      </vt:variant>
      <vt:variant>
        <vt:lpwstr/>
      </vt:variant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https://www.cystat.gov.cy/el/MethodologicalDetails?m=2195</vt:lpwstr>
      </vt:variant>
      <vt:variant>
        <vt:lpwstr/>
      </vt:variant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https://www.cystat.gov.cy/el/KeyFiguresList?s=34</vt:lpwstr>
      </vt:variant>
      <vt:variant>
        <vt:lpwstr/>
      </vt:variant>
      <vt:variant>
        <vt:i4>655419</vt:i4>
      </vt:variant>
      <vt:variant>
        <vt:i4>3</vt:i4>
      </vt:variant>
      <vt:variant>
        <vt:i4>0</vt:i4>
      </vt:variant>
      <vt:variant>
        <vt:i4>5</vt:i4>
      </vt:variant>
      <vt:variant>
        <vt:lpwstr>https://cystatdb.cystat.gov.cy/pxweb/el/8.CYSTAT-DB/8.CYSTAT-DB__Energy__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https://www.cystat.gov.cy/el/SubthemeStatistics?s=34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33</cp:revision>
  <cp:lastPrinted>2023-06-26T10:31:00Z</cp:lastPrinted>
  <dcterms:created xsi:type="dcterms:W3CDTF">2023-03-27T10:11:00Z</dcterms:created>
  <dcterms:modified xsi:type="dcterms:W3CDTF">2023-07-27T07:32:00Z</dcterms:modified>
</cp:coreProperties>
</file>