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F846" w14:textId="77777777" w:rsidR="00936E21" w:rsidRPr="005D2AED" w:rsidRDefault="00936E21" w:rsidP="00A12E81">
      <w:pPr>
        <w:jc w:val="center"/>
        <w:rPr>
          <w:rFonts w:ascii="Verdana" w:eastAsia="Malgun Gothic" w:hAnsi="Verdana" w:cs="Arial"/>
          <w:sz w:val="18"/>
          <w:szCs w:val="18"/>
        </w:rPr>
      </w:pPr>
    </w:p>
    <w:p w14:paraId="660893E5" w14:textId="0E54C21E" w:rsidR="00163319" w:rsidRPr="008A2744" w:rsidRDefault="00163319" w:rsidP="00163319">
      <w:pPr>
        <w:jc w:val="right"/>
        <w:rPr>
          <w:rFonts w:ascii="Verdana" w:hAnsi="Verdana" w:cs="Arial"/>
          <w:sz w:val="18"/>
          <w:szCs w:val="18"/>
          <w:lang w:val="el-GR"/>
        </w:rPr>
      </w:pPr>
      <w:bookmarkStart w:id="0" w:name="_Hlk159853228"/>
      <w:r w:rsidRPr="00050EC8">
        <w:rPr>
          <w:rFonts w:ascii="Verdana" w:hAnsi="Verdana" w:cs="Arial"/>
          <w:sz w:val="18"/>
          <w:szCs w:val="18"/>
          <w:lang w:val="el-GR"/>
        </w:rPr>
        <w:t>2</w:t>
      </w:r>
      <w:r w:rsidR="00451664">
        <w:rPr>
          <w:rFonts w:ascii="Verdana" w:hAnsi="Verdana" w:cs="Arial"/>
          <w:sz w:val="18"/>
          <w:szCs w:val="18"/>
          <w:lang w:val="el-GR"/>
        </w:rPr>
        <w:t>9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451664">
        <w:rPr>
          <w:rFonts w:ascii="Verdana" w:hAnsi="Verdana" w:cs="Arial"/>
          <w:sz w:val="18"/>
          <w:szCs w:val="18"/>
          <w:lang w:val="el-GR"/>
        </w:rPr>
        <w:t>Απριλίου</w:t>
      </w:r>
      <w:r>
        <w:rPr>
          <w:rFonts w:ascii="Verdana" w:hAnsi="Verdana" w:cs="Arial"/>
          <w:sz w:val="18"/>
          <w:szCs w:val="18"/>
          <w:lang w:val="el-GR"/>
        </w:rPr>
        <w:t>, 2024</w:t>
      </w:r>
    </w:p>
    <w:bookmarkEnd w:id="0"/>
    <w:p w14:paraId="05861BF0" w14:textId="77777777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6C336D49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451664">
        <w:rPr>
          <w:rFonts w:ascii="Verdana" w:hAnsi="Verdana"/>
          <w:szCs w:val="22"/>
          <w:shd w:val="clear" w:color="auto" w:fill="FFFFFF"/>
        </w:rPr>
        <w:t>ΜΑΡΤΙΟΣ</w:t>
      </w:r>
      <w:r w:rsidR="00163319"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163319">
        <w:rPr>
          <w:rFonts w:ascii="Verdana" w:hAnsi="Verdana"/>
          <w:szCs w:val="22"/>
          <w:shd w:val="clear" w:color="auto" w:fill="FFFFFF"/>
        </w:rPr>
        <w:t>4</w:t>
      </w:r>
    </w:p>
    <w:p w14:paraId="0F92D7EB" w14:textId="77777777" w:rsidR="00FB55A5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8B5A5" w14:textId="77777777" w:rsidR="00510C81" w:rsidRPr="009F6337" w:rsidRDefault="00510C81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1DE03B86" w:rsidR="009F6337" w:rsidRPr="009F6337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9F6337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CC295A">
        <w:rPr>
          <w:rFonts w:ascii="Verdana" w:eastAsia="Malgun Gothic" w:hAnsi="Verdana" w:cs="Arial"/>
          <w:b/>
          <w:bCs/>
          <w:lang w:val="el-GR"/>
        </w:rPr>
        <w:t>-3</w:t>
      </w:r>
      <w:r w:rsidR="00163319" w:rsidRPr="009F6337">
        <w:rPr>
          <w:rFonts w:ascii="Verdana" w:eastAsia="Malgun Gothic" w:hAnsi="Verdana" w:cs="Arial"/>
          <w:b/>
          <w:bCs/>
          <w:lang w:val="el-GR"/>
        </w:rPr>
        <w:t>,</w:t>
      </w:r>
      <w:r w:rsidR="00CC295A">
        <w:rPr>
          <w:rFonts w:ascii="Verdana" w:eastAsia="Malgun Gothic" w:hAnsi="Verdana" w:cs="Arial"/>
          <w:b/>
          <w:bCs/>
          <w:lang w:val="el-GR"/>
        </w:rPr>
        <w:t>2</w:t>
      </w:r>
      <w:r w:rsidR="00163319" w:rsidRPr="009F6337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9F6337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72FC150" w14:textId="525E32AA" w:rsidR="00163319" w:rsidRPr="007C75AF" w:rsidRDefault="00163319" w:rsidP="00414B61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πωλήσεις πετρελαιοειδών έφτασαν τους </w:t>
      </w:r>
      <w:bookmarkStart w:id="1" w:name="_Hlk107213034"/>
      <w:r w:rsidR="00414B61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08</w:t>
      </w:r>
      <w:r w:rsidR="00414B61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200</w:t>
      </w:r>
      <w:r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σημειώνοντας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2" w:name="_Hlk107213045"/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2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σχέση με τον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σημειώθηκε στις προμήθειες  πετρελαίου 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πλοία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-6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καθώς και στις πωλήσεις</w:t>
      </w:r>
      <w:r w:rsidR="00414B61" w:rsidRP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ελαφρού μαζούτ (-32,9% έκαστο), </w:t>
      </w:r>
      <w:r w:rsidR="00414B61">
        <w:rPr>
          <w:rFonts w:ascii="Verdana" w:hAnsi="Verdana"/>
          <w:sz w:val="18"/>
          <w:szCs w:val="18"/>
          <w:shd w:val="clear" w:color="auto" w:fill="FFFFFF"/>
          <w:lang w:val="el-GR"/>
        </w:rPr>
        <w:t>ασφάλτου (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-7</w:t>
      </w:r>
      <w:r w:rsidR="00414B61">
        <w:rPr>
          <w:rFonts w:ascii="Verdana" w:hAnsi="Verdana"/>
          <w:sz w:val="18"/>
          <w:szCs w:val="18"/>
          <w:shd w:val="clear" w:color="auto" w:fill="FFFFFF"/>
          <w:lang w:val="el-GR"/>
        </w:rPr>
        <w:t>,9%)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υγραερίου     </w:t>
      </w:r>
      <w:r w:rsidR="00CC295A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-4</w:t>
      </w:r>
      <w:r w:rsidR="00CC295A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CC295A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Αντίθετα, αύξηση 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καταγράφηκε στις προμήθειες  πετρελαίου σε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αεροπλάνα (3,4%), καθώς και 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στις</w:t>
      </w:r>
      <w:r w:rsidR="00CC295A" w:rsidRP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πωλήσεις</w:t>
      </w:r>
      <w:r w:rsidR="00CC295A" w:rsidRP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πετρελαίου θέρμανσης 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10,4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πετρελαίου κίνησης (0,9%) και </w:t>
      </w:r>
      <w:r w:rsidR="00414B6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414B6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414B6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Όσ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ον αφορά ειδικότερα στις πωλήσεις από πρατήρια πετρελαιοειδών, αυτές παρουσίασαν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οριακή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CC295A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4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450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7E1810F8" w14:textId="77777777" w:rsidR="00163319" w:rsidRPr="009F6337" w:rsidRDefault="00163319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C894F9F" w14:textId="27A470EC" w:rsidR="00163319" w:rsidRDefault="00163319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4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Φεβρουάριο</w:t>
      </w:r>
      <w:r w:rsidR="00CC295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4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σημείωσαν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CC295A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8A126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Ενδεικτικά, 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οι πωλήσεις πετρελαίου θέρμανσης (-17,8%) και ελαφρού μαζούτ (-43,0%) ενώ 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 w:rsidR="00586F5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προμήθειες πετρελαίου σε αεροπλάνα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(17,8%) και 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πωλήσεις 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πετρελαίου κίνησης 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>(10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bookmarkStart w:id="3" w:name="_Hlk106979418"/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>Μαρτίου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3"/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586F5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7A223417" w14:textId="77777777" w:rsidR="00586F56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A1ABEC2" w14:textId="6A8CCA80" w:rsidR="002846E4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Ιανουαρίου –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Μαρτίου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ολικές πωλήσεις πετρελαιοειδών σημείωσαν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</w:t>
      </w:r>
      <w:r w:rsidRPr="00982D65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10384F40" w14:textId="0AA11474" w:rsidR="003C4AD2" w:rsidRPr="00510C81" w:rsidRDefault="003C4AD2" w:rsidP="00510C81">
      <w:pPr>
        <w:jc w:val="center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p w14:paraId="48628727" w14:textId="3560B256" w:rsidR="00001B46" w:rsidRDefault="001351CA" w:rsidP="00FE2BCA">
      <w:pPr>
        <w:jc w:val="center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2477CD36" wp14:editId="1E919424">
            <wp:extent cx="6132830" cy="3932555"/>
            <wp:effectExtent l="0" t="0" r="1270" b="0"/>
            <wp:docPr id="2958274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93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CDD1FE" w14:textId="77777777" w:rsidR="00B44AE0" w:rsidRDefault="00B44AE0" w:rsidP="003C4AD2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A512B3" w:rsidRPr="00A512B3" w14:paraId="7EA8830E" w14:textId="77777777" w:rsidTr="00A512B3">
        <w:trPr>
          <w:trHeight w:val="284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5B226E3F" w14:textId="5BE49228" w:rsidR="00B065C7" w:rsidRPr="00A512B3" w:rsidRDefault="00A512B3" w:rsidP="00A512B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Πίνακας 1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52EC44EC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4D1CEA00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6949DACA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515B5A96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2FB7DCA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8AF1937" w14:textId="73176145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0671BF6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A512B3" w:rsidRPr="00A512B3" w14:paraId="5B73303F" w14:textId="77777777" w:rsidTr="00A512B3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B8B65C" w14:textId="4BA97EB3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2E2600" w14:textId="551D75BA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Ολικές Πωλήσεις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07CCB0BA" w14:textId="77777777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B2BFD" w14:textId="6AD4AC94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36365" w:rsidRPr="00A512B3" w14:paraId="7DB58FAD" w14:textId="77777777" w:rsidTr="00A31A49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0EC896" w14:textId="77777777" w:rsidR="00136365" w:rsidRPr="00A512B3" w:rsidRDefault="00136365" w:rsidP="00136365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B320B51" w14:textId="6EB073D5" w:rsidR="00136365" w:rsidRPr="00163319" w:rsidRDefault="00DB0FF6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  <w:r w:rsidR="00136365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E900C2" w14:textId="5F3239AC" w:rsidR="00136365" w:rsidRPr="00163319" w:rsidRDefault="00DB0FF6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  <w:r w:rsidR="00136365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ACF06B0" w14:textId="1325DA22" w:rsidR="00136365" w:rsidRPr="008676FA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DB0FF6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  <w:r w:rsidR="00DB0FF6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34083A6" w14:textId="2728D7AC" w:rsidR="00136365" w:rsidRPr="008676FA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DB0FF6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  <w:r w:rsidR="00DB0FF6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0A500B8A" w14:textId="77777777" w:rsidR="00136365" w:rsidRPr="008676FA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D075EEF" w14:textId="70D533B5" w:rsidR="00136365" w:rsidRPr="00163319" w:rsidRDefault="00DB0FF6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36365"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163319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="00136365"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163319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5A56E4F" w14:textId="4CF6658F" w:rsidR="00136365" w:rsidRPr="008676FA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DB0FF6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</w:p>
          <w:p w14:paraId="6ED1B264" w14:textId="3EFAFC53" w:rsidR="00136365" w:rsidRPr="004F25BE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4F25B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DB0FF6" w:rsidRPr="00A512B3" w14:paraId="2999919F" w14:textId="77777777" w:rsidTr="00842AF1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</w:tcBorders>
            <w:vAlign w:val="center"/>
          </w:tcPr>
          <w:p w14:paraId="3955C8AC" w14:textId="189044E4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bookmarkStart w:id="4" w:name="_Hlk165034853"/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Αμόλυ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004CD2" w14:textId="7BBA1244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27.046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FE211" w14:textId="538EC583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27.000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06E7B" w14:textId="49841DCB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76.993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B4964" w14:textId="48C79E7C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73.837   </w:t>
            </w:r>
          </w:p>
        </w:tc>
        <w:tc>
          <w:tcPr>
            <w:tcW w:w="240" w:type="dxa"/>
            <w:vAlign w:val="center"/>
          </w:tcPr>
          <w:p w14:paraId="4ECAA78D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3999" w14:textId="013DACED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8C3C" w14:textId="7BA00465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4,3</w:t>
            </w:r>
          </w:p>
        </w:tc>
      </w:tr>
      <w:tr w:rsidR="00DB0FF6" w:rsidRPr="00A512B3" w14:paraId="4331BDB9" w14:textId="77777777" w:rsidTr="00842AF1">
        <w:trPr>
          <w:trHeight w:val="397"/>
          <w:jc w:val="center"/>
        </w:trPr>
        <w:tc>
          <w:tcPr>
            <w:tcW w:w="2367" w:type="dxa"/>
            <w:vAlign w:val="center"/>
          </w:tcPr>
          <w:p w14:paraId="0374409B" w14:textId="71AFAE2D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DF247F" w14:textId="0945B800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7D9BB" w14:textId="57C17190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9A40" w14:textId="1B81BE76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24F62" w14:textId="1C4104BB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6   </w:t>
            </w:r>
          </w:p>
        </w:tc>
        <w:tc>
          <w:tcPr>
            <w:tcW w:w="240" w:type="dxa"/>
            <w:vAlign w:val="center"/>
          </w:tcPr>
          <w:p w14:paraId="188C9D65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3D0B" w14:textId="52C26D13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8BB1" w14:textId="1F970519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-33,3</w:t>
            </w:r>
          </w:p>
        </w:tc>
      </w:tr>
      <w:tr w:rsidR="00DB0FF6" w:rsidRPr="00A512B3" w14:paraId="5BAE1F70" w14:textId="77777777" w:rsidTr="00842AF1">
        <w:trPr>
          <w:trHeight w:val="397"/>
          <w:jc w:val="center"/>
        </w:trPr>
        <w:tc>
          <w:tcPr>
            <w:tcW w:w="2367" w:type="dxa"/>
            <w:vAlign w:val="center"/>
          </w:tcPr>
          <w:p w14:paraId="6648336E" w14:textId="7BB9DBE5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E9E45D" w14:textId="2ED3ED06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16.132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AC914" w14:textId="07BF1CEC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15.602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09DD" w14:textId="2F038FB4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44.226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43807" w14:textId="1C51E1B6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41.620   </w:t>
            </w:r>
          </w:p>
        </w:tc>
        <w:tc>
          <w:tcPr>
            <w:tcW w:w="240" w:type="dxa"/>
            <w:vAlign w:val="center"/>
          </w:tcPr>
          <w:p w14:paraId="533818C5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64F17" w14:textId="6BACCFB1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50A70" w14:textId="64E7725F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6,3</w:t>
            </w:r>
          </w:p>
        </w:tc>
      </w:tr>
      <w:tr w:rsidR="00DB0FF6" w:rsidRPr="00A512B3" w14:paraId="30C46F67" w14:textId="77777777" w:rsidTr="00842AF1">
        <w:trPr>
          <w:trHeight w:val="397"/>
          <w:jc w:val="center"/>
        </w:trPr>
        <w:tc>
          <w:tcPr>
            <w:tcW w:w="2367" w:type="dxa"/>
            <w:vAlign w:val="center"/>
          </w:tcPr>
          <w:p w14:paraId="41F8E0BB" w14:textId="2435E198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D245FF" w14:textId="7A9A821F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981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3F5DE" w14:textId="633B5F5F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807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C2243" w14:textId="1B09AB72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4.808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B2B4D" w14:textId="54335FBD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5.751   </w:t>
            </w:r>
          </w:p>
        </w:tc>
        <w:tc>
          <w:tcPr>
            <w:tcW w:w="240" w:type="dxa"/>
            <w:vAlign w:val="center"/>
          </w:tcPr>
          <w:p w14:paraId="6D6076D0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8DCF9" w14:textId="2087E953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21,6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2188B" w14:textId="6BCB4543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-16,4</w:t>
            </w:r>
          </w:p>
        </w:tc>
      </w:tr>
      <w:tr w:rsidR="00DB0FF6" w:rsidRPr="00A512B3" w14:paraId="6282D3DC" w14:textId="77777777" w:rsidTr="00842AF1">
        <w:trPr>
          <w:trHeight w:val="397"/>
          <w:jc w:val="center"/>
        </w:trPr>
        <w:tc>
          <w:tcPr>
            <w:tcW w:w="2367" w:type="dxa"/>
            <w:vAlign w:val="center"/>
          </w:tcPr>
          <w:p w14:paraId="7AF29343" w14:textId="421C525F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08712B" w14:textId="0334AF39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29.769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A53F7" w14:textId="1447C179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29.491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4004D" w14:textId="71DB8ECA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82.880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C4E15" w14:textId="540D09ED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78.955   </w:t>
            </w:r>
          </w:p>
        </w:tc>
        <w:tc>
          <w:tcPr>
            <w:tcW w:w="240" w:type="dxa"/>
            <w:vAlign w:val="center"/>
          </w:tcPr>
          <w:p w14:paraId="268A22F5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C59BD" w14:textId="0DD411D4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86E4" w14:textId="31C08671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5,0</w:t>
            </w:r>
          </w:p>
        </w:tc>
      </w:tr>
      <w:tr w:rsidR="00DB0FF6" w:rsidRPr="00A512B3" w14:paraId="3A516C41" w14:textId="77777777" w:rsidTr="00842AF1">
        <w:trPr>
          <w:trHeight w:val="397"/>
          <w:jc w:val="center"/>
        </w:trPr>
        <w:tc>
          <w:tcPr>
            <w:tcW w:w="2367" w:type="dxa"/>
            <w:vAlign w:val="center"/>
          </w:tcPr>
          <w:p w14:paraId="500682A7" w14:textId="5390CB4C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Γεωργικό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CF1171" w14:textId="0143226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1.914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CEE8C" w14:textId="0D688D30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1.589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84A2C" w14:textId="4ED1E2DB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4.841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2679B" w14:textId="39548DB9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4.146   </w:t>
            </w:r>
          </w:p>
        </w:tc>
        <w:tc>
          <w:tcPr>
            <w:tcW w:w="240" w:type="dxa"/>
            <w:vAlign w:val="center"/>
          </w:tcPr>
          <w:p w14:paraId="708AEFC1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D752F" w14:textId="0E29961B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20,5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557AD" w14:textId="2ADA54F3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16,8</w:t>
            </w:r>
          </w:p>
        </w:tc>
      </w:tr>
      <w:tr w:rsidR="00DB0FF6" w:rsidRPr="00A512B3" w14:paraId="7700459A" w14:textId="77777777" w:rsidTr="00842AF1">
        <w:trPr>
          <w:trHeight w:val="397"/>
          <w:jc w:val="center"/>
        </w:trPr>
        <w:tc>
          <w:tcPr>
            <w:tcW w:w="2367" w:type="dxa"/>
            <w:vAlign w:val="center"/>
          </w:tcPr>
          <w:p w14:paraId="60B2BC5F" w14:textId="74D3F2B4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Θέρμ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F182A5" w14:textId="217B75A3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8.426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DD0A1" w14:textId="36A23EBB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7.635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97E6A" w14:textId="76778EEE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29.354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7EC1" w14:textId="6DDE95D9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31.958   </w:t>
            </w:r>
          </w:p>
        </w:tc>
        <w:tc>
          <w:tcPr>
            <w:tcW w:w="240" w:type="dxa"/>
            <w:vAlign w:val="center"/>
          </w:tcPr>
          <w:p w14:paraId="7085D362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26836" w14:textId="4AB618A5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10,4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4BF01" w14:textId="0A31E1E7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-8,1</w:t>
            </w:r>
          </w:p>
        </w:tc>
      </w:tr>
      <w:tr w:rsidR="00DB0FF6" w:rsidRPr="00A512B3" w14:paraId="5310E4E0" w14:textId="77777777" w:rsidTr="00842AF1">
        <w:trPr>
          <w:trHeight w:val="397"/>
          <w:jc w:val="center"/>
        </w:trPr>
        <w:tc>
          <w:tcPr>
            <w:tcW w:w="2367" w:type="dxa"/>
            <w:vAlign w:val="center"/>
          </w:tcPr>
          <w:p w14:paraId="607B26A5" w14:textId="0212EA44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 Να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υτιλί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8671F6" w14:textId="7DBDA8BC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6.027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EEB66" w14:textId="2E906D2C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6.464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95371" w14:textId="57990A0C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21.883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2D00C" w14:textId="56421670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19.937   </w:t>
            </w:r>
          </w:p>
        </w:tc>
        <w:tc>
          <w:tcPr>
            <w:tcW w:w="240" w:type="dxa"/>
            <w:vAlign w:val="center"/>
          </w:tcPr>
          <w:p w14:paraId="2111258D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42677" w14:textId="36E36FFB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46F5C" w14:textId="4CFF54F0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9,8</w:t>
            </w:r>
          </w:p>
        </w:tc>
      </w:tr>
      <w:tr w:rsidR="00DB0FF6" w:rsidRPr="00A512B3" w14:paraId="7E25CAB5" w14:textId="77777777" w:rsidTr="00842AF1">
        <w:trPr>
          <w:trHeight w:val="397"/>
          <w:jc w:val="center"/>
        </w:trPr>
        <w:tc>
          <w:tcPr>
            <w:tcW w:w="2367" w:type="dxa"/>
            <w:vAlign w:val="center"/>
          </w:tcPr>
          <w:p w14:paraId="4A295804" w14:textId="2AB1E462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Ελ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αφρύ Μα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2267D9" w14:textId="4C3148C3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8.566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6B3DE" w14:textId="25ACEE9C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12.775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F22CA" w14:textId="25495DFA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38.017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682BE" w14:textId="462BCA1A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43.707   </w:t>
            </w:r>
          </w:p>
        </w:tc>
        <w:tc>
          <w:tcPr>
            <w:tcW w:w="240" w:type="dxa"/>
            <w:vAlign w:val="center"/>
          </w:tcPr>
          <w:p w14:paraId="37CA3D84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2611A" w14:textId="5BC2C56C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-32,9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4177C" w14:textId="172A12C0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-13,0</w:t>
            </w:r>
          </w:p>
        </w:tc>
      </w:tr>
      <w:tr w:rsidR="00DB0FF6" w:rsidRPr="00A512B3" w14:paraId="307F9748" w14:textId="77777777" w:rsidTr="00842AF1">
        <w:trPr>
          <w:trHeight w:val="397"/>
          <w:jc w:val="center"/>
        </w:trPr>
        <w:tc>
          <w:tcPr>
            <w:tcW w:w="2367" w:type="dxa"/>
            <w:vAlign w:val="center"/>
          </w:tcPr>
          <w:p w14:paraId="0ADE79B8" w14:textId="0593477E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ρύ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Μα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F033FB" w14:textId="10D0EAC3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1.201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6D724" w14:textId="393C6A10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1.791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820F8" w14:textId="5478ACCE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3.704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5C054" w14:textId="347E293F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3.169   </w:t>
            </w:r>
          </w:p>
        </w:tc>
        <w:tc>
          <w:tcPr>
            <w:tcW w:w="240" w:type="dxa"/>
            <w:vAlign w:val="center"/>
          </w:tcPr>
          <w:p w14:paraId="6D2C0603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05405" w14:textId="4D6BE562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-32,9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4272C" w14:textId="5542697C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16,9</w:t>
            </w:r>
          </w:p>
        </w:tc>
      </w:tr>
      <w:tr w:rsidR="00DB0FF6" w:rsidRPr="00A512B3" w14:paraId="221F0016" w14:textId="77777777" w:rsidTr="00842AF1">
        <w:trPr>
          <w:trHeight w:val="397"/>
          <w:jc w:val="center"/>
        </w:trPr>
        <w:tc>
          <w:tcPr>
            <w:tcW w:w="2367" w:type="dxa"/>
            <w:vAlign w:val="center"/>
          </w:tcPr>
          <w:p w14:paraId="29DB65E5" w14:textId="7E2A669D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Λι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παντικά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Λάδι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E0D9A2" w14:textId="311E2070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200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9F4B8" w14:textId="05CE2E09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235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DFAA7" w14:textId="1BDE825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690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5C145" w14:textId="6D02DCD5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657   </w:t>
            </w:r>
          </w:p>
        </w:tc>
        <w:tc>
          <w:tcPr>
            <w:tcW w:w="240" w:type="dxa"/>
            <w:vAlign w:val="center"/>
          </w:tcPr>
          <w:p w14:paraId="1CFACF60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43D6C" w14:textId="6EFC041E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-14,9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2B68" w14:textId="36E28C29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5,0</w:t>
            </w:r>
          </w:p>
        </w:tc>
      </w:tr>
      <w:tr w:rsidR="00DB0FF6" w:rsidRPr="00A512B3" w14:paraId="73114908" w14:textId="77777777" w:rsidTr="00842AF1">
        <w:trPr>
          <w:trHeight w:val="397"/>
          <w:jc w:val="center"/>
        </w:trPr>
        <w:tc>
          <w:tcPr>
            <w:tcW w:w="2367" w:type="dxa"/>
            <w:vAlign w:val="center"/>
          </w:tcPr>
          <w:p w14:paraId="1A531487" w14:textId="3BAF9DEE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Άσφ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αλτος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472BEE" w14:textId="782778BE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3.087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CF55E" w14:textId="2141EBF5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3.353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01ED" w14:textId="71DDB983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8.320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C9CBE" w14:textId="6B2457AF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7.772   </w:t>
            </w:r>
          </w:p>
        </w:tc>
        <w:tc>
          <w:tcPr>
            <w:tcW w:w="240" w:type="dxa"/>
            <w:vAlign w:val="center"/>
          </w:tcPr>
          <w:p w14:paraId="59DA467D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5EEFB" w14:textId="0EAEDF1A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DDF03" w14:textId="6CEAB98C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7,1</w:t>
            </w:r>
          </w:p>
        </w:tc>
      </w:tr>
      <w:tr w:rsidR="00DB0FF6" w:rsidRPr="00A512B3" w14:paraId="06E2A767" w14:textId="77777777" w:rsidTr="00842AF1">
        <w:trPr>
          <w:trHeight w:val="397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92BBB07" w14:textId="5B4A87E7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Υγρ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αέριο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</w:tcPr>
          <w:p w14:paraId="1DB2F6F4" w14:textId="25452341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4.850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5B8A868" w14:textId="35E2A093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5.073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48219FB5" w14:textId="229C402E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17.611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4CF8BB65" w14:textId="2639C6DD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18.837   </w:t>
            </w:r>
          </w:p>
        </w:tc>
        <w:tc>
          <w:tcPr>
            <w:tcW w:w="240" w:type="dxa"/>
            <w:vAlign w:val="center"/>
          </w:tcPr>
          <w:p w14:paraId="15D5B0B9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D39E6F5" w14:textId="53EEF126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15E39F8" w14:textId="4E17EE9B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-6,5</w:t>
            </w:r>
          </w:p>
        </w:tc>
      </w:tr>
      <w:bookmarkEnd w:id="4"/>
      <w:tr w:rsidR="00DB0FF6" w:rsidRPr="00A512B3" w14:paraId="131C3CBA" w14:textId="77777777" w:rsidTr="00D129FC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B45FA09" w14:textId="77777777" w:rsidR="00DB0FF6" w:rsidRDefault="00DB0FF6" w:rsidP="00DB0FF6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  <w:p w14:paraId="71C3D9BC" w14:textId="5D0606F6" w:rsidR="00DB0FF6" w:rsidRDefault="00DB0FF6" w:rsidP="00DB0FF6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A512B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</w:t>
            </w:r>
          </w:p>
          <w:p w14:paraId="403CD8C2" w14:textId="554C9DF4" w:rsidR="00DB0FF6" w:rsidRPr="004F25BE" w:rsidRDefault="00DB0FF6" w:rsidP="00DB0FF6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954691C" w14:textId="1EAE4AA7" w:rsidR="00DB0FF6" w:rsidRPr="00DB0FF6" w:rsidRDefault="00DB0FF6" w:rsidP="00DB0FF6">
            <w:pPr>
              <w:spacing w:after="240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108.200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65140D2" w14:textId="0E2FE2D6" w:rsidR="00DB0FF6" w:rsidRPr="00DB0FF6" w:rsidRDefault="00DB0FF6" w:rsidP="00DB0FF6">
            <w:pPr>
              <w:spacing w:after="240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111.817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6630969F" w14:textId="3C22EC58" w:rsidR="00DB0FF6" w:rsidRPr="00DB0FF6" w:rsidRDefault="00DB0FF6" w:rsidP="00DB0FF6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333.331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0F45E6" w14:textId="61850B90" w:rsidR="00DB0FF6" w:rsidRPr="00DB0FF6" w:rsidRDefault="00DB0FF6" w:rsidP="00DB0FF6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330.352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F50A5DC" w14:textId="77777777" w:rsidR="00DB0FF6" w:rsidRPr="00A512B3" w:rsidRDefault="00DB0FF6" w:rsidP="00DB0FF6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F97739" w14:textId="42B27CE8" w:rsidR="00DB0FF6" w:rsidRPr="00DB0FF6" w:rsidRDefault="00DB0FF6" w:rsidP="00DB0FF6">
            <w:pPr>
              <w:spacing w:before="240" w:after="240"/>
              <w:ind w:right="397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-3,2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0A5FAA7D" w14:textId="37023C18" w:rsidR="00DB0FF6" w:rsidRPr="00DB0FF6" w:rsidRDefault="00DB0FF6" w:rsidP="00DB0FF6">
            <w:pPr>
              <w:spacing w:before="240" w:after="240"/>
              <w:ind w:right="397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0,9</w:t>
            </w:r>
          </w:p>
        </w:tc>
      </w:tr>
    </w:tbl>
    <w:p w14:paraId="4690FB2F" w14:textId="4CAD60FA" w:rsidR="00E21894" w:rsidRDefault="00E21894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BAFBEA3" w14:textId="77777777" w:rsidR="003C4AD2" w:rsidRPr="00B065C7" w:rsidRDefault="003C4AD2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1CD5888" w14:textId="77777777" w:rsidR="00B065C7" w:rsidRPr="003C4AD2" w:rsidRDefault="00B065C7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3C4AD2" w:rsidRPr="00A512B3" w14:paraId="5338DCD2" w14:textId="77777777" w:rsidTr="008676FA">
        <w:trPr>
          <w:trHeight w:val="411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E7C20DF" w14:textId="2E37B75D" w:rsidR="003C4AD2" w:rsidRPr="00A512B3" w:rsidRDefault="003C4AD2" w:rsidP="00EB6A3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 xml:space="preserve">Πίνακας </w:t>
            </w:r>
            <w:r w:rsidR="00BB6216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7B060464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30E37A6C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21DC5216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1C45C919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C4072EA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F8542A4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65A59EF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3C4AD2" w:rsidRPr="00A512B3" w14:paraId="32ADF5E5" w14:textId="77777777" w:rsidTr="00510C81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77C4A91" w14:textId="77777777" w:rsidR="003C4AD2" w:rsidRPr="00A512B3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457432" w14:textId="27F34523" w:rsidR="003C4AD2" w:rsidRPr="008676FA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8676FA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Πωλήσεις από Πρατήρια Πετρελαιοειδών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1875BA3" w14:textId="77777777" w:rsidR="003C4AD2" w:rsidRPr="00A512B3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0D33BE8" w14:textId="77777777" w:rsidR="003C4AD2" w:rsidRPr="00A512B3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DB0FF6" w:rsidRPr="00A512B3" w14:paraId="78297752" w14:textId="77777777" w:rsidTr="00510C81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6BF1806" w14:textId="77777777" w:rsidR="00DB0FF6" w:rsidRPr="00A512B3" w:rsidRDefault="00DB0FF6" w:rsidP="00DB0FF6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09831B" w14:textId="704A9CD9" w:rsidR="00DB0FF6" w:rsidRPr="008676FA" w:rsidRDefault="00DB0FF6" w:rsidP="00DB0FF6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F7965A" w14:textId="5D0DDAEF" w:rsidR="00DB0FF6" w:rsidRPr="008676FA" w:rsidRDefault="00DB0FF6" w:rsidP="00DB0FF6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C4FB1C5" w14:textId="25E4EBCB" w:rsidR="00DB0FF6" w:rsidRPr="008676FA" w:rsidRDefault="00DB0FF6" w:rsidP="00DB0FF6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8639973" w14:textId="796C8D2B" w:rsidR="00DB0FF6" w:rsidRPr="008676FA" w:rsidRDefault="00DB0FF6" w:rsidP="00DB0FF6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6002A42C" w14:textId="77777777" w:rsidR="00DB0FF6" w:rsidRPr="00A512B3" w:rsidRDefault="00DB0FF6" w:rsidP="00DB0FF6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D9656" w14:textId="7DB89C0A" w:rsidR="00DB0FF6" w:rsidRPr="00A512B3" w:rsidRDefault="00DB0FF6" w:rsidP="00DB0FF6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7A07F251" w14:textId="77777777" w:rsidR="00DB0FF6" w:rsidRPr="008676FA" w:rsidRDefault="00DB0FF6" w:rsidP="00DB0FF6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Μαρ</w:t>
            </w:r>
          </w:p>
          <w:p w14:paraId="4DDED1F5" w14:textId="1DE81559" w:rsidR="00DB0FF6" w:rsidRPr="00A512B3" w:rsidRDefault="00DB0FF6" w:rsidP="00DB0FF6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DB0FF6" w:rsidRPr="00A512B3" w14:paraId="73A005CA" w14:textId="77777777" w:rsidTr="0025302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8464" w14:textId="4EA89DC7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Βενζίνη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Αμόλυ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000000" w:fill="FFFFFF"/>
          </w:tcPr>
          <w:p w14:paraId="728AD70D" w14:textId="5D35FFFF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26.794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53690F0C" w14:textId="5ED0DFB3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26.723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00732CFC" w14:textId="63432F02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76.314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5D91690E" w14:textId="011C5205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73.092   </w:t>
            </w:r>
          </w:p>
        </w:tc>
        <w:tc>
          <w:tcPr>
            <w:tcW w:w="240" w:type="dxa"/>
            <w:vAlign w:val="center"/>
          </w:tcPr>
          <w:p w14:paraId="2E78300E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85297" w14:textId="15FE7B32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4BF7" w14:textId="5E4A23A0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4,4</w:t>
            </w:r>
          </w:p>
        </w:tc>
      </w:tr>
      <w:tr w:rsidR="00DB0FF6" w:rsidRPr="00A512B3" w14:paraId="3359A9A7" w14:textId="77777777" w:rsidTr="0025302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9E5" w14:textId="66E194E6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8CAF50" w14:textId="61F04DA5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740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E8A31" w14:textId="4F143036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628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87CFF" w14:textId="5F58CE2E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3.674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044EF" w14:textId="7DF2DB29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4.400   </w:t>
            </w:r>
          </w:p>
        </w:tc>
        <w:tc>
          <w:tcPr>
            <w:tcW w:w="240" w:type="dxa"/>
            <w:vAlign w:val="center"/>
          </w:tcPr>
          <w:p w14:paraId="3841803B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13791" w14:textId="50473386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913D" w14:textId="7DA05081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-16,5</w:t>
            </w:r>
          </w:p>
        </w:tc>
      </w:tr>
      <w:tr w:rsidR="00DB0FF6" w:rsidRPr="00A512B3" w14:paraId="11FA7332" w14:textId="77777777" w:rsidTr="0025302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3301" w14:textId="1877675B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875DD8" w14:textId="5A33D39B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22.785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7EEF4" w14:textId="58D921B8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23.296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C50F" w14:textId="2A87AFC9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65.128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28FB0" w14:textId="7C7AA6E9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62.129   </w:t>
            </w:r>
          </w:p>
        </w:tc>
        <w:tc>
          <w:tcPr>
            <w:tcW w:w="240" w:type="dxa"/>
            <w:vAlign w:val="center"/>
          </w:tcPr>
          <w:p w14:paraId="3A0F3877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60BC9" w14:textId="6FA8D6F0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F2711" w14:textId="3B237A40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4,8</w:t>
            </w:r>
          </w:p>
        </w:tc>
      </w:tr>
      <w:tr w:rsidR="00DB0FF6" w:rsidRPr="00A512B3" w14:paraId="5E059E6A" w14:textId="77777777" w:rsidTr="0025302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B99" w14:textId="19969EDB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Γεωργικό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23BC88" w14:textId="38D2E9AF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1.162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47FFB" w14:textId="6E9C393D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1.028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7A1A" w14:textId="704D0130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3.177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F20F3" w14:textId="356A0189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2.755   </w:t>
            </w:r>
          </w:p>
        </w:tc>
        <w:tc>
          <w:tcPr>
            <w:tcW w:w="240" w:type="dxa"/>
            <w:vAlign w:val="center"/>
          </w:tcPr>
          <w:p w14:paraId="2FEFB42A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F7757" w14:textId="6ED5A4E9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21468" w14:textId="31F295B9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15,3</w:t>
            </w:r>
          </w:p>
        </w:tc>
      </w:tr>
      <w:tr w:rsidR="00DB0FF6" w:rsidRPr="00A512B3" w14:paraId="2BAA46A5" w14:textId="77777777" w:rsidTr="0025302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109" w14:textId="79E6BEC6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Θέρμ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B4E8A9" w14:textId="58C284F6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4.824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E4C52" w14:textId="25C3BEB2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4.404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2D716" w14:textId="3E53D0B4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18.276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20CAF" w14:textId="642EE9BB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19.952   </w:t>
            </w:r>
          </w:p>
        </w:tc>
        <w:tc>
          <w:tcPr>
            <w:tcW w:w="240" w:type="dxa"/>
            <w:vAlign w:val="center"/>
          </w:tcPr>
          <w:p w14:paraId="71FD570F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D137" w14:textId="78B7264C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3DAB6" w14:textId="67E5C924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-8,4</w:t>
            </w:r>
          </w:p>
        </w:tc>
      </w:tr>
      <w:tr w:rsidR="00DB0FF6" w:rsidRPr="00A512B3" w14:paraId="04933586" w14:textId="77777777" w:rsidTr="0025302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E934" w14:textId="3D5F55AA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Ελ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αφρύ Μα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5351BF" w14:textId="2E4A76D5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56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3EEC4" w14:textId="79C13D4F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34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BC200" w14:textId="65FDB238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133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E49F4" w14:textId="49CAAB8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113   </w:t>
            </w:r>
          </w:p>
        </w:tc>
        <w:tc>
          <w:tcPr>
            <w:tcW w:w="240" w:type="dxa"/>
            <w:vAlign w:val="center"/>
          </w:tcPr>
          <w:p w14:paraId="0917C1DA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4821D" w14:textId="59A2D433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64,7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07C08" w14:textId="42EA3BCC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17,7</w:t>
            </w:r>
          </w:p>
        </w:tc>
      </w:tr>
      <w:tr w:rsidR="00DB0FF6" w:rsidRPr="00A512B3" w14:paraId="30CA887F" w14:textId="77777777" w:rsidTr="0025302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E78F766" w14:textId="69A611BE" w:rsidR="00DB0FF6" w:rsidRPr="00A512B3" w:rsidRDefault="00DB0FF6" w:rsidP="00DB0FF6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Λι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παντικά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Λάδι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</w:tcPr>
          <w:p w14:paraId="21B7D3DB" w14:textId="04C69410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89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24473D32" w14:textId="72F14324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98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5C036953" w14:textId="0458C28C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292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09EC7DE8" w14:textId="26CC0921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 xml:space="preserve"> 261   </w:t>
            </w:r>
          </w:p>
        </w:tc>
        <w:tc>
          <w:tcPr>
            <w:tcW w:w="240" w:type="dxa"/>
            <w:vAlign w:val="center"/>
          </w:tcPr>
          <w:p w14:paraId="50A6DE35" w14:textId="77777777" w:rsidR="00DB0FF6" w:rsidRPr="00DB0FF6" w:rsidRDefault="00DB0FF6" w:rsidP="00DB0FF6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2CA7888C" w14:textId="6AA6530C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-9,2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22E2EEA" w14:textId="149D8486" w:rsidR="00DB0FF6" w:rsidRPr="00DB0FF6" w:rsidRDefault="00DB0FF6" w:rsidP="00DB0FF6">
            <w:pPr>
              <w:ind w:right="397"/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  <w:r w:rsidRPr="00DB0FF6">
              <w:rPr>
                <w:color w:val="2F5496"/>
              </w:rPr>
              <w:t>11,9</w:t>
            </w:r>
          </w:p>
        </w:tc>
      </w:tr>
      <w:tr w:rsidR="00DB0FF6" w:rsidRPr="00A512B3" w14:paraId="7697036F" w14:textId="77777777" w:rsidTr="005934B5">
        <w:trPr>
          <w:trHeight w:val="608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4E34088" w14:textId="77777777" w:rsidR="00DB0FF6" w:rsidRPr="00A512B3" w:rsidRDefault="00DB0FF6" w:rsidP="00DB0FF6">
            <w:pPr>
              <w:spacing w:before="240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bookmarkStart w:id="5" w:name="_Hlk165035099"/>
            <w:r w:rsidRPr="00DB0FF6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Σύνολο    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D2F9DC9" w14:textId="5FECAC61" w:rsidR="00DB0FF6" w:rsidRPr="00DB0FF6" w:rsidRDefault="00DB0FF6" w:rsidP="00DB0FF6">
            <w:pPr>
              <w:spacing w:before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DB0FF6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56.450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26C515F1" w14:textId="64A092A4" w:rsidR="00DB0FF6" w:rsidRPr="00DB0FF6" w:rsidRDefault="00DB0FF6" w:rsidP="00DB0FF6">
            <w:pPr>
              <w:spacing w:before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DB0FF6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56.211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E78402" w14:textId="07015906" w:rsidR="00DB0FF6" w:rsidRPr="00DB0FF6" w:rsidRDefault="00DB0FF6" w:rsidP="00DB0FF6">
            <w:pPr>
              <w:spacing w:before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DB0FF6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166.994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59C0292D" w14:textId="57F28753" w:rsidR="00DB0FF6" w:rsidRPr="00DB0FF6" w:rsidRDefault="00DB0FF6" w:rsidP="00DB0FF6">
            <w:pPr>
              <w:spacing w:before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DB0FF6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162.702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F88548" w14:textId="77777777" w:rsidR="00DB0FF6" w:rsidRPr="00DB0FF6" w:rsidRDefault="00DB0FF6" w:rsidP="00DB0FF6">
            <w:pPr>
              <w:spacing w:before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481DDE24" w14:textId="0AF007B0" w:rsidR="00DB0FF6" w:rsidRPr="00DB0FF6" w:rsidRDefault="00DB0FF6" w:rsidP="00DB0FF6">
            <w:pPr>
              <w:spacing w:before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DB0FF6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0,4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CDFF3C1" w14:textId="48E6A402" w:rsidR="00DB0FF6" w:rsidRPr="00DB0FF6" w:rsidRDefault="00DB0FF6" w:rsidP="00DB0FF6">
            <w:pPr>
              <w:spacing w:before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DB0FF6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2,6</w:t>
            </w:r>
          </w:p>
        </w:tc>
      </w:tr>
      <w:bookmarkEnd w:id="5"/>
    </w:tbl>
    <w:p w14:paraId="3C3F793B" w14:textId="77777777" w:rsidR="003C4AD2" w:rsidRPr="003C4AD2" w:rsidRDefault="003C4AD2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07D54F5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C84E4F8" w14:textId="77777777" w:rsidR="00163319" w:rsidRPr="00A01476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E6B41EC" w14:textId="77777777" w:rsid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51AB087" w14:textId="77777777" w:rsidR="00510C81" w:rsidRP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8755B2B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97CE836" w14:textId="7937714F" w:rsidR="00FB55A5" w:rsidRPr="00136365" w:rsidRDefault="00FB55A5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3C4AD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7E550AF" w14:textId="77777777" w:rsidR="00FB55A5" w:rsidRPr="003C4AD2" w:rsidRDefault="00FB55A5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="00C91550" w:rsidRPr="00C91550">
        <w:rPr>
          <w:rFonts w:ascii="Verdana" w:hAnsi="Verdana"/>
          <w:sz w:val="18"/>
          <w:szCs w:val="18"/>
        </w:rPr>
        <w:t>Excel</w:t>
      </w:r>
      <w:r w:rsidR="00C91550"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000000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 w:rsidR="003D646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422DC3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7DD7B" w14:textId="77777777" w:rsidR="00422DC3" w:rsidRDefault="00422DC3" w:rsidP="00FB398F">
      <w:r>
        <w:separator/>
      </w:r>
    </w:p>
  </w:endnote>
  <w:endnote w:type="continuationSeparator" w:id="0">
    <w:p w14:paraId="7F01A615" w14:textId="77777777" w:rsidR="00422DC3" w:rsidRDefault="00422DC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BE11" w14:textId="7777777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A12E81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422C6C2A" w14:textId="77777777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A01476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="004E4F42" w:rsidRPr="00A12E81">
      <w:rPr>
        <w:rFonts w:ascii="Arial" w:hAnsi="Arial" w:cs="Arial"/>
        <w:i/>
        <w:iCs/>
        <w:sz w:val="16"/>
        <w:szCs w:val="16"/>
        <w:lang w:val="el-GR"/>
      </w:rPr>
      <w:t>Φαξ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r w:rsidR="00000000">
      <w:fldChar w:fldCharType="begin"/>
    </w:r>
    <w:r w:rsidR="00000000">
      <w:instrText>HYPERLINK</w:instrText>
    </w:r>
    <w:r w:rsidR="00000000" w:rsidRPr="00FE2BCA">
      <w:rPr>
        <w:lang w:val="el-GR"/>
      </w:rPr>
      <w:instrText xml:space="preserve"> "</w:instrText>
    </w:r>
    <w:r w:rsidR="00000000">
      <w:instrText>mailto</w:instrText>
    </w:r>
    <w:r w:rsidR="00000000" w:rsidRPr="00FE2BCA">
      <w:rPr>
        <w:lang w:val="el-GR"/>
      </w:rPr>
      <w:instrText>:</w:instrText>
    </w:r>
    <w:r w:rsidR="00000000">
      <w:instrText>enquiries</w:instrText>
    </w:r>
    <w:r w:rsidR="00000000" w:rsidRPr="00FE2BCA">
      <w:rPr>
        <w:lang w:val="el-GR"/>
      </w:rPr>
      <w:instrText>@</w:instrText>
    </w:r>
    <w:r w:rsidR="00000000">
      <w:instrText>cystat</w:instrText>
    </w:r>
    <w:r w:rsidR="00000000" w:rsidRPr="00FE2BCA">
      <w:rPr>
        <w:lang w:val="el-GR"/>
      </w:rPr>
      <w:instrText>.</w:instrText>
    </w:r>
    <w:r w:rsidR="00000000">
      <w:instrText>mof</w:instrText>
    </w:r>
    <w:r w:rsidR="00000000" w:rsidRPr="00FE2BCA">
      <w:rPr>
        <w:lang w:val="el-GR"/>
      </w:rPr>
      <w:instrText>.</w:instrText>
    </w:r>
    <w:r w:rsidR="00000000">
      <w:instrText>gov</w:instrText>
    </w:r>
    <w:r w:rsidR="00000000" w:rsidRPr="00FE2BCA">
      <w:rPr>
        <w:lang w:val="el-GR"/>
      </w:rPr>
      <w:instrText>.</w:instrText>
    </w:r>
    <w:r w:rsidR="00000000">
      <w:instrText>cy</w:instrText>
    </w:r>
    <w:r w:rsidR="00000000" w:rsidRPr="00FE2BCA">
      <w:rPr>
        <w:lang w:val="el-GR"/>
      </w:rPr>
      <w:instrText>"</w:instrText>
    </w:r>
    <w:r w:rsidR="00000000">
      <w:fldChar w:fldCharType="separate"/>
    </w:r>
    <w:r w:rsidR="004E4F42" w:rsidRPr="00A12E81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3D3E66DE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2939F" w14:textId="77777777" w:rsidR="00422DC3" w:rsidRDefault="00422DC3" w:rsidP="00FB398F">
      <w:r>
        <w:separator/>
      </w:r>
    </w:p>
  </w:footnote>
  <w:footnote w:type="continuationSeparator" w:id="0">
    <w:p w14:paraId="0E400B81" w14:textId="77777777" w:rsidR="00422DC3" w:rsidRDefault="00422DC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280625191" name="Picture 2806251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280625191" name="Picture 2806251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51448476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582652852" name="Picture 5826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64958">
    <w:abstractNumId w:val="5"/>
  </w:num>
  <w:num w:numId="2" w16cid:durableId="1187255236">
    <w:abstractNumId w:val="2"/>
  </w:num>
  <w:num w:numId="3" w16cid:durableId="1238712794">
    <w:abstractNumId w:val="3"/>
  </w:num>
  <w:num w:numId="4" w16cid:durableId="1960528035">
    <w:abstractNumId w:val="4"/>
  </w:num>
  <w:num w:numId="5" w16cid:durableId="1260721549">
    <w:abstractNumId w:val="1"/>
  </w:num>
  <w:num w:numId="6" w16cid:durableId="1977300591">
    <w:abstractNumId w:val="6"/>
  </w:num>
  <w:num w:numId="7" w16cid:durableId="13885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B46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603D"/>
    <w:rsid w:val="000365A4"/>
    <w:rsid w:val="00045088"/>
    <w:rsid w:val="00045390"/>
    <w:rsid w:val="00045A06"/>
    <w:rsid w:val="0004770A"/>
    <w:rsid w:val="00050391"/>
    <w:rsid w:val="00050EC8"/>
    <w:rsid w:val="00055291"/>
    <w:rsid w:val="00055BB9"/>
    <w:rsid w:val="000563D3"/>
    <w:rsid w:val="00057162"/>
    <w:rsid w:val="00057E44"/>
    <w:rsid w:val="00061299"/>
    <w:rsid w:val="00066FA8"/>
    <w:rsid w:val="000671E6"/>
    <w:rsid w:val="00070576"/>
    <w:rsid w:val="00072074"/>
    <w:rsid w:val="00073C3D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2728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1CA"/>
    <w:rsid w:val="001353D3"/>
    <w:rsid w:val="00136365"/>
    <w:rsid w:val="00142848"/>
    <w:rsid w:val="00143ED6"/>
    <w:rsid w:val="0015118B"/>
    <w:rsid w:val="001519CE"/>
    <w:rsid w:val="001530A1"/>
    <w:rsid w:val="001540D4"/>
    <w:rsid w:val="00161CF3"/>
    <w:rsid w:val="00162C00"/>
    <w:rsid w:val="00163319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95E"/>
    <w:rsid w:val="00186717"/>
    <w:rsid w:val="00187789"/>
    <w:rsid w:val="00187FFC"/>
    <w:rsid w:val="00194386"/>
    <w:rsid w:val="001959E3"/>
    <w:rsid w:val="00197FEA"/>
    <w:rsid w:val="001A1480"/>
    <w:rsid w:val="001A2018"/>
    <w:rsid w:val="001A2191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549B"/>
    <w:rsid w:val="001C62B3"/>
    <w:rsid w:val="001C6A58"/>
    <w:rsid w:val="001C6D54"/>
    <w:rsid w:val="001C7C8C"/>
    <w:rsid w:val="001D0D6A"/>
    <w:rsid w:val="001D0F04"/>
    <w:rsid w:val="001D20A4"/>
    <w:rsid w:val="001D53A1"/>
    <w:rsid w:val="001E00D1"/>
    <w:rsid w:val="001E0E58"/>
    <w:rsid w:val="001E14F3"/>
    <w:rsid w:val="001E15ED"/>
    <w:rsid w:val="001E3856"/>
    <w:rsid w:val="001E47CD"/>
    <w:rsid w:val="001E61AA"/>
    <w:rsid w:val="001E748F"/>
    <w:rsid w:val="001E7658"/>
    <w:rsid w:val="001F5381"/>
    <w:rsid w:val="001F5498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67FC1"/>
    <w:rsid w:val="00273C8A"/>
    <w:rsid w:val="0027474C"/>
    <w:rsid w:val="00274E2B"/>
    <w:rsid w:val="002818A5"/>
    <w:rsid w:val="00281B73"/>
    <w:rsid w:val="00281D55"/>
    <w:rsid w:val="0028338F"/>
    <w:rsid w:val="0028381B"/>
    <w:rsid w:val="002846E4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12264"/>
    <w:rsid w:val="00312C52"/>
    <w:rsid w:val="00313F37"/>
    <w:rsid w:val="003141D0"/>
    <w:rsid w:val="003168C1"/>
    <w:rsid w:val="00322FBE"/>
    <w:rsid w:val="00325570"/>
    <w:rsid w:val="00325632"/>
    <w:rsid w:val="003263AF"/>
    <w:rsid w:val="00327549"/>
    <w:rsid w:val="003341A3"/>
    <w:rsid w:val="003342A5"/>
    <w:rsid w:val="00334616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0751"/>
    <w:rsid w:val="0038153A"/>
    <w:rsid w:val="00383AC7"/>
    <w:rsid w:val="00386FC7"/>
    <w:rsid w:val="00390A32"/>
    <w:rsid w:val="00397055"/>
    <w:rsid w:val="003A0859"/>
    <w:rsid w:val="003A1142"/>
    <w:rsid w:val="003A1E91"/>
    <w:rsid w:val="003A241F"/>
    <w:rsid w:val="003A40F2"/>
    <w:rsid w:val="003A43E9"/>
    <w:rsid w:val="003A50D1"/>
    <w:rsid w:val="003A667A"/>
    <w:rsid w:val="003B0DC2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4AD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504"/>
    <w:rsid w:val="003E0CE2"/>
    <w:rsid w:val="003E2627"/>
    <w:rsid w:val="003E3E46"/>
    <w:rsid w:val="003E6FF5"/>
    <w:rsid w:val="003F118C"/>
    <w:rsid w:val="003F1C6D"/>
    <w:rsid w:val="003F2CBC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0784F"/>
    <w:rsid w:val="00414B61"/>
    <w:rsid w:val="00414CA0"/>
    <w:rsid w:val="004217D5"/>
    <w:rsid w:val="00422DC3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FB1"/>
    <w:rsid w:val="0045145A"/>
    <w:rsid w:val="00451664"/>
    <w:rsid w:val="00452753"/>
    <w:rsid w:val="0045603D"/>
    <w:rsid w:val="0046078F"/>
    <w:rsid w:val="00463214"/>
    <w:rsid w:val="0046434D"/>
    <w:rsid w:val="00464F69"/>
    <w:rsid w:val="00464FEB"/>
    <w:rsid w:val="004656FA"/>
    <w:rsid w:val="00471C9C"/>
    <w:rsid w:val="00471D77"/>
    <w:rsid w:val="00475566"/>
    <w:rsid w:val="00475587"/>
    <w:rsid w:val="00480BC2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B7F49"/>
    <w:rsid w:val="004C0966"/>
    <w:rsid w:val="004C2A4B"/>
    <w:rsid w:val="004C390D"/>
    <w:rsid w:val="004C394D"/>
    <w:rsid w:val="004C6340"/>
    <w:rsid w:val="004C6CA7"/>
    <w:rsid w:val="004D071F"/>
    <w:rsid w:val="004D2721"/>
    <w:rsid w:val="004D4357"/>
    <w:rsid w:val="004D4950"/>
    <w:rsid w:val="004D6896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5BE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0C81"/>
    <w:rsid w:val="0051107B"/>
    <w:rsid w:val="00512CE8"/>
    <w:rsid w:val="00512F9C"/>
    <w:rsid w:val="005132ED"/>
    <w:rsid w:val="00514E41"/>
    <w:rsid w:val="00521DFE"/>
    <w:rsid w:val="00523C5A"/>
    <w:rsid w:val="00527CDB"/>
    <w:rsid w:val="00531E88"/>
    <w:rsid w:val="005335B9"/>
    <w:rsid w:val="005341C9"/>
    <w:rsid w:val="005354D2"/>
    <w:rsid w:val="005369CA"/>
    <w:rsid w:val="00536D0B"/>
    <w:rsid w:val="00536DE9"/>
    <w:rsid w:val="00536F27"/>
    <w:rsid w:val="00540703"/>
    <w:rsid w:val="00541E08"/>
    <w:rsid w:val="00542B81"/>
    <w:rsid w:val="00545330"/>
    <w:rsid w:val="0054539D"/>
    <w:rsid w:val="00545F21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024"/>
    <w:rsid w:val="005765CB"/>
    <w:rsid w:val="00583042"/>
    <w:rsid w:val="00586F56"/>
    <w:rsid w:val="00591B64"/>
    <w:rsid w:val="005978D4"/>
    <w:rsid w:val="00597A21"/>
    <w:rsid w:val="005A0D3D"/>
    <w:rsid w:val="005A1338"/>
    <w:rsid w:val="005A19B8"/>
    <w:rsid w:val="005A23FA"/>
    <w:rsid w:val="005B2A67"/>
    <w:rsid w:val="005B2F45"/>
    <w:rsid w:val="005B3DCD"/>
    <w:rsid w:val="005B4AD4"/>
    <w:rsid w:val="005B5602"/>
    <w:rsid w:val="005B61F8"/>
    <w:rsid w:val="005B7655"/>
    <w:rsid w:val="005B790A"/>
    <w:rsid w:val="005C2798"/>
    <w:rsid w:val="005C36C3"/>
    <w:rsid w:val="005C56DD"/>
    <w:rsid w:val="005C56EE"/>
    <w:rsid w:val="005D1714"/>
    <w:rsid w:val="005D2AED"/>
    <w:rsid w:val="005D6116"/>
    <w:rsid w:val="005D760E"/>
    <w:rsid w:val="005D7638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5E04"/>
    <w:rsid w:val="0062327B"/>
    <w:rsid w:val="00624B50"/>
    <w:rsid w:val="00627ACA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0B46"/>
    <w:rsid w:val="00651C4C"/>
    <w:rsid w:val="006537BB"/>
    <w:rsid w:val="00653A57"/>
    <w:rsid w:val="00655DC1"/>
    <w:rsid w:val="0065643E"/>
    <w:rsid w:val="00660C23"/>
    <w:rsid w:val="0066453F"/>
    <w:rsid w:val="00665974"/>
    <w:rsid w:val="00667E07"/>
    <w:rsid w:val="00670DB4"/>
    <w:rsid w:val="00671785"/>
    <w:rsid w:val="00672BA9"/>
    <w:rsid w:val="00673005"/>
    <w:rsid w:val="00676AA8"/>
    <w:rsid w:val="006804BE"/>
    <w:rsid w:val="00682706"/>
    <w:rsid w:val="00682728"/>
    <w:rsid w:val="0068434A"/>
    <w:rsid w:val="00685018"/>
    <w:rsid w:val="00687772"/>
    <w:rsid w:val="0069008E"/>
    <w:rsid w:val="0069087E"/>
    <w:rsid w:val="006925C4"/>
    <w:rsid w:val="00696D73"/>
    <w:rsid w:val="006A02B7"/>
    <w:rsid w:val="006A6AD8"/>
    <w:rsid w:val="006A7019"/>
    <w:rsid w:val="006B46D5"/>
    <w:rsid w:val="006B46F4"/>
    <w:rsid w:val="006B4ABA"/>
    <w:rsid w:val="006B59F1"/>
    <w:rsid w:val="006C06F3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4DE1"/>
    <w:rsid w:val="00705C5C"/>
    <w:rsid w:val="00710C61"/>
    <w:rsid w:val="00711475"/>
    <w:rsid w:val="007116CE"/>
    <w:rsid w:val="00712158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0D30"/>
    <w:rsid w:val="00783241"/>
    <w:rsid w:val="00784BDC"/>
    <w:rsid w:val="00785684"/>
    <w:rsid w:val="00786CF4"/>
    <w:rsid w:val="00790D18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7BC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A89"/>
    <w:rsid w:val="007F31BA"/>
    <w:rsid w:val="007F4078"/>
    <w:rsid w:val="0080014B"/>
    <w:rsid w:val="008012F8"/>
    <w:rsid w:val="00801793"/>
    <w:rsid w:val="00803642"/>
    <w:rsid w:val="00805BA7"/>
    <w:rsid w:val="00806EA2"/>
    <w:rsid w:val="00810140"/>
    <w:rsid w:val="00810924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5757E"/>
    <w:rsid w:val="00860C57"/>
    <w:rsid w:val="00863FFB"/>
    <w:rsid w:val="00866CA5"/>
    <w:rsid w:val="00867186"/>
    <w:rsid w:val="008676FA"/>
    <w:rsid w:val="00867CBF"/>
    <w:rsid w:val="00870AF6"/>
    <w:rsid w:val="00877452"/>
    <w:rsid w:val="00877BB5"/>
    <w:rsid w:val="00881268"/>
    <w:rsid w:val="00881D94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65BD"/>
    <w:rsid w:val="008B7900"/>
    <w:rsid w:val="008C3CE6"/>
    <w:rsid w:val="008C71BF"/>
    <w:rsid w:val="008C7FE0"/>
    <w:rsid w:val="008D0A7A"/>
    <w:rsid w:val="008D4AC9"/>
    <w:rsid w:val="008D5717"/>
    <w:rsid w:val="008E018D"/>
    <w:rsid w:val="008E3A27"/>
    <w:rsid w:val="008E415F"/>
    <w:rsid w:val="008E44A9"/>
    <w:rsid w:val="008E44F1"/>
    <w:rsid w:val="008E6362"/>
    <w:rsid w:val="008E66FB"/>
    <w:rsid w:val="008E6B4D"/>
    <w:rsid w:val="008E6BFF"/>
    <w:rsid w:val="008E73B2"/>
    <w:rsid w:val="008F21AF"/>
    <w:rsid w:val="008F2400"/>
    <w:rsid w:val="008F61BA"/>
    <w:rsid w:val="008F6E3C"/>
    <w:rsid w:val="008F7871"/>
    <w:rsid w:val="008F7C55"/>
    <w:rsid w:val="009018FC"/>
    <w:rsid w:val="009123FC"/>
    <w:rsid w:val="00913967"/>
    <w:rsid w:val="00914A23"/>
    <w:rsid w:val="00915D53"/>
    <w:rsid w:val="00924E72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2B90"/>
    <w:rsid w:val="00946676"/>
    <w:rsid w:val="00947889"/>
    <w:rsid w:val="009478BD"/>
    <w:rsid w:val="0095600D"/>
    <w:rsid w:val="00960E98"/>
    <w:rsid w:val="009633B3"/>
    <w:rsid w:val="00963A82"/>
    <w:rsid w:val="00966A75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6F56"/>
    <w:rsid w:val="009B76D5"/>
    <w:rsid w:val="009C0E86"/>
    <w:rsid w:val="009C165D"/>
    <w:rsid w:val="009C3CEA"/>
    <w:rsid w:val="009C583D"/>
    <w:rsid w:val="009C5962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04A0"/>
    <w:rsid w:val="00A01476"/>
    <w:rsid w:val="00A01D5D"/>
    <w:rsid w:val="00A0297C"/>
    <w:rsid w:val="00A05D16"/>
    <w:rsid w:val="00A0659F"/>
    <w:rsid w:val="00A073F9"/>
    <w:rsid w:val="00A079BA"/>
    <w:rsid w:val="00A12CA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1A49"/>
    <w:rsid w:val="00A33875"/>
    <w:rsid w:val="00A357D8"/>
    <w:rsid w:val="00A360A1"/>
    <w:rsid w:val="00A368E0"/>
    <w:rsid w:val="00A402B3"/>
    <w:rsid w:val="00A43CFB"/>
    <w:rsid w:val="00A44ED7"/>
    <w:rsid w:val="00A47C39"/>
    <w:rsid w:val="00A512B3"/>
    <w:rsid w:val="00A536E9"/>
    <w:rsid w:val="00A53C29"/>
    <w:rsid w:val="00A53E3F"/>
    <w:rsid w:val="00A544B7"/>
    <w:rsid w:val="00A55EF2"/>
    <w:rsid w:val="00A57FBF"/>
    <w:rsid w:val="00A618CF"/>
    <w:rsid w:val="00A62770"/>
    <w:rsid w:val="00A62EEB"/>
    <w:rsid w:val="00A63B52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6188"/>
    <w:rsid w:val="00AB714D"/>
    <w:rsid w:val="00AB7EFF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2179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065C7"/>
    <w:rsid w:val="00B1003C"/>
    <w:rsid w:val="00B14D5D"/>
    <w:rsid w:val="00B22CF2"/>
    <w:rsid w:val="00B23211"/>
    <w:rsid w:val="00B26445"/>
    <w:rsid w:val="00B26973"/>
    <w:rsid w:val="00B2730E"/>
    <w:rsid w:val="00B30D97"/>
    <w:rsid w:val="00B31074"/>
    <w:rsid w:val="00B3181A"/>
    <w:rsid w:val="00B35A7C"/>
    <w:rsid w:val="00B35F8B"/>
    <w:rsid w:val="00B37E36"/>
    <w:rsid w:val="00B417A9"/>
    <w:rsid w:val="00B43EB1"/>
    <w:rsid w:val="00B44A6C"/>
    <w:rsid w:val="00B44AE0"/>
    <w:rsid w:val="00B44ECD"/>
    <w:rsid w:val="00B450D1"/>
    <w:rsid w:val="00B52E01"/>
    <w:rsid w:val="00B53636"/>
    <w:rsid w:val="00B53D47"/>
    <w:rsid w:val="00B54A25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3980"/>
    <w:rsid w:val="00B75AE5"/>
    <w:rsid w:val="00B760F0"/>
    <w:rsid w:val="00B800C0"/>
    <w:rsid w:val="00B8132B"/>
    <w:rsid w:val="00B816C5"/>
    <w:rsid w:val="00B8213A"/>
    <w:rsid w:val="00B82264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B6216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608F"/>
    <w:rsid w:val="00BE6876"/>
    <w:rsid w:val="00BF23BB"/>
    <w:rsid w:val="00BF2D24"/>
    <w:rsid w:val="00BF33DD"/>
    <w:rsid w:val="00BF52D2"/>
    <w:rsid w:val="00BF5755"/>
    <w:rsid w:val="00BF5BD2"/>
    <w:rsid w:val="00BF684B"/>
    <w:rsid w:val="00C016F3"/>
    <w:rsid w:val="00C03F3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44"/>
    <w:rsid w:val="00C6300F"/>
    <w:rsid w:val="00C635A8"/>
    <w:rsid w:val="00C642A6"/>
    <w:rsid w:val="00C64C6B"/>
    <w:rsid w:val="00C64F74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693"/>
    <w:rsid w:val="00C91934"/>
    <w:rsid w:val="00C91B3B"/>
    <w:rsid w:val="00C92C30"/>
    <w:rsid w:val="00C93716"/>
    <w:rsid w:val="00C937CC"/>
    <w:rsid w:val="00C94262"/>
    <w:rsid w:val="00C96A74"/>
    <w:rsid w:val="00C976E1"/>
    <w:rsid w:val="00CA148E"/>
    <w:rsid w:val="00CA1D93"/>
    <w:rsid w:val="00CA3A9A"/>
    <w:rsid w:val="00CA5E9A"/>
    <w:rsid w:val="00CA709D"/>
    <w:rsid w:val="00CA7C87"/>
    <w:rsid w:val="00CB5F7F"/>
    <w:rsid w:val="00CB6438"/>
    <w:rsid w:val="00CB6BC1"/>
    <w:rsid w:val="00CB7021"/>
    <w:rsid w:val="00CB710F"/>
    <w:rsid w:val="00CC295A"/>
    <w:rsid w:val="00CD3294"/>
    <w:rsid w:val="00CD4524"/>
    <w:rsid w:val="00CD5C6B"/>
    <w:rsid w:val="00CD6027"/>
    <w:rsid w:val="00CD784D"/>
    <w:rsid w:val="00CE29AF"/>
    <w:rsid w:val="00CE3D59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1B8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AC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3C5B"/>
    <w:rsid w:val="00D95CBE"/>
    <w:rsid w:val="00D968F8"/>
    <w:rsid w:val="00DA2526"/>
    <w:rsid w:val="00DA2913"/>
    <w:rsid w:val="00DA5C22"/>
    <w:rsid w:val="00DA7D12"/>
    <w:rsid w:val="00DB0FF6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5D35"/>
    <w:rsid w:val="00DE7C7D"/>
    <w:rsid w:val="00DF2992"/>
    <w:rsid w:val="00DF2D0C"/>
    <w:rsid w:val="00DF6B5A"/>
    <w:rsid w:val="00DF7EEE"/>
    <w:rsid w:val="00E00058"/>
    <w:rsid w:val="00E01B9D"/>
    <w:rsid w:val="00E028DF"/>
    <w:rsid w:val="00E02F5D"/>
    <w:rsid w:val="00E0468F"/>
    <w:rsid w:val="00E04F5E"/>
    <w:rsid w:val="00E0522E"/>
    <w:rsid w:val="00E059A2"/>
    <w:rsid w:val="00E05C08"/>
    <w:rsid w:val="00E07046"/>
    <w:rsid w:val="00E114E0"/>
    <w:rsid w:val="00E120F4"/>
    <w:rsid w:val="00E12625"/>
    <w:rsid w:val="00E15CC9"/>
    <w:rsid w:val="00E1613D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5FE3"/>
    <w:rsid w:val="00E57AF9"/>
    <w:rsid w:val="00E625E3"/>
    <w:rsid w:val="00E63111"/>
    <w:rsid w:val="00E63F34"/>
    <w:rsid w:val="00E63FEA"/>
    <w:rsid w:val="00E6715A"/>
    <w:rsid w:val="00E74974"/>
    <w:rsid w:val="00E749E5"/>
    <w:rsid w:val="00E75DC9"/>
    <w:rsid w:val="00E81610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5941"/>
    <w:rsid w:val="00EF64F1"/>
    <w:rsid w:val="00EF6A47"/>
    <w:rsid w:val="00EF7AF9"/>
    <w:rsid w:val="00F00952"/>
    <w:rsid w:val="00F00E74"/>
    <w:rsid w:val="00F01495"/>
    <w:rsid w:val="00F02DBE"/>
    <w:rsid w:val="00F03433"/>
    <w:rsid w:val="00F06335"/>
    <w:rsid w:val="00F06A09"/>
    <w:rsid w:val="00F07DDB"/>
    <w:rsid w:val="00F100C8"/>
    <w:rsid w:val="00F10138"/>
    <w:rsid w:val="00F13DBA"/>
    <w:rsid w:val="00F13F92"/>
    <w:rsid w:val="00F1487D"/>
    <w:rsid w:val="00F22ECA"/>
    <w:rsid w:val="00F23348"/>
    <w:rsid w:val="00F240E8"/>
    <w:rsid w:val="00F244FA"/>
    <w:rsid w:val="00F366A2"/>
    <w:rsid w:val="00F42B2B"/>
    <w:rsid w:val="00F42B8F"/>
    <w:rsid w:val="00F44F43"/>
    <w:rsid w:val="00F450E1"/>
    <w:rsid w:val="00F455DA"/>
    <w:rsid w:val="00F46406"/>
    <w:rsid w:val="00F4748E"/>
    <w:rsid w:val="00F50DF4"/>
    <w:rsid w:val="00F512D7"/>
    <w:rsid w:val="00F51E3B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7610"/>
    <w:rsid w:val="00FB02BD"/>
    <w:rsid w:val="00FB37AA"/>
    <w:rsid w:val="00FB37ED"/>
    <w:rsid w:val="00FB398F"/>
    <w:rsid w:val="00FB4EF8"/>
    <w:rsid w:val="00FB54AE"/>
    <w:rsid w:val="00FB55A5"/>
    <w:rsid w:val="00FB6CBC"/>
    <w:rsid w:val="00FB6DA6"/>
    <w:rsid w:val="00FB709A"/>
    <w:rsid w:val="00FB78DD"/>
    <w:rsid w:val="00FC0F40"/>
    <w:rsid w:val="00FC3EF3"/>
    <w:rsid w:val="00FC5D35"/>
    <w:rsid w:val="00FC6994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2BCA"/>
    <w:rsid w:val="00FE31E5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6379-493A-4569-9FFA-3ADEA8F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22</cp:revision>
  <cp:lastPrinted>2024-01-29T06:30:00Z</cp:lastPrinted>
  <dcterms:created xsi:type="dcterms:W3CDTF">2024-01-29T06:35:00Z</dcterms:created>
  <dcterms:modified xsi:type="dcterms:W3CDTF">2024-04-29T07:32:00Z</dcterms:modified>
</cp:coreProperties>
</file>