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417AD918" w:rsidR="00936E21" w:rsidRPr="00C57A15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072F736B" w:rsidR="00163319" w:rsidRPr="008A2744" w:rsidRDefault="00B760D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F161F4">
        <w:rPr>
          <w:rFonts w:ascii="Verdana" w:hAnsi="Verdana" w:cs="Arial"/>
          <w:sz w:val="18"/>
          <w:szCs w:val="18"/>
          <w:lang w:val="el-GR"/>
        </w:rPr>
        <w:t>2</w:t>
      </w:r>
      <w:r w:rsidR="00E84C7D" w:rsidRPr="00A71EE1">
        <w:rPr>
          <w:rFonts w:ascii="Verdana" w:hAnsi="Verdana" w:cs="Arial"/>
          <w:sz w:val="18"/>
          <w:szCs w:val="18"/>
          <w:lang w:val="el-GR"/>
        </w:rPr>
        <w:t>7</w:t>
      </w:r>
      <w:r w:rsidR="001633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9C3584">
        <w:rPr>
          <w:rFonts w:ascii="Verdana" w:hAnsi="Verdana" w:cs="Arial"/>
          <w:sz w:val="18"/>
          <w:szCs w:val="18"/>
          <w:lang w:val="el-GR"/>
        </w:rPr>
        <w:t>Δεκ</w:t>
      </w:r>
      <w:r w:rsidR="00E84C7D">
        <w:rPr>
          <w:rFonts w:ascii="Verdana" w:hAnsi="Verdana" w:cs="Arial"/>
          <w:sz w:val="18"/>
          <w:szCs w:val="18"/>
          <w:lang w:val="el-GR"/>
        </w:rPr>
        <w:t>εμ</w:t>
      </w:r>
      <w:r w:rsidR="00630B00">
        <w:rPr>
          <w:rFonts w:ascii="Verdana" w:hAnsi="Verdana" w:cs="Arial"/>
          <w:sz w:val="18"/>
          <w:szCs w:val="18"/>
          <w:lang w:val="el-GR"/>
        </w:rPr>
        <w:t>βρί</w:t>
      </w:r>
      <w:r w:rsidR="00DE4906">
        <w:rPr>
          <w:rFonts w:ascii="Verdana" w:hAnsi="Verdana" w:cs="Arial"/>
          <w:sz w:val="18"/>
          <w:szCs w:val="18"/>
          <w:lang w:val="el-GR"/>
        </w:rPr>
        <w:t>ου</w:t>
      </w:r>
      <w:r w:rsidR="00163319"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25E91C96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6F3CC808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9C3584">
        <w:rPr>
          <w:rFonts w:ascii="Verdana" w:hAnsi="Verdana"/>
          <w:szCs w:val="22"/>
          <w:shd w:val="clear" w:color="auto" w:fill="FFFFFF"/>
        </w:rPr>
        <w:t>ΝΟΕΜΒΡΙΟΣ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72D8AF73" w:rsidR="009F6337" w:rsidRPr="00F161F4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9C3584">
        <w:rPr>
          <w:rFonts w:ascii="Verdana" w:eastAsia="Malgun Gothic" w:hAnsi="Verdana" w:cs="Arial"/>
          <w:b/>
          <w:bCs/>
          <w:lang w:val="el-GR"/>
        </w:rPr>
        <w:t>-4,7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9C358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2BF435CA" w:rsidR="00163319" w:rsidRPr="00AC0363" w:rsidRDefault="00163319" w:rsidP="00DC5ECB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Νοέμ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βριο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συνολικές πωλήσεις πετρελαιοειδών έφτασαν τους </w:t>
      </w:r>
      <w:bookmarkStart w:id="1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13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640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τόνους, σημειώνοντας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με τον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Νοέμβριο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2023.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Πτώση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σημειώθηκε</w:t>
      </w:r>
      <w:r w:rsidR="009C3584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προμήθειες πετρελαίου σε πλοία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-13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(-8,1%),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λαφρού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proofErr w:type="spellStart"/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9C3584" w:rsidRP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μαζούτ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-23,9% και -6,3%, αντίστοιχα),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ασφάλτου (-7,0%) και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-5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άνοδος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πωλήσεις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(35,1%),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18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 (13,7%) και βενζίνης (0,1%)</w:t>
      </w:r>
      <w:r w:rsidR="00DC5EC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DC5ECB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DC5EC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1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486A9E" w:rsidRPr="00486A9E">
        <w:rPr>
          <w:rFonts w:ascii="Verdana" w:hAnsi="Verdana"/>
          <w:sz w:val="18"/>
          <w:szCs w:val="18"/>
          <w:shd w:val="clear" w:color="auto" w:fill="FFFFFF"/>
          <w:lang w:val="el-GR"/>
        </w:rPr>
        <w:t>58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486A9E" w:rsidRPr="00486A9E">
        <w:rPr>
          <w:rFonts w:ascii="Verdana" w:hAnsi="Verdana"/>
          <w:sz w:val="18"/>
          <w:szCs w:val="18"/>
          <w:shd w:val="clear" w:color="auto" w:fill="FFFFFF"/>
          <w:lang w:val="el-GR"/>
        </w:rPr>
        <w:t>587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02DFFAD6" w:rsidR="00163319" w:rsidRPr="00AC0363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Νοέμβριο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Οκτώβριο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είχαν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 (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-50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1B72D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του</w:t>
      </w:r>
      <w:r w:rsidR="00F14DA7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-10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και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5A5DA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Νοεμ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βρίου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Pr="00AC0363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58F49659" w:rsidR="002846E4" w:rsidRPr="007561CE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 –</w:t>
      </w:r>
      <w:r w:rsidR="00F161F4" w:rsidRPr="00F161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Νοεμβρίου</w:t>
      </w:r>
      <w:r w:rsidR="00486A9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ολικές πωλήσεις πετρελαιοειδών σημείωσαν άνοδο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214866EC" w14:textId="77777777" w:rsidR="00917B8C" w:rsidRPr="00F161F4" w:rsidRDefault="00917B8C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33EA68" w14:textId="50F15FDA" w:rsidR="00917B8C" w:rsidRPr="00917B8C" w:rsidRDefault="00486A9E" w:rsidP="00C6393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3E3FF80B" wp14:editId="639668C3">
            <wp:extent cx="6041390" cy="3886200"/>
            <wp:effectExtent l="0" t="0" r="0" b="0"/>
            <wp:docPr id="12696482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F89E" w14:textId="07B8B5B4" w:rsidR="00A32C80" w:rsidRDefault="00A32C80" w:rsidP="000F0319">
      <w:pPr>
        <w:jc w:val="both"/>
        <w:rPr>
          <w:rFonts w:ascii="Verdana" w:hAnsi="Verdana"/>
          <w:noProof/>
          <w:sz w:val="18"/>
          <w:szCs w:val="18"/>
          <w:shd w:val="clear" w:color="auto" w:fill="FFFFFF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C6393F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C6393F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C6393F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C6393F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C6393F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2B98C417" w:rsidR="00136365" w:rsidRPr="00C6393F" w:rsidRDefault="00B53D1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3A4A06E1" w:rsidR="00136365" w:rsidRPr="00C6393F" w:rsidRDefault="00B53D1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7D896104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8C6918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B53D1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5910BF38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B53D1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4B35F2E5" w:rsidR="00136365" w:rsidRPr="00C6393F" w:rsidRDefault="00B53D1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504A1DA7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</w:p>
          <w:p w14:paraId="6ED1B264" w14:textId="3EFAFC53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B53D1E" w:rsidRPr="00C6393F" w14:paraId="2999919F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B53D1E" w:rsidRPr="00C6393F" w:rsidRDefault="00B53D1E" w:rsidP="00B53D1E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3" w:name="_Hlk165034853"/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5E695EB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26.986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2F2BDB0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26.954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3215A89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307.088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3B05A6E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297.673   </w:t>
            </w:r>
          </w:p>
        </w:tc>
        <w:tc>
          <w:tcPr>
            <w:tcW w:w="240" w:type="dxa"/>
            <w:vAlign w:val="center"/>
          </w:tcPr>
          <w:p w14:paraId="4ECAA78D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66D0B116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33FE654C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3,2</w:t>
            </w:r>
          </w:p>
        </w:tc>
      </w:tr>
      <w:tr w:rsidR="00B53D1E" w:rsidRPr="00C6393F" w14:paraId="4331BDB9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136933C9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4A0BCF7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410DA21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3B9EC50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19   </w:t>
            </w:r>
          </w:p>
        </w:tc>
        <w:tc>
          <w:tcPr>
            <w:tcW w:w="240" w:type="dxa"/>
            <w:vAlign w:val="center"/>
          </w:tcPr>
          <w:p w14:paraId="188C9D65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0A03868E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759D36FA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-26,3</w:t>
            </w:r>
          </w:p>
        </w:tc>
      </w:tr>
      <w:tr w:rsidR="00B53D1E" w:rsidRPr="00C6393F" w14:paraId="5BAE1F70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1DCB5536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17.832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76FB714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19.412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7CD2691E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290.137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3719812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279.364   </w:t>
            </w:r>
          </w:p>
        </w:tc>
        <w:tc>
          <w:tcPr>
            <w:tcW w:w="240" w:type="dxa"/>
            <w:vAlign w:val="center"/>
          </w:tcPr>
          <w:p w14:paraId="533818C5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2C68E3CB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0C676D94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</w:tr>
      <w:tr w:rsidR="00B53D1E" w:rsidRPr="00C6393F" w14:paraId="30C46F67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6271A19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1.251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382D7CA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926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225501D8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6.948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2556B4A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8.166   </w:t>
            </w:r>
          </w:p>
        </w:tc>
        <w:tc>
          <w:tcPr>
            <w:tcW w:w="240" w:type="dxa"/>
            <w:vAlign w:val="center"/>
          </w:tcPr>
          <w:p w14:paraId="6D6076D0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11DDB6CA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5E30A362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-14,9</w:t>
            </w:r>
          </w:p>
        </w:tc>
      </w:tr>
      <w:tr w:rsidR="00B53D1E" w:rsidRPr="00C6393F" w14:paraId="6282D3DC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0B079C8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28.534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65A1764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30.269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7E80099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321.548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376786D6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317.799   </w:t>
            </w:r>
          </w:p>
        </w:tc>
        <w:tc>
          <w:tcPr>
            <w:tcW w:w="240" w:type="dxa"/>
            <w:vAlign w:val="center"/>
          </w:tcPr>
          <w:p w14:paraId="268A22F5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03775DAE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733ED8E9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1,2</w:t>
            </w:r>
          </w:p>
        </w:tc>
      </w:tr>
      <w:tr w:rsidR="00B53D1E" w:rsidRPr="00C6393F" w14:paraId="3A516C41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0C08AC4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2.230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0319582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2.137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6D48479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20.447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4E2C096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18.699   </w:t>
            </w:r>
          </w:p>
        </w:tc>
        <w:tc>
          <w:tcPr>
            <w:tcW w:w="240" w:type="dxa"/>
            <w:vAlign w:val="center"/>
          </w:tcPr>
          <w:p w14:paraId="708AEFC1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21495A35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724C32A1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9,3</w:t>
            </w:r>
          </w:p>
        </w:tc>
      </w:tr>
      <w:tr w:rsidR="00B53D1E" w:rsidRPr="00C6393F" w14:paraId="7700459A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229E8E6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8.512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433F36B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7.175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201A3BBE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67.026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2E343E9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70.964   </w:t>
            </w:r>
          </w:p>
        </w:tc>
        <w:tc>
          <w:tcPr>
            <w:tcW w:w="240" w:type="dxa"/>
            <w:vAlign w:val="center"/>
          </w:tcPr>
          <w:p w14:paraId="7085D362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445B39EB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270876D9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-5,5</w:t>
            </w:r>
          </w:p>
        </w:tc>
      </w:tr>
      <w:tr w:rsidR="00B53D1E" w:rsidRPr="00C6393F" w14:paraId="5310E4E0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7F8E5F0D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7.675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4AC95E9B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8.911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54704EF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78.958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3A6F5666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82.366   </w:t>
            </w:r>
          </w:p>
        </w:tc>
        <w:tc>
          <w:tcPr>
            <w:tcW w:w="240" w:type="dxa"/>
            <w:vAlign w:val="center"/>
          </w:tcPr>
          <w:p w14:paraId="2111258D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20C398EC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-13,9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2B8CF83B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-4,1</w:t>
            </w:r>
          </w:p>
        </w:tc>
      </w:tr>
      <w:tr w:rsidR="00B53D1E" w:rsidRPr="00C6393F" w14:paraId="7E25CAB5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5DBE157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9.940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3D4DEAE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13.059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1BE8327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144.597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3F4D460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151.015   </w:t>
            </w:r>
          </w:p>
        </w:tc>
        <w:tc>
          <w:tcPr>
            <w:tcW w:w="240" w:type="dxa"/>
            <w:vAlign w:val="center"/>
          </w:tcPr>
          <w:p w14:paraId="37CA3D84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7783CE68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-23,9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0BC6A2F8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-4,2</w:t>
            </w:r>
          </w:p>
        </w:tc>
      </w:tr>
      <w:tr w:rsidR="00B53D1E" w:rsidRPr="00C6393F" w14:paraId="307F9748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596C387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1.478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3FEA4B9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1.577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41FFF63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13.564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1618B62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13.187   </w:t>
            </w:r>
          </w:p>
        </w:tc>
        <w:tc>
          <w:tcPr>
            <w:tcW w:w="240" w:type="dxa"/>
            <w:vAlign w:val="center"/>
          </w:tcPr>
          <w:p w14:paraId="6D2C0603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24529C96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17A6DA23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2,9</w:t>
            </w:r>
          </w:p>
        </w:tc>
      </w:tr>
      <w:tr w:rsidR="00B53D1E" w:rsidRPr="00C6393F" w14:paraId="221F0016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04655C1A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313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55C106F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23D5A0D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2.805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44F652E8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2.707   </w:t>
            </w:r>
          </w:p>
        </w:tc>
        <w:tc>
          <w:tcPr>
            <w:tcW w:w="240" w:type="dxa"/>
            <w:vAlign w:val="center"/>
          </w:tcPr>
          <w:p w14:paraId="1CFACF60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028F10EF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3DFB7C19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B53D1E" w:rsidRPr="00C6393F" w14:paraId="73114908" w14:textId="77777777" w:rsidTr="00B53D1E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3A5503D9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3.842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03F3948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4.129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12222F4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34.922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5EE99DDF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33.863   </w:t>
            </w:r>
          </w:p>
        </w:tc>
        <w:tc>
          <w:tcPr>
            <w:tcW w:w="240" w:type="dxa"/>
            <w:vAlign w:val="center"/>
          </w:tcPr>
          <w:p w14:paraId="59DA467D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410C94CB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2D631AFF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</w:tr>
      <w:tr w:rsidR="00B53D1E" w:rsidRPr="00C6393F" w14:paraId="06E2A767" w14:textId="77777777" w:rsidTr="00B53D1E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7A1339BE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5.046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337FAADA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4.439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3F98B286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48.140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502969F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49.428   </w:t>
            </w:r>
          </w:p>
        </w:tc>
        <w:tc>
          <w:tcPr>
            <w:tcW w:w="240" w:type="dxa"/>
            <w:vAlign w:val="center"/>
          </w:tcPr>
          <w:p w14:paraId="15D5B0B9" w14:textId="77777777" w:rsidR="00B53D1E" w:rsidRPr="00B53D1E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3F2DCC1F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25981FFC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-2,6</w:t>
            </w:r>
          </w:p>
        </w:tc>
      </w:tr>
      <w:bookmarkEnd w:id="3"/>
      <w:tr w:rsidR="00B53D1E" w:rsidRPr="00C6393F" w14:paraId="131C3CBA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B53D1E" w:rsidRPr="00C6393F" w:rsidRDefault="00B53D1E" w:rsidP="00B53D1E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B53D1E" w:rsidRPr="00C6393F" w:rsidRDefault="00B53D1E" w:rsidP="00B53D1E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B53D1E" w:rsidRPr="00C6393F" w:rsidRDefault="00B53D1E" w:rsidP="00B53D1E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52B4B463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113.640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372A1E4A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119.253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4AF18609" w:rsidR="00B53D1E" w:rsidRPr="00E76EF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1.336.194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2A33D9AD" w:rsidR="00B53D1E" w:rsidRPr="00E76EF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1.325.250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B53D1E" w:rsidRPr="00B53D1E" w:rsidRDefault="00B53D1E" w:rsidP="00B53D1E">
            <w:pPr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1946A229" w:rsidR="00B53D1E" w:rsidRPr="00B53D1E" w:rsidRDefault="00B53D1E" w:rsidP="00B53D1E">
            <w:pPr>
              <w:spacing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-4,7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1BA21AB3" w:rsidR="00B53D1E" w:rsidRPr="00B53D1E" w:rsidRDefault="00B53D1E" w:rsidP="00B53D1E">
            <w:pPr>
              <w:spacing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0,8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C6393F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C6393F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C6393F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C2A41" w:rsidRPr="00C6393F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C2A41" w:rsidRPr="00C6393F" w:rsidRDefault="001C2A41" w:rsidP="001C2A41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2C3AAEDE" w:rsidR="001C2A41" w:rsidRPr="00C6393F" w:rsidRDefault="00B53D1E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3EEBBA18" w:rsidR="001C2A41" w:rsidRPr="00C6393F" w:rsidRDefault="00B53D1E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0E63A042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B53D1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0DCEB368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="00B53D1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54A6F009" w:rsidR="001C2A41" w:rsidRPr="00C6393F" w:rsidRDefault="00B53D1E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39ADCE1A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B53D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Νοε</w:t>
            </w:r>
          </w:p>
          <w:p w14:paraId="4DDED1F5" w14:textId="50AF71DD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B53D1E" w:rsidRPr="00C6393F" w14:paraId="73A005CA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4532DCE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26.789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7E02013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26.672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2AD77A1D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304.255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3A329DA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294.612   </w:t>
            </w:r>
          </w:p>
        </w:tc>
        <w:tc>
          <w:tcPr>
            <w:tcW w:w="240" w:type="dxa"/>
            <w:vAlign w:val="center"/>
          </w:tcPr>
          <w:p w14:paraId="2E78300E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2467C06D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35946821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B53D1E" w:rsidRPr="00C6393F" w14:paraId="3359A9A7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505D8ED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915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23C8C61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640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3A8B8E83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5.275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386C67F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6.134   </w:t>
            </w:r>
          </w:p>
        </w:tc>
        <w:tc>
          <w:tcPr>
            <w:tcW w:w="240" w:type="dxa"/>
            <w:vAlign w:val="center"/>
          </w:tcPr>
          <w:p w14:paraId="3841803B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00443DDE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67B2F47A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-14,0</w:t>
            </w:r>
          </w:p>
        </w:tc>
      </w:tr>
      <w:tr w:rsidR="00B53D1E" w:rsidRPr="00C6393F" w14:paraId="11FA7332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2D1EE185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23.673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6B520959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23.174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661D58C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257.525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3018F7B6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250.737   </w:t>
            </w:r>
          </w:p>
        </w:tc>
        <w:tc>
          <w:tcPr>
            <w:tcW w:w="240" w:type="dxa"/>
            <w:vAlign w:val="center"/>
          </w:tcPr>
          <w:p w14:paraId="3A0F3877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690E9244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0FFF4792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2,7</w:t>
            </w:r>
          </w:p>
        </w:tc>
      </w:tr>
      <w:tr w:rsidR="00B53D1E" w:rsidRPr="00C6393F" w14:paraId="5E059E6A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1699729D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1.572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6EF9F6B5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1.366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1FDDE431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13.891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5DEC543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12.880   </w:t>
            </w:r>
          </w:p>
        </w:tc>
        <w:tc>
          <w:tcPr>
            <w:tcW w:w="240" w:type="dxa"/>
            <w:vAlign w:val="center"/>
          </w:tcPr>
          <w:p w14:paraId="2FEFB42A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5D9F66AD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078E6DA7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7,8</w:t>
            </w:r>
          </w:p>
        </w:tc>
      </w:tr>
      <w:tr w:rsidR="00B53D1E" w:rsidRPr="00C6393F" w14:paraId="2BAA46A5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7881B1B0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5.449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3EADBDFA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4.289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743C632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39.452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0F1D97F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41.943   </w:t>
            </w:r>
          </w:p>
        </w:tc>
        <w:tc>
          <w:tcPr>
            <w:tcW w:w="240" w:type="dxa"/>
            <w:vAlign w:val="center"/>
          </w:tcPr>
          <w:p w14:paraId="71FD570F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1ED348AF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27,0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2C4BED45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-5,9</w:t>
            </w:r>
          </w:p>
        </w:tc>
      </w:tr>
      <w:tr w:rsidR="00B53D1E" w:rsidRPr="00C6393F" w14:paraId="04933586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08AEC4D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80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54D62B2D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33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2994B38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389C802A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405   </w:t>
            </w:r>
          </w:p>
        </w:tc>
        <w:tc>
          <w:tcPr>
            <w:tcW w:w="240" w:type="dxa"/>
            <w:vAlign w:val="center"/>
          </w:tcPr>
          <w:p w14:paraId="0917C1DA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467EBAC5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142,4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7380E809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0,0</w:t>
            </w:r>
          </w:p>
        </w:tc>
      </w:tr>
      <w:tr w:rsidR="00B53D1E" w:rsidRPr="00C6393F" w14:paraId="30CA887F" w14:textId="77777777" w:rsidTr="00B53D1E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B53D1E" w:rsidRPr="00C6393F" w:rsidRDefault="00B53D1E" w:rsidP="00B53D1E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022C462D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109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72765332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108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20723B4C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1.153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5EC0FA64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 xml:space="preserve"> 1.115   </w:t>
            </w:r>
          </w:p>
        </w:tc>
        <w:tc>
          <w:tcPr>
            <w:tcW w:w="240" w:type="dxa"/>
            <w:vAlign w:val="center"/>
          </w:tcPr>
          <w:p w14:paraId="50A6DE35" w14:textId="77777777" w:rsidR="00B53D1E" w:rsidRPr="00C6393F" w:rsidRDefault="00B53D1E" w:rsidP="00B53D1E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7A636748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4CDAD2BA" w:rsidR="00B53D1E" w:rsidRPr="00C6393F" w:rsidRDefault="00B53D1E" w:rsidP="00B53D1E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B53D1E"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</w:tr>
      <w:tr w:rsidR="00B53D1E" w:rsidRPr="00C6393F" w14:paraId="7697036F" w14:textId="77777777" w:rsidTr="00512AF8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B53D1E" w:rsidRPr="00C6393F" w:rsidRDefault="00B53D1E" w:rsidP="00B53D1E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5099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4CA23B0A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  58.587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06EAB697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  56.282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34E5E5DF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     621.956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76F67A3E" w:rsidR="00B53D1E" w:rsidRPr="00C6393F" w:rsidRDefault="00B53D1E" w:rsidP="00B53D1E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  607.826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B53D1E" w:rsidRPr="00B53D1E" w:rsidRDefault="00B53D1E" w:rsidP="00B53D1E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481DDE24" w14:textId="721B39ED" w:rsidR="00B53D1E" w:rsidRPr="00C6393F" w:rsidRDefault="00B53D1E" w:rsidP="00B53D1E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4,1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3CDFF3C1" w14:textId="64D0E738" w:rsidR="00B53D1E" w:rsidRPr="00C6393F" w:rsidRDefault="00B53D1E" w:rsidP="00B53D1E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2,3</w:t>
            </w:r>
          </w:p>
        </w:tc>
      </w:tr>
      <w:bookmarkEnd w:id="4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013E0FD" w14:textId="77777777" w:rsidR="00C0507F" w:rsidRDefault="00C0507F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812D" w14:textId="77777777" w:rsidR="002D16B2" w:rsidRDefault="002D16B2" w:rsidP="00FB398F">
      <w:r>
        <w:separator/>
      </w:r>
    </w:p>
  </w:endnote>
  <w:endnote w:type="continuationSeparator" w:id="0">
    <w:p w14:paraId="459F7BC7" w14:textId="77777777" w:rsidR="002D16B2" w:rsidRDefault="002D16B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0F031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F031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0F0319">
      <w:rPr>
        <w:rFonts w:ascii="Verdana" w:hAnsi="Verdana" w:cs="Arial"/>
        <w:sz w:val="16"/>
        <w:szCs w:val="16"/>
        <w:lang w:val="el-GR"/>
      </w:rPr>
      <w:t>ήλ</w:t>
    </w:r>
    <w:r w:rsidRPr="000F031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0F031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0F0319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22C6C2A" w14:textId="02A263F7" w:rsidR="004E4F42" w:rsidRPr="000F0319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0F0319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0F0319">
      <w:rPr>
        <w:rFonts w:ascii="Verdana" w:hAnsi="Verdana" w:cs="Arial"/>
        <w:sz w:val="16"/>
        <w:szCs w:val="16"/>
      </w:rPr>
      <w:t>.:  22 602129</w:t>
    </w:r>
    <w:r w:rsidR="004E4F42" w:rsidRPr="000F0319">
      <w:rPr>
        <w:rFonts w:ascii="Verdana" w:hAnsi="Verdana" w:cs="Arial"/>
        <w:sz w:val="16"/>
        <w:szCs w:val="16"/>
        <w:lang w:val="de-DE"/>
      </w:rPr>
      <w:t xml:space="preserve">, E-mail: </w:t>
    </w:r>
    <w:hyperlink r:id="rId1" w:history="1">
      <w:r w:rsidR="004E4F42" w:rsidRPr="000F031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="004E4F42" w:rsidRPr="000F0319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77777777" w:rsidR="004E4F42" w:rsidRPr="000F031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0F0319">
      <w:rPr>
        <w:rFonts w:ascii="Verdana" w:hAnsi="Verdana" w:cs="Arial"/>
        <w:sz w:val="16"/>
        <w:szCs w:val="16"/>
      </w:rPr>
      <w:t xml:space="preserve">Web site: </w:t>
    </w:r>
    <w:hyperlink r:id="rId2" w:history="1">
      <w:r w:rsidRPr="000F0319">
        <w:rPr>
          <w:rStyle w:val="Hyperlink"/>
          <w:rFonts w:ascii="Verdana" w:hAnsi="Verdana" w:cs="Arial"/>
          <w:sz w:val="16"/>
          <w:szCs w:val="16"/>
        </w:rPr>
        <w:t>http://www.cystat</w:t>
      </w:r>
      <w:r w:rsidRPr="000F0319">
        <w:rPr>
          <w:rStyle w:val="Hyperlink"/>
          <w:rFonts w:ascii="Verdana" w:hAnsi="Verdana" w:cs="Arial"/>
          <w:sz w:val="16"/>
          <w:szCs w:val="16"/>
          <w:lang w:val="en-GB"/>
        </w:rPr>
        <w:t>.</w:t>
      </w:r>
      <w:r w:rsidRPr="000F0319">
        <w:rPr>
          <w:rStyle w:val="Hyperlink"/>
          <w:rFonts w:ascii="Verdana" w:hAnsi="Verdana" w:cs="Arial"/>
          <w:sz w:val="16"/>
          <w:szCs w:val="16"/>
        </w:rPr>
        <w:t>gov.cy</w:t>
      </w:r>
    </w:hyperlink>
    <w:r w:rsidRPr="000F0319">
      <w:rPr>
        <w:rFonts w:ascii="Verdana" w:hAnsi="Verdana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46AB" w14:textId="77777777" w:rsidR="002D16B2" w:rsidRDefault="002D16B2" w:rsidP="00FB398F">
      <w:r>
        <w:separator/>
      </w:r>
    </w:p>
  </w:footnote>
  <w:footnote w:type="continuationSeparator" w:id="0">
    <w:p w14:paraId="39E4FB76" w14:textId="77777777" w:rsidR="002D16B2" w:rsidRDefault="002D16B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077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5345"/>
    <w:rsid w:val="0003603D"/>
    <w:rsid w:val="000365A4"/>
    <w:rsid w:val="00036C99"/>
    <w:rsid w:val="00037401"/>
    <w:rsid w:val="00045088"/>
    <w:rsid w:val="00045390"/>
    <w:rsid w:val="00045A06"/>
    <w:rsid w:val="0004770A"/>
    <w:rsid w:val="00050391"/>
    <w:rsid w:val="00050EC8"/>
    <w:rsid w:val="00053C92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4B9A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1378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319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4B90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092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2B2C"/>
    <w:rsid w:val="0017769A"/>
    <w:rsid w:val="00181155"/>
    <w:rsid w:val="0018250A"/>
    <w:rsid w:val="00183DFC"/>
    <w:rsid w:val="00184384"/>
    <w:rsid w:val="0018527E"/>
    <w:rsid w:val="001855A9"/>
    <w:rsid w:val="0018595E"/>
    <w:rsid w:val="00186717"/>
    <w:rsid w:val="00187789"/>
    <w:rsid w:val="00187FFC"/>
    <w:rsid w:val="00194386"/>
    <w:rsid w:val="001959E3"/>
    <w:rsid w:val="00197474"/>
    <w:rsid w:val="00197FEA"/>
    <w:rsid w:val="001A1480"/>
    <w:rsid w:val="001A2018"/>
    <w:rsid w:val="001A2191"/>
    <w:rsid w:val="001A2DB7"/>
    <w:rsid w:val="001A4860"/>
    <w:rsid w:val="001A4C47"/>
    <w:rsid w:val="001B08E9"/>
    <w:rsid w:val="001B1BD4"/>
    <w:rsid w:val="001B2C39"/>
    <w:rsid w:val="001B3675"/>
    <w:rsid w:val="001B5E10"/>
    <w:rsid w:val="001B6AB3"/>
    <w:rsid w:val="001B72D1"/>
    <w:rsid w:val="001B73D5"/>
    <w:rsid w:val="001B7F49"/>
    <w:rsid w:val="001C0681"/>
    <w:rsid w:val="001C22B4"/>
    <w:rsid w:val="001C2A41"/>
    <w:rsid w:val="001C361A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2017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111C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2C3C"/>
    <w:rsid w:val="002C3834"/>
    <w:rsid w:val="002C6C73"/>
    <w:rsid w:val="002C7AF3"/>
    <w:rsid w:val="002D0045"/>
    <w:rsid w:val="002D05F0"/>
    <w:rsid w:val="002D16B2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476B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1210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869D9"/>
    <w:rsid w:val="00486A9E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A6809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06C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5360F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87EBE"/>
    <w:rsid w:val="00591B64"/>
    <w:rsid w:val="005978D4"/>
    <w:rsid w:val="00597A21"/>
    <w:rsid w:val="005A0D3D"/>
    <w:rsid w:val="005A1338"/>
    <w:rsid w:val="005A19B8"/>
    <w:rsid w:val="005A23FA"/>
    <w:rsid w:val="005A5DA8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0138"/>
    <w:rsid w:val="005D1714"/>
    <w:rsid w:val="005D2AED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057"/>
    <w:rsid w:val="006007C7"/>
    <w:rsid w:val="006044B7"/>
    <w:rsid w:val="006052E8"/>
    <w:rsid w:val="006071CE"/>
    <w:rsid w:val="006075B5"/>
    <w:rsid w:val="0061018C"/>
    <w:rsid w:val="0061094E"/>
    <w:rsid w:val="00613440"/>
    <w:rsid w:val="00613924"/>
    <w:rsid w:val="00613BE3"/>
    <w:rsid w:val="00613D45"/>
    <w:rsid w:val="00613F84"/>
    <w:rsid w:val="00615E04"/>
    <w:rsid w:val="0062327B"/>
    <w:rsid w:val="00624B50"/>
    <w:rsid w:val="00627ACA"/>
    <w:rsid w:val="00630B00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198A"/>
    <w:rsid w:val="00682706"/>
    <w:rsid w:val="00682728"/>
    <w:rsid w:val="00682A83"/>
    <w:rsid w:val="0068434A"/>
    <w:rsid w:val="00685018"/>
    <w:rsid w:val="00687772"/>
    <w:rsid w:val="0069008E"/>
    <w:rsid w:val="0069087E"/>
    <w:rsid w:val="006925C4"/>
    <w:rsid w:val="00696D73"/>
    <w:rsid w:val="006A02B7"/>
    <w:rsid w:val="006A5E05"/>
    <w:rsid w:val="006A6AD8"/>
    <w:rsid w:val="006A7019"/>
    <w:rsid w:val="006B356D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0F5D"/>
    <w:rsid w:val="007534F8"/>
    <w:rsid w:val="0075413E"/>
    <w:rsid w:val="007545AD"/>
    <w:rsid w:val="007561CE"/>
    <w:rsid w:val="00757ADE"/>
    <w:rsid w:val="007605FE"/>
    <w:rsid w:val="00761142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193E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098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5EC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6F98"/>
    <w:rsid w:val="008B7900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17B8C"/>
    <w:rsid w:val="00924E72"/>
    <w:rsid w:val="00927268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492F"/>
    <w:rsid w:val="009B6F56"/>
    <w:rsid w:val="009B76D5"/>
    <w:rsid w:val="009C0E86"/>
    <w:rsid w:val="009C165D"/>
    <w:rsid w:val="009C3584"/>
    <w:rsid w:val="009C3CEA"/>
    <w:rsid w:val="009C583D"/>
    <w:rsid w:val="009C5962"/>
    <w:rsid w:val="009C5A7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1EE1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418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595F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3B7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1E"/>
    <w:rsid w:val="00B53D47"/>
    <w:rsid w:val="00B54A25"/>
    <w:rsid w:val="00B54A4B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D9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2F6B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15"/>
    <w:rsid w:val="00C57A9A"/>
    <w:rsid w:val="00C6016A"/>
    <w:rsid w:val="00C60B3F"/>
    <w:rsid w:val="00C623EB"/>
    <w:rsid w:val="00C62F44"/>
    <w:rsid w:val="00C6300F"/>
    <w:rsid w:val="00C635A8"/>
    <w:rsid w:val="00C6393F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41F4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3DB2"/>
    <w:rsid w:val="00D53FDE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10C2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5ECB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6B5A"/>
    <w:rsid w:val="00DF7EEE"/>
    <w:rsid w:val="00E00058"/>
    <w:rsid w:val="00E007ED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EFF"/>
    <w:rsid w:val="00E81610"/>
    <w:rsid w:val="00E8187A"/>
    <w:rsid w:val="00E8199E"/>
    <w:rsid w:val="00E841B3"/>
    <w:rsid w:val="00E84910"/>
    <w:rsid w:val="00E84C7D"/>
    <w:rsid w:val="00E85B28"/>
    <w:rsid w:val="00E87F0B"/>
    <w:rsid w:val="00E91976"/>
    <w:rsid w:val="00E947A6"/>
    <w:rsid w:val="00E97FC7"/>
    <w:rsid w:val="00EA05C2"/>
    <w:rsid w:val="00EA0690"/>
    <w:rsid w:val="00EA22DA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1AC5"/>
    <w:rsid w:val="00EF201A"/>
    <w:rsid w:val="00EF285F"/>
    <w:rsid w:val="00EF3E5A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14DA7"/>
    <w:rsid w:val="00F161F4"/>
    <w:rsid w:val="00F22ECA"/>
    <w:rsid w:val="00F23348"/>
    <w:rsid w:val="00F240E8"/>
    <w:rsid w:val="00F244FA"/>
    <w:rsid w:val="00F3530F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8A4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2C6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3306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6A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72</cp:revision>
  <cp:lastPrinted>2024-01-29T06:30:00Z</cp:lastPrinted>
  <dcterms:created xsi:type="dcterms:W3CDTF">2024-01-29T06:35:00Z</dcterms:created>
  <dcterms:modified xsi:type="dcterms:W3CDTF">2024-12-27T09:55:00Z</dcterms:modified>
</cp:coreProperties>
</file>