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F846" w14:textId="417AD918" w:rsidR="00936E21" w:rsidRPr="00C57A15" w:rsidRDefault="00936E21" w:rsidP="00A12E81">
      <w:pPr>
        <w:jc w:val="center"/>
        <w:rPr>
          <w:rFonts w:ascii="Verdana" w:eastAsia="Malgun Gothic" w:hAnsi="Verdana" w:cs="Arial"/>
          <w:sz w:val="18"/>
          <w:szCs w:val="18"/>
        </w:rPr>
      </w:pPr>
    </w:p>
    <w:p w14:paraId="660893E5" w14:textId="6571C343" w:rsidR="00163319" w:rsidRPr="008A2744" w:rsidRDefault="00B760D9" w:rsidP="00163319">
      <w:pPr>
        <w:jc w:val="right"/>
        <w:rPr>
          <w:rFonts w:ascii="Verdana" w:hAnsi="Verdana" w:cs="Arial"/>
          <w:sz w:val="18"/>
          <w:szCs w:val="18"/>
          <w:lang w:val="el-GR"/>
        </w:rPr>
      </w:pPr>
      <w:bookmarkStart w:id="0" w:name="_Hlk159853228"/>
      <w:r w:rsidRPr="00F161F4">
        <w:rPr>
          <w:rFonts w:ascii="Verdana" w:hAnsi="Verdana" w:cs="Arial"/>
          <w:sz w:val="18"/>
          <w:szCs w:val="18"/>
          <w:lang w:val="el-GR"/>
        </w:rPr>
        <w:t>2</w:t>
      </w:r>
      <w:r w:rsidR="00E84C7D" w:rsidRPr="00A71EE1">
        <w:rPr>
          <w:rFonts w:ascii="Verdana" w:hAnsi="Verdana" w:cs="Arial"/>
          <w:sz w:val="18"/>
          <w:szCs w:val="18"/>
          <w:lang w:val="el-GR"/>
        </w:rPr>
        <w:t>7</w:t>
      </w:r>
      <w:r w:rsidR="00163319">
        <w:rPr>
          <w:rFonts w:ascii="Verdana" w:hAnsi="Verdana" w:cs="Arial"/>
          <w:sz w:val="18"/>
          <w:szCs w:val="18"/>
          <w:lang w:val="el-GR"/>
        </w:rPr>
        <w:t xml:space="preserve"> </w:t>
      </w:r>
      <w:r w:rsidR="00E84C7D">
        <w:rPr>
          <w:rFonts w:ascii="Verdana" w:hAnsi="Verdana" w:cs="Arial"/>
          <w:sz w:val="18"/>
          <w:szCs w:val="18"/>
          <w:lang w:val="el-GR"/>
        </w:rPr>
        <w:t>Νοεμ</w:t>
      </w:r>
      <w:r w:rsidR="00630B00">
        <w:rPr>
          <w:rFonts w:ascii="Verdana" w:hAnsi="Verdana" w:cs="Arial"/>
          <w:sz w:val="18"/>
          <w:szCs w:val="18"/>
          <w:lang w:val="el-GR"/>
        </w:rPr>
        <w:t>βρί</w:t>
      </w:r>
      <w:r w:rsidR="00DE4906">
        <w:rPr>
          <w:rFonts w:ascii="Verdana" w:hAnsi="Verdana" w:cs="Arial"/>
          <w:sz w:val="18"/>
          <w:szCs w:val="18"/>
          <w:lang w:val="el-GR"/>
        </w:rPr>
        <w:t>ου</w:t>
      </w:r>
      <w:r w:rsidR="00163319">
        <w:rPr>
          <w:rFonts w:ascii="Verdana" w:hAnsi="Verdana" w:cs="Arial"/>
          <w:sz w:val="18"/>
          <w:szCs w:val="18"/>
          <w:lang w:val="el-GR"/>
        </w:rPr>
        <w:t>, 2024</w:t>
      </w:r>
    </w:p>
    <w:bookmarkEnd w:id="0"/>
    <w:p w14:paraId="05861BF0" w14:textId="25E91C96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0A3720F5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E84C7D">
        <w:rPr>
          <w:rFonts w:ascii="Verdana" w:hAnsi="Verdana"/>
          <w:szCs w:val="22"/>
          <w:shd w:val="clear" w:color="auto" w:fill="FFFFFF"/>
        </w:rPr>
        <w:t>ΟΚΤΩΒΡΙΟΣ</w:t>
      </w:r>
      <w:r w:rsidR="00163319"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163319">
        <w:rPr>
          <w:rFonts w:ascii="Verdana" w:hAnsi="Verdana"/>
          <w:szCs w:val="22"/>
          <w:shd w:val="clear" w:color="auto" w:fill="FFFFFF"/>
        </w:rPr>
        <w:t>4</w:t>
      </w:r>
    </w:p>
    <w:p w14:paraId="0F92D7EB" w14:textId="77777777" w:rsidR="00FB55A5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8B5A5" w14:textId="77777777" w:rsidR="00510C81" w:rsidRPr="009F6337" w:rsidRDefault="00510C81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3EA678A0" w:rsidR="009F6337" w:rsidRPr="00F161F4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AC0363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A71EE1" w:rsidRPr="009E223B">
        <w:rPr>
          <w:rFonts w:ascii="Verdana" w:eastAsia="Malgun Gothic" w:hAnsi="Verdana" w:cs="Arial"/>
          <w:b/>
          <w:bCs/>
          <w:lang w:val="el-GR"/>
        </w:rPr>
        <w:t>+</w:t>
      </w:r>
      <w:r w:rsidR="00E84C7D">
        <w:rPr>
          <w:rFonts w:ascii="Verdana" w:eastAsia="Malgun Gothic" w:hAnsi="Verdana" w:cs="Arial"/>
          <w:b/>
          <w:bCs/>
          <w:lang w:val="el-GR"/>
        </w:rPr>
        <w:t>3</w:t>
      </w:r>
      <w:r w:rsidR="00163319" w:rsidRPr="00AC0363">
        <w:rPr>
          <w:rFonts w:ascii="Verdana" w:eastAsia="Malgun Gothic" w:hAnsi="Verdana" w:cs="Arial"/>
          <w:b/>
          <w:bCs/>
          <w:lang w:val="el-GR"/>
        </w:rPr>
        <w:t>,</w:t>
      </w:r>
      <w:r w:rsidR="00E84C7D">
        <w:rPr>
          <w:rFonts w:ascii="Verdana" w:eastAsia="Malgun Gothic" w:hAnsi="Verdana" w:cs="Arial"/>
          <w:b/>
          <w:bCs/>
          <w:lang w:val="el-GR"/>
        </w:rPr>
        <w:t>5</w:t>
      </w:r>
      <w:r w:rsidR="00163319" w:rsidRPr="00AC0363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AC0363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72FC150" w14:textId="48743344" w:rsidR="00163319" w:rsidRPr="00AC0363" w:rsidRDefault="00163319" w:rsidP="007C5098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Οκτώ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βριο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2024, οι συνολικές πωλήσεις πετρελαιοειδών έφτασαν τους </w:t>
      </w:r>
      <w:bookmarkStart w:id="1" w:name="_Hlk107213034"/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250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τόνους, σημειώνοντας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2" w:name="_Hlk107213045"/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2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σύγκριση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με τον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Οκτώβριο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2023. 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Ά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νοδος 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καταγράφηκε στις προμήθειες πετρελαίου 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σε αεροπλάνα (9,7%)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 καθώς και στις πωλήσεις</w:t>
      </w:r>
      <w:r w:rsidR="007C5098" w:rsidRPr="007C50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θέρμανσης (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30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5098" w:rsidRPr="007C50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), βενζίνης (7,2%)</w:t>
      </w:r>
      <w:r w:rsidR="007C5098" w:rsidRPr="007C50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και</w:t>
      </w:r>
      <w:r w:rsidR="007C5098" w:rsidRPr="007C50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υγραερίου (3,3%).</w:t>
      </w:r>
      <w:r w:rsidR="007C5098" w:rsidRPr="007C50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Αντίθετα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5098" w:rsidRPr="00E84C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πτώση 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σημειώθηκε</w:t>
      </w:r>
      <w:r w:rsidR="007C5098" w:rsidRPr="0060005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στις προμήθειες πετρελαίου σε πλοία (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-20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καθώς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στις πωλήσεις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λαφρού 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</w:t>
      </w:r>
      <w:proofErr w:type="spellStart"/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 w:rsidR="007C5098" w:rsidRP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C509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μαζούτ (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-17,2% και -6,5%, αντίστοιχα), κηροζίνης (-5,7%) και ασφάλτου (-3,7%). 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Όσον αφορά ειδικότερα στις πωλήσεις από πρατήρια πετρελαιοειδών, αυτές παρουσίασαν 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E84C7D"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7C5098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9</w:t>
      </w:r>
      <w:r w:rsidR="00E84C7D"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60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113</w:t>
      </w:r>
      <w:r w:rsidR="00E84C7D"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7E1810F8" w14:textId="77777777" w:rsidR="00163319" w:rsidRPr="00AC0363" w:rsidRDefault="00163319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C894F9F" w14:textId="2F2B96EE" w:rsidR="00163319" w:rsidRPr="00AC0363" w:rsidRDefault="00163319" w:rsidP="00AC036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Οκτώβριο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Σεπτέμβριο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σημείωσαν 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Ενδεικτικά, </w:t>
      </w:r>
      <w:r w:rsidR="000E137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α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ύξηση είχαν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 w:rsidR="00172B2C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προμήθειες πετρελαίου σε αεροπλάνα (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172B2C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172B2C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</w:t>
      </w:r>
      <w:r w:rsidR="001B72D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πωλήσεις</w:t>
      </w:r>
      <w:r w:rsidR="00F14DA7" w:rsidRPr="00E8187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>ενώ μειώθηκαν οριακά οι πωλήσεις της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>-0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1B72D1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>Οκτω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βρίου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7A223417" w14:textId="77777777" w:rsidR="00586F56" w:rsidRPr="00AC0363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A1ABEC2" w14:textId="6B9F8DF2" w:rsidR="002846E4" w:rsidRPr="007561CE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περίοδο Ιανουαρίου –</w:t>
      </w:r>
      <w:r w:rsidR="00F161F4" w:rsidRPr="00F161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>Οκτωβρίου</w:t>
      </w:r>
      <w:r w:rsidR="005A5DA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2024, οι ολικές πωλήσεις πετρελαιοειδών σημείωσαν άνοδο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C509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έτους.</w:t>
      </w:r>
    </w:p>
    <w:p w14:paraId="214866EC" w14:textId="77777777" w:rsidR="00917B8C" w:rsidRPr="00F161F4" w:rsidRDefault="00917B8C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533EA68" w14:textId="2BC3A4B3" w:rsidR="00917B8C" w:rsidRPr="00917B8C" w:rsidRDefault="00A71EE1" w:rsidP="00C6393F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153C13CE" wp14:editId="3CD08753">
            <wp:extent cx="6029325" cy="3800475"/>
            <wp:effectExtent l="0" t="0" r="9525" b="9525"/>
            <wp:docPr id="14999643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05F316E-A04E-FDAC-FA83-CDC0C79C65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4BF89E" w14:textId="07B8B5B4" w:rsidR="00A32C80" w:rsidRDefault="00A32C80" w:rsidP="00B54A4B">
      <w:pPr>
        <w:jc w:val="center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A512B3" w:rsidRPr="00C6393F" w14:paraId="7EA8830E" w14:textId="77777777" w:rsidTr="00A512B3">
        <w:trPr>
          <w:trHeight w:val="284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5B226E3F" w14:textId="6888CD6C" w:rsidR="00B065C7" w:rsidRPr="00C6393F" w:rsidRDefault="00A512B3" w:rsidP="00A512B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52EC44EC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4D1CEA00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6949DACA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515B5A96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2FB7DCA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8AF1937" w14:textId="73176145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0671BF6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A512B3" w:rsidRPr="00C6393F" w14:paraId="5B73303F" w14:textId="77777777" w:rsidTr="00A512B3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B8B65C" w14:textId="4BA97EB3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2E2600" w14:textId="551D75BA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Ολικές Πωλήσεις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07CCB0BA" w14:textId="77777777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B2BFD" w14:textId="6AD4AC94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36365" w:rsidRPr="00C6393F" w14:paraId="7DB58FAD" w14:textId="77777777" w:rsidTr="00A31A49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0EC896" w14:textId="77777777" w:rsidR="00136365" w:rsidRPr="00C6393F" w:rsidRDefault="00136365" w:rsidP="00136365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B320B51" w14:textId="1545A445" w:rsidR="00136365" w:rsidRPr="00C6393F" w:rsidRDefault="00E76EFF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E900C2" w14:textId="34D28C3F" w:rsidR="00136365" w:rsidRPr="00C6393F" w:rsidRDefault="00E76EFF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ACF06B0" w14:textId="43C224FA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="008C6918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E76EF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 w:rsidR="00E76EFF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34083A6" w14:textId="2DC7920D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E76EF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 w:rsidR="00E76EFF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0A500B8A" w14:textId="77777777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D075EEF" w14:textId="587A7C0D" w:rsidR="00136365" w:rsidRPr="00C6393F" w:rsidRDefault="00E76EFF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5A56E4F" w14:textId="52A8A2EC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E76EF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</w:p>
          <w:p w14:paraId="6ED1B264" w14:textId="3EFAFC53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7C5098" w:rsidRPr="00C6393F" w14:paraId="2999919F" w14:textId="77777777" w:rsidTr="00E76EFF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</w:tcBorders>
            <w:vAlign w:val="center"/>
          </w:tcPr>
          <w:p w14:paraId="3955C8AC" w14:textId="1EAC34A0" w:rsidR="007C5098" w:rsidRPr="00C6393F" w:rsidRDefault="007C5098" w:rsidP="007C5098">
            <w:pPr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bookmarkStart w:id="3" w:name="_Hlk165034853"/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Αμόλυ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04CD2" w14:textId="2C5C9B75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29.587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E211" w14:textId="4EFF9836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27.592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6E7B" w14:textId="2F0A4351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280.102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4964" w14:textId="24F16C66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270.719   </w:t>
            </w:r>
          </w:p>
        </w:tc>
        <w:tc>
          <w:tcPr>
            <w:tcW w:w="240" w:type="dxa"/>
            <w:vAlign w:val="center"/>
          </w:tcPr>
          <w:p w14:paraId="4ECAA78D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3999" w14:textId="551EE204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8C3C" w14:textId="301D514A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3,5</w:t>
            </w:r>
          </w:p>
        </w:tc>
      </w:tr>
      <w:tr w:rsidR="007C5098" w:rsidRPr="00C6393F" w14:paraId="4331BDB9" w14:textId="77777777" w:rsidTr="00E76EFF">
        <w:trPr>
          <w:trHeight w:val="397"/>
          <w:jc w:val="center"/>
        </w:trPr>
        <w:tc>
          <w:tcPr>
            <w:tcW w:w="2367" w:type="dxa"/>
            <w:vAlign w:val="center"/>
          </w:tcPr>
          <w:p w14:paraId="0374409B" w14:textId="71AFAE2D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247F" w14:textId="7144E550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D9BB" w14:textId="4DB4118A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9A40" w14:textId="1269C55B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4F62" w14:textId="64ED2DAE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18   </w:t>
            </w:r>
          </w:p>
        </w:tc>
        <w:tc>
          <w:tcPr>
            <w:tcW w:w="240" w:type="dxa"/>
            <w:vAlign w:val="center"/>
          </w:tcPr>
          <w:p w14:paraId="188C9D65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3D0B" w14:textId="56A3698C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8BB1" w14:textId="010373F1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-27,8</w:t>
            </w:r>
          </w:p>
        </w:tc>
      </w:tr>
      <w:tr w:rsidR="007C5098" w:rsidRPr="00C6393F" w14:paraId="5BAE1F70" w14:textId="77777777" w:rsidTr="00E76EFF">
        <w:trPr>
          <w:trHeight w:val="397"/>
          <w:jc w:val="center"/>
        </w:trPr>
        <w:tc>
          <w:tcPr>
            <w:tcW w:w="2367" w:type="dxa"/>
            <w:vAlign w:val="center"/>
          </w:tcPr>
          <w:p w14:paraId="6648336E" w14:textId="7BB9DBE5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9E45D" w14:textId="2B50ACB5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35.770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C914" w14:textId="48B94A84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32.612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09DD" w14:textId="6B367B54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272.305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3807" w14:textId="66682DF9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259.952   </w:t>
            </w:r>
          </w:p>
        </w:tc>
        <w:tc>
          <w:tcPr>
            <w:tcW w:w="240" w:type="dxa"/>
            <w:vAlign w:val="center"/>
          </w:tcPr>
          <w:p w14:paraId="533818C5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4F17" w14:textId="5D3E6F4E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0A70" w14:textId="372F907C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4,8</w:t>
            </w:r>
          </w:p>
        </w:tc>
      </w:tr>
      <w:tr w:rsidR="007C5098" w:rsidRPr="00C6393F" w14:paraId="30C46F67" w14:textId="77777777" w:rsidTr="00E76EFF">
        <w:trPr>
          <w:trHeight w:val="397"/>
          <w:jc w:val="center"/>
        </w:trPr>
        <w:tc>
          <w:tcPr>
            <w:tcW w:w="2367" w:type="dxa"/>
            <w:vAlign w:val="center"/>
          </w:tcPr>
          <w:p w14:paraId="41F8E0BB" w14:textId="2435E198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45FF" w14:textId="585A29AD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463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F5DE" w14:textId="43848482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491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2243" w14:textId="18F9EB2F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5.697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2B4D" w14:textId="5520460A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7.240   </w:t>
            </w:r>
          </w:p>
        </w:tc>
        <w:tc>
          <w:tcPr>
            <w:tcW w:w="240" w:type="dxa"/>
            <w:vAlign w:val="center"/>
          </w:tcPr>
          <w:p w14:paraId="6D6076D0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DCF9" w14:textId="010062DE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-5,7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188B" w14:textId="7AC9037D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-21,3</w:t>
            </w:r>
          </w:p>
        </w:tc>
      </w:tr>
      <w:tr w:rsidR="007C5098" w:rsidRPr="00C6393F" w14:paraId="6282D3DC" w14:textId="77777777" w:rsidTr="00E76EFF">
        <w:trPr>
          <w:trHeight w:val="397"/>
          <w:jc w:val="center"/>
        </w:trPr>
        <w:tc>
          <w:tcPr>
            <w:tcW w:w="2367" w:type="dxa"/>
            <w:vAlign w:val="center"/>
          </w:tcPr>
          <w:p w14:paraId="7AF29343" w14:textId="421C525F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8712B" w14:textId="739BE99E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31.768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53F7" w14:textId="214307BB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29.486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004D" w14:textId="59AA44FA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293.014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4E15" w14:textId="4B6176DE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287.530   </w:t>
            </w:r>
          </w:p>
        </w:tc>
        <w:tc>
          <w:tcPr>
            <w:tcW w:w="240" w:type="dxa"/>
            <w:vAlign w:val="center"/>
          </w:tcPr>
          <w:p w14:paraId="268A22F5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59BD" w14:textId="35C70649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86E4" w14:textId="1A2278FD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1,9</w:t>
            </w:r>
          </w:p>
        </w:tc>
      </w:tr>
      <w:tr w:rsidR="007C5098" w:rsidRPr="00C6393F" w14:paraId="3A516C41" w14:textId="77777777" w:rsidTr="00E76EFF">
        <w:trPr>
          <w:trHeight w:val="397"/>
          <w:jc w:val="center"/>
        </w:trPr>
        <w:tc>
          <w:tcPr>
            <w:tcW w:w="2367" w:type="dxa"/>
            <w:vAlign w:val="center"/>
          </w:tcPr>
          <w:p w14:paraId="500682A7" w14:textId="5390CB4C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Γεωργικό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F1171" w14:textId="01E98E39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2.299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EE8C" w14:textId="7907E2D1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1.863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4A2C" w14:textId="01686D85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18.217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679B" w14:textId="5584A25B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16.562   </w:t>
            </w:r>
          </w:p>
        </w:tc>
        <w:tc>
          <w:tcPr>
            <w:tcW w:w="240" w:type="dxa"/>
            <w:vAlign w:val="center"/>
          </w:tcPr>
          <w:p w14:paraId="708AEFC1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752F" w14:textId="021E29FE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23,4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AD" w14:textId="07CADE98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10,0</w:t>
            </w:r>
          </w:p>
        </w:tc>
      </w:tr>
      <w:tr w:rsidR="007C5098" w:rsidRPr="00C6393F" w14:paraId="7700459A" w14:textId="77777777" w:rsidTr="00E76EFF">
        <w:trPr>
          <w:trHeight w:val="397"/>
          <w:jc w:val="center"/>
        </w:trPr>
        <w:tc>
          <w:tcPr>
            <w:tcW w:w="2367" w:type="dxa"/>
            <w:vAlign w:val="center"/>
          </w:tcPr>
          <w:p w14:paraId="60B2BC5F" w14:textId="74D3F2B4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Θέρμ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82A5" w14:textId="5378DA28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6.017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D0A1" w14:textId="2496BEAC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4.626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7E6A" w14:textId="74DF90BE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58.514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7EC1" w14:textId="61760D81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63.789   </w:t>
            </w:r>
          </w:p>
        </w:tc>
        <w:tc>
          <w:tcPr>
            <w:tcW w:w="240" w:type="dxa"/>
            <w:vAlign w:val="center"/>
          </w:tcPr>
          <w:p w14:paraId="7085D362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836" w14:textId="44127EC8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30,1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F01" w14:textId="6F1D608D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-8,3</w:t>
            </w:r>
          </w:p>
        </w:tc>
      </w:tr>
      <w:tr w:rsidR="007C5098" w:rsidRPr="00C6393F" w14:paraId="5310E4E0" w14:textId="77777777" w:rsidTr="00E76EFF">
        <w:trPr>
          <w:trHeight w:val="397"/>
          <w:jc w:val="center"/>
        </w:trPr>
        <w:tc>
          <w:tcPr>
            <w:tcW w:w="2367" w:type="dxa"/>
            <w:vAlign w:val="center"/>
          </w:tcPr>
          <w:p w14:paraId="607B26A5" w14:textId="0212EA44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 Να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υτιλί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71F6" w14:textId="221D1AB4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7.327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EB66" w14:textId="0B162F30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9.242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5371" w14:textId="0E3C9CB4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71.283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D00C" w14:textId="3051A6BF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73.455   </w:t>
            </w:r>
          </w:p>
        </w:tc>
        <w:tc>
          <w:tcPr>
            <w:tcW w:w="240" w:type="dxa"/>
            <w:vAlign w:val="center"/>
          </w:tcPr>
          <w:p w14:paraId="2111258D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42677" w14:textId="10F2B70B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-20,7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6F5C" w14:textId="1AD30523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-3,0</w:t>
            </w:r>
          </w:p>
        </w:tc>
      </w:tr>
      <w:tr w:rsidR="007C5098" w:rsidRPr="00C6393F" w14:paraId="7E25CAB5" w14:textId="77777777" w:rsidTr="00E76EFF">
        <w:trPr>
          <w:trHeight w:val="397"/>
          <w:jc w:val="center"/>
        </w:trPr>
        <w:tc>
          <w:tcPr>
            <w:tcW w:w="2367" w:type="dxa"/>
            <w:vAlign w:val="center"/>
          </w:tcPr>
          <w:p w14:paraId="4A295804" w14:textId="2AB1E462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Ελ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αφρύ Μα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267D9" w14:textId="337245FC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12.372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B3DE" w14:textId="39D53BE6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14.937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22CA" w14:textId="5C04AC16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134.657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82BE" w14:textId="5CD5F28C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137.956   </w:t>
            </w:r>
          </w:p>
        </w:tc>
        <w:tc>
          <w:tcPr>
            <w:tcW w:w="240" w:type="dxa"/>
            <w:vAlign w:val="center"/>
          </w:tcPr>
          <w:p w14:paraId="37CA3D84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611A" w14:textId="337FB6F6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-17,2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177C" w14:textId="5D1AE4A5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-2,4</w:t>
            </w:r>
          </w:p>
        </w:tc>
      </w:tr>
      <w:tr w:rsidR="007C5098" w:rsidRPr="00C6393F" w14:paraId="307F9748" w14:textId="77777777" w:rsidTr="00E76EFF">
        <w:trPr>
          <w:trHeight w:val="397"/>
          <w:jc w:val="center"/>
        </w:trPr>
        <w:tc>
          <w:tcPr>
            <w:tcW w:w="2367" w:type="dxa"/>
            <w:vAlign w:val="center"/>
          </w:tcPr>
          <w:p w14:paraId="0ADE79B8" w14:textId="0593477E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ρύ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Μα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033FB" w14:textId="65E9F885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1.597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D724" w14:textId="1E3D5BC6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1.708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0F8" w14:textId="330D5C6B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12.086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C054" w14:textId="55592541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11.610   </w:t>
            </w:r>
          </w:p>
        </w:tc>
        <w:tc>
          <w:tcPr>
            <w:tcW w:w="240" w:type="dxa"/>
            <w:vAlign w:val="center"/>
          </w:tcPr>
          <w:p w14:paraId="6D2C0603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5405" w14:textId="1D088A56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-6,5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272C" w14:textId="543F039C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4,1</w:t>
            </w:r>
          </w:p>
        </w:tc>
      </w:tr>
      <w:tr w:rsidR="007C5098" w:rsidRPr="00C6393F" w14:paraId="221F0016" w14:textId="77777777" w:rsidTr="00E76EFF">
        <w:trPr>
          <w:trHeight w:val="397"/>
          <w:jc w:val="center"/>
        </w:trPr>
        <w:tc>
          <w:tcPr>
            <w:tcW w:w="2367" w:type="dxa"/>
            <w:vAlign w:val="center"/>
          </w:tcPr>
          <w:p w14:paraId="29DB65E5" w14:textId="7E2A669D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Λι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παντικά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Λάδι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0D9A2" w14:textId="3A76A28A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192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F4B8" w14:textId="48B6BB52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260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FAA7" w14:textId="35566143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2.492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C145" w14:textId="5BA08AEB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2.443   </w:t>
            </w:r>
          </w:p>
        </w:tc>
        <w:tc>
          <w:tcPr>
            <w:tcW w:w="240" w:type="dxa"/>
            <w:vAlign w:val="center"/>
          </w:tcPr>
          <w:p w14:paraId="1CFACF60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3D6C" w14:textId="43C33027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-26,2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2B68" w14:textId="561CB696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2,0</w:t>
            </w:r>
          </w:p>
        </w:tc>
      </w:tr>
      <w:tr w:rsidR="007C5098" w:rsidRPr="00C6393F" w14:paraId="73114908" w14:textId="77777777" w:rsidTr="00E76EFF">
        <w:trPr>
          <w:trHeight w:val="397"/>
          <w:jc w:val="center"/>
        </w:trPr>
        <w:tc>
          <w:tcPr>
            <w:tcW w:w="2367" w:type="dxa"/>
            <w:vAlign w:val="center"/>
          </w:tcPr>
          <w:p w14:paraId="1A531487" w14:textId="3BAF9DEE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Άσφ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αλτος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72BEE" w14:textId="0E18CC99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3.613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F55E" w14:textId="56EEE39E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3.752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01ED" w14:textId="6141282C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31.080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BE" w14:textId="267E799D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29.734   </w:t>
            </w:r>
          </w:p>
        </w:tc>
        <w:tc>
          <w:tcPr>
            <w:tcW w:w="240" w:type="dxa"/>
            <w:vAlign w:val="center"/>
          </w:tcPr>
          <w:p w14:paraId="59DA467D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EFB" w14:textId="5118D87A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-3,7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DF03" w14:textId="4267918C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4,5</w:t>
            </w:r>
          </w:p>
        </w:tc>
      </w:tr>
      <w:tr w:rsidR="007C5098" w:rsidRPr="00C6393F" w14:paraId="06E2A767" w14:textId="77777777" w:rsidTr="00E76EFF">
        <w:trPr>
          <w:trHeight w:val="397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92BBB07" w14:textId="5B4A87E7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Υγρ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αέριο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1DB2F6F4" w14:textId="3B6FD942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4.244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5B8A868" w14:textId="753E87B8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4.107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219FB5" w14:textId="6D9518CC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43.094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F8BB65" w14:textId="72B1DB3A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44.989   </w:t>
            </w:r>
          </w:p>
        </w:tc>
        <w:tc>
          <w:tcPr>
            <w:tcW w:w="240" w:type="dxa"/>
            <w:vAlign w:val="center"/>
          </w:tcPr>
          <w:p w14:paraId="15D5B0B9" w14:textId="77777777" w:rsidR="007C5098" w:rsidRPr="00C6393F" w:rsidRDefault="007C5098" w:rsidP="007C5098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D39E6F5" w14:textId="43840A7E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D355D7">
              <w:rPr>
                <w:rFonts w:ascii="Verdana" w:hAnsi="Verdana"/>
                <w:color w:val="2F5496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15E39F8" w14:textId="212A4E4F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-4,2</w:t>
            </w:r>
          </w:p>
        </w:tc>
      </w:tr>
      <w:bookmarkEnd w:id="3"/>
      <w:tr w:rsidR="007C5098" w:rsidRPr="00C6393F" w14:paraId="131C3CBA" w14:textId="77777777" w:rsidTr="00115B65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B45FA09" w14:textId="77777777" w:rsidR="007C5098" w:rsidRPr="00C6393F" w:rsidRDefault="007C5098" w:rsidP="007C5098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  <w:p w14:paraId="71C3D9BC" w14:textId="5D0606F6" w:rsidR="007C5098" w:rsidRPr="00C6393F" w:rsidRDefault="007C5098" w:rsidP="007C5098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</w:t>
            </w:r>
          </w:p>
          <w:p w14:paraId="403CD8C2" w14:textId="554C9DF4" w:rsidR="007C5098" w:rsidRPr="00C6393F" w:rsidRDefault="007C5098" w:rsidP="007C5098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954691C" w14:textId="1AD38483" w:rsidR="007C5098" w:rsidRPr="00C6393F" w:rsidRDefault="007C5098" w:rsidP="007C50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12C6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  135.250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65140D2" w14:textId="77B09A4F" w:rsidR="007C5098" w:rsidRPr="00C6393F" w:rsidRDefault="007C5098" w:rsidP="007C50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12C6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  130.67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7</w:t>
            </w:r>
            <w:r w:rsidRPr="00912C6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6630969F" w14:textId="63BE9E63" w:rsidR="007C5098" w:rsidRPr="00E76EFF" w:rsidRDefault="007C5098" w:rsidP="007C50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12C6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1.222.554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0F45E6" w14:textId="01DCBF76" w:rsidR="007C5098" w:rsidRPr="00E76EFF" w:rsidRDefault="007C5098" w:rsidP="007C50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12C6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1.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205</w:t>
            </w:r>
            <w:r w:rsidRPr="00912C6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997</w:t>
            </w:r>
            <w:r w:rsidRPr="00912C6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F50A5DC" w14:textId="77777777" w:rsidR="007C5098" w:rsidRPr="00C6393F" w:rsidRDefault="007C5098" w:rsidP="007C5098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F97739" w14:textId="130E8ED2" w:rsidR="007C5098" w:rsidRPr="00C6393F" w:rsidRDefault="007C5098" w:rsidP="007C5098">
            <w:pPr>
              <w:spacing w:after="240"/>
              <w:ind w:right="397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0A5FAA7D" w14:textId="5310A8AC" w:rsidR="007C5098" w:rsidRPr="007C5098" w:rsidRDefault="007C5098" w:rsidP="007C5098">
            <w:pPr>
              <w:spacing w:after="240"/>
              <w:ind w:right="397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</w:tr>
    </w:tbl>
    <w:p w14:paraId="4690FB2F" w14:textId="4CAD60FA" w:rsidR="00E21894" w:rsidRDefault="00E21894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BAFBEA3" w14:textId="77777777" w:rsidR="003C4AD2" w:rsidRPr="00B065C7" w:rsidRDefault="003C4AD2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1CD5888" w14:textId="77777777" w:rsidR="00B065C7" w:rsidRPr="003C4AD2" w:rsidRDefault="00B065C7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3C4AD2" w:rsidRPr="00C6393F" w14:paraId="5338DCD2" w14:textId="77777777" w:rsidTr="008676FA">
        <w:trPr>
          <w:trHeight w:val="411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E7C20DF" w14:textId="2E37B75D" w:rsidR="003C4AD2" w:rsidRPr="00C6393F" w:rsidRDefault="003C4AD2" w:rsidP="00EB6A3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 xml:space="preserve">Πίνακας </w:t>
            </w:r>
            <w:r w:rsidR="00BB6216"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7B060464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30E37A6C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21DC5216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1C45C919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C4072EA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F8542A4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65A59EF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3C4AD2" w:rsidRPr="00C6393F" w14:paraId="32ADF5E5" w14:textId="77777777" w:rsidTr="00510C81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77C4A91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457432" w14:textId="27F34523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Πωλήσεις από Πρατήρια Πετρελαιοειδών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1875BA3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0D33BE8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C2A41" w:rsidRPr="00C6393F" w14:paraId="78297752" w14:textId="77777777" w:rsidTr="00510C81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6BF1806" w14:textId="77777777" w:rsidR="001C2A41" w:rsidRPr="00C6393F" w:rsidRDefault="001C2A41" w:rsidP="001C2A41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09831B" w14:textId="41532CFD" w:rsidR="001C2A41" w:rsidRPr="00C6393F" w:rsidRDefault="00E76EFF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F7965A" w14:textId="17B0E50E" w:rsidR="001C2A41" w:rsidRPr="00C6393F" w:rsidRDefault="00E76EFF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C4FB1C5" w14:textId="4175B495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 w:rsidR="00E76EF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 w:rsidR="00E76EFF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8639973" w14:textId="5EB8F452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 w:rsidR="00E76EF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 w:rsidR="00E76EFF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6002A42C" w14:textId="77777777" w:rsidR="001C2A41" w:rsidRPr="00C6393F" w:rsidRDefault="001C2A41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D9656" w14:textId="4B0E9C72" w:rsidR="001C2A41" w:rsidRPr="00C6393F" w:rsidRDefault="00E76EFF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CB0AB7B" w14:textId="385D9068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E76EF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Οκτ</w:t>
            </w:r>
          </w:p>
          <w:p w14:paraId="4DDED1F5" w14:textId="50AF71DD" w:rsidR="001C2A41" w:rsidRPr="00C6393F" w:rsidRDefault="001C2A41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7C5098" w:rsidRPr="00C6393F" w14:paraId="73A005CA" w14:textId="77777777" w:rsidTr="00E76EFF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8464" w14:textId="4EA89DC7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Αμόλυ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AD70D" w14:textId="5373EAC4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29.289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0F0C" w14:textId="6F23F535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27.294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2CFC" w14:textId="24A84631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277.466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690E" w14:textId="2A2FFA8F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267.940   </w:t>
            </w:r>
          </w:p>
        </w:tc>
        <w:tc>
          <w:tcPr>
            <w:tcW w:w="240" w:type="dxa"/>
            <w:vAlign w:val="center"/>
          </w:tcPr>
          <w:p w14:paraId="2E78300E" w14:textId="77777777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85297" w14:textId="24D5A86E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4BF7" w14:textId="4CDED9D0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</w:tr>
      <w:tr w:rsidR="007C5098" w:rsidRPr="00C6393F" w14:paraId="3359A9A7" w14:textId="77777777" w:rsidTr="00E76EFF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9E5" w14:textId="66E194E6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CAF50" w14:textId="1D1B9AEE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364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8A31" w14:textId="4CE5853A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367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7CFF" w14:textId="33FC1EC6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4.360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44EF" w14:textId="1BF8F2D2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5.494   </w:t>
            </w:r>
          </w:p>
        </w:tc>
        <w:tc>
          <w:tcPr>
            <w:tcW w:w="240" w:type="dxa"/>
            <w:vAlign w:val="center"/>
          </w:tcPr>
          <w:p w14:paraId="3841803B" w14:textId="77777777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3791" w14:textId="4BA38BFA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913D" w14:textId="4ACA32C4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-20,6</w:t>
            </w:r>
          </w:p>
        </w:tc>
      </w:tr>
      <w:tr w:rsidR="007C5098" w:rsidRPr="00C6393F" w14:paraId="11FA7332" w14:textId="77777777" w:rsidTr="00E76EFF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3301" w14:textId="1877675B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75DD8" w14:textId="5BE801A3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25.277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EEF4" w14:textId="3093A410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23.400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C50F" w14:textId="2F8E676F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233.852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8FB0" w14:textId="22F4B702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227.563   </w:t>
            </w:r>
          </w:p>
        </w:tc>
        <w:tc>
          <w:tcPr>
            <w:tcW w:w="240" w:type="dxa"/>
            <w:vAlign w:val="center"/>
          </w:tcPr>
          <w:p w14:paraId="3A0F3877" w14:textId="77777777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0BC9" w14:textId="09222A38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2711" w14:textId="4D5407A0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2,8</w:t>
            </w:r>
          </w:p>
        </w:tc>
      </w:tr>
      <w:tr w:rsidR="007C5098" w:rsidRPr="00C6393F" w14:paraId="5E059E6A" w14:textId="77777777" w:rsidTr="00E76EFF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B99" w14:textId="19969EDB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Γεωργικό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3BC88" w14:textId="0390859E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1.586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7FFB" w14:textId="1793ACF2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1.306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7A1A" w14:textId="1FD939D8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12.319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20F3" w14:textId="15316723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11.514   </w:t>
            </w:r>
          </w:p>
        </w:tc>
        <w:tc>
          <w:tcPr>
            <w:tcW w:w="240" w:type="dxa"/>
            <w:vAlign w:val="center"/>
          </w:tcPr>
          <w:p w14:paraId="2FEFB42A" w14:textId="77777777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7757" w14:textId="691CEEFC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21,4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1468" w14:textId="791C21E3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7,0</w:t>
            </w:r>
          </w:p>
        </w:tc>
      </w:tr>
      <w:tr w:rsidR="007C5098" w:rsidRPr="00C6393F" w14:paraId="2BAA46A5" w14:textId="77777777" w:rsidTr="00E76EFF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109" w14:textId="79E6BEC6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Θέρμ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4E8A9" w14:textId="126ADAAE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3.505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4C52" w14:textId="39BFFADE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2.683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D716" w14:textId="6B264E27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34.003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0CAF" w14:textId="52E43B5A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37.654   </w:t>
            </w:r>
          </w:p>
        </w:tc>
        <w:tc>
          <w:tcPr>
            <w:tcW w:w="240" w:type="dxa"/>
            <w:vAlign w:val="center"/>
          </w:tcPr>
          <w:p w14:paraId="71FD570F" w14:textId="77777777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D137" w14:textId="6F3D5AC3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30,6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AB6" w14:textId="06C67354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-9,7</w:t>
            </w:r>
          </w:p>
        </w:tc>
      </w:tr>
      <w:tr w:rsidR="007C5098" w:rsidRPr="00C6393F" w14:paraId="04933586" w14:textId="77777777" w:rsidTr="00E76EFF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E934" w14:textId="3D5F55AA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Ελ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αφρύ Μα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351BF" w14:textId="75D34EF7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EEC4" w14:textId="1CD92855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C200" w14:textId="0C341EE5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325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49F4" w14:textId="69BBB312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372   </w:t>
            </w:r>
          </w:p>
        </w:tc>
        <w:tc>
          <w:tcPr>
            <w:tcW w:w="240" w:type="dxa"/>
            <w:vAlign w:val="center"/>
          </w:tcPr>
          <w:p w14:paraId="0917C1DA" w14:textId="77777777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821D" w14:textId="5887B412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7C08" w14:textId="3DF95F67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-12,6</w:t>
            </w:r>
          </w:p>
        </w:tc>
      </w:tr>
      <w:tr w:rsidR="007C5098" w:rsidRPr="00C6393F" w14:paraId="30CA887F" w14:textId="77777777" w:rsidTr="00E76EFF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E78F766" w14:textId="69A611BE" w:rsidR="007C5098" w:rsidRPr="00C6393F" w:rsidRDefault="007C5098" w:rsidP="007C5098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Λι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παντικά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Λάδι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21B7D3DB" w14:textId="67B8AC3D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62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473D32" w14:textId="5311E8A4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110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036953" w14:textId="125117FB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1.044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EC7DE8" w14:textId="5F886652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 xml:space="preserve"> 1.007   </w:t>
            </w:r>
          </w:p>
        </w:tc>
        <w:tc>
          <w:tcPr>
            <w:tcW w:w="240" w:type="dxa"/>
            <w:vAlign w:val="center"/>
          </w:tcPr>
          <w:p w14:paraId="50A6DE35" w14:textId="77777777" w:rsidR="007C5098" w:rsidRPr="00C6393F" w:rsidRDefault="007C5098" w:rsidP="007C5098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CA7888C" w14:textId="48D7978A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-43,6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22E2EEA" w14:textId="77D3FD7A" w:rsidR="007C5098" w:rsidRPr="00C6393F" w:rsidRDefault="007C5098" w:rsidP="007C5098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912C6E">
              <w:rPr>
                <w:rFonts w:ascii="Verdana" w:hAnsi="Verdana"/>
                <w:color w:val="2F5496"/>
                <w:sz w:val="18"/>
                <w:szCs w:val="18"/>
              </w:rPr>
              <w:t>3,7</w:t>
            </w:r>
          </w:p>
        </w:tc>
      </w:tr>
      <w:tr w:rsidR="007C5098" w:rsidRPr="00C6393F" w14:paraId="7697036F" w14:textId="77777777" w:rsidTr="007C5098">
        <w:trPr>
          <w:trHeight w:val="466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4E34088" w14:textId="77777777" w:rsidR="007C5098" w:rsidRPr="00C6393F" w:rsidRDefault="007C5098" w:rsidP="007C5098">
            <w:pPr>
              <w:spacing w:before="240" w:after="240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bookmarkStart w:id="4" w:name="_Hlk165035099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Σύνολο    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D2F9DC9" w14:textId="3C13C9D9" w:rsidR="007C5098" w:rsidRPr="00C6393F" w:rsidRDefault="007C5098" w:rsidP="007C50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12C6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60.113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26C515F1" w14:textId="732A9EAC" w:rsidR="007C5098" w:rsidRPr="00C6393F" w:rsidRDefault="007C5098" w:rsidP="007C50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12C6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55.192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E78402" w14:textId="7E0AF5B3" w:rsidR="007C5098" w:rsidRPr="00C6393F" w:rsidRDefault="007C5098" w:rsidP="007C50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12C6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563.369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59C0292D" w14:textId="3960985C" w:rsidR="007C5098" w:rsidRPr="00C6393F" w:rsidRDefault="007C5098" w:rsidP="007C50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12C6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551.544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F88548" w14:textId="77777777" w:rsidR="007C5098" w:rsidRPr="00C6393F" w:rsidRDefault="007C5098" w:rsidP="007C5098">
            <w:pPr>
              <w:spacing w:before="240"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1DDE24" w14:textId="7DA94338" w:rsidR="007C5098" w:rsidRPr="00C6393F" w:rsidRDefault="007C5098" w:rsidP="007C5098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8</w:t>
            </w:r>
            <w:r w:rsidRPr="00822FF5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,9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CDFF3C1" w14:textId="3C273B17" w:rsidR="007C5098" w:rsidRPr="00C6393F" w:rsidRDefault="007C5098" w:rsidP="007C5098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</w:t>
            </w:r>
            <w:r w:rsidRPr="00822FF5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</w:p>
        </w:tc>
      </w:tr>
      <w:bookmarkEnd w:id="4"/>
    </w:tbl>
    <w:p w14:paraId="3C3F793B" w14:textId="77777777" w:rsidR="003C4AD2" w:rsidRPr="003C4AD2" w:rsidRDefault="003C4AD2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07D54F5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C84E4F8" w14:textId="77777777" w:rsidR="00163319" w:rsidRPr="00A01476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E6B41EC" w14:textId="77777777" w:rsid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013E0FD" w14:textId="77777777" w:rsidR="00C0507F" w:rsidRDefault="00C0507F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51AB087" w14:textId="77777777" w:rsidR="00510C81" w:rsidRP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8755B2B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97CE836" w14:textId="7937714F" w:rsidR="00FB55A5" w:rsidRPr="00136365" w:rsidRDefault="00FB55A5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3C4AD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7E550AF" w14:textId="77777777" w:rsidR="00FB55A5" w:rsidRPr="003C4AD2" w:rsidRDefault="00FB55A5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>
        <w:fldChar w:fldCharType="begin"/>
      </w:r>
      <w:r>
        <w:instrText>HYPERLINK</w:instrText>
      </w:r>
      <w:r w:rsidRPr="009E223B">
        <w:rPr>
          <w:lang w:val="el-GR"/>
        </w:rPr>
        <w:instrText xml:space="preserve"> "</w:instrText>
      </w:r>
      <w:r>
        <w:instrText>https</w:instrText>
      </w:r>
      <w:r w:rsidRPr="009E223B">
        <w:rPr>
          <w:lang w:val="el-GR"/>
        </w:rPr>
        <w:instrText>://</w:instrText>
      </w:r>
      <w:r>
        <w:instrText>www</w:instrText>
      </w:r>
      <w:r w:rsidRPr="009E223B">
        <w:rPr>
          <w:lang w:val="el-GR"/>
        </w:rPr>
        <w:instrText>.</w:instrText>
      </w:r>
      <w:r>
        <w:instrText>cystat</w:instrText>
      </w:r>
      <w:r w:rsidRPr="009E223B">
        <w:rPr>
          <w:lang w:val="el-GR"/>
        </w:rPr>
        <w:instrText>.</w:instrText>
      </w:r>
      <w:r>
        <w:instrText>gov</w:instrText>
      </w:r>
      <w:r w:rsidRPr="009E223B">
        <w:rPr>
          <w:lang w:val="el-GR"/>
        </w:rPr>
        <w:instrText>.</w:instrText>
      </w:r>
      <w:r>
        <w:instrText>cy</w:instrText>
      </w:r>
      <w:r w:rsidRPr="009E223B">
        <w:rPr>
          <w:lang w:val="el-GR"/>
        </w:rPr>
        <w:instrText>/</w:instrText>
      </w:r>
      <w:r>
        <w:instrText>el</w:instrText>
      </w:r>
      <w:r w:rsidRPr="009E223B">
        <w:rPr>
          <w:lang w:val="el-GR"/>
        </w:rPr>
        <w:instrText>/</w:instrText>
      </w:r>
      <w:r>
        <w:instrText>SubthemeStatistics</w:instrText>
      </w:r>
      <w:r w:rsidRPr="009E223B">
        <w:rPr>
          <w:lang w:val="el-GR"/>
        </w:rPr>
        <w:instrText>?</w:instrText>
      </w:r>
      <w:r>
        <w:instrText>s</w:instrText>
      </w:r>
      <w:r w:rsidRPr="009E223B">
        <w:rPr>
          <w:lang w:val="el-GR"/>
        </w:rPr>
        <w:instrText>=34"</w:instrText>
      </w:r>
      <w:r>
        <w:fldChar w:fldCharType="separate"/>
      </w:r>
      <w:r w:rsidRPr="00C91550">
        <w:rPr>
          <w:rFonts w:ascii="Verdana" w:hAnsi="Verdana"/>
          <w:color w:val="0000FF"/>
          <w:sz w:val="18"/>
          <w:szCs w:val="18"/>
          <w:u w:val="single"/>
          <w:lang w:val="el-GR"/>
        </w:rPr>
        <w:t>Ενέργεια</w:t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end"/>
      </w:r>
    </w:p>
    <w:p w14:paraId="5F5DFA6F" w14:textId="77777777" w:rsidR="00C91550" w:rsidRPr="00C91550" w:rsidRDefault="00C91550" w:rsidP="00C91550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9E223B">
        <w:rPr>
          <w:lang w:val="el-GR"/>
        </w:rPr>
        <w:instrText xml:space="preserve"> "</w:instrText>
      </w:r>
      <w:r>
        <w:instrText>https</w:instrText>
      </w:r>
      <w:r w:rsidRPr="009E223B">
        <w:rPr>
          <w:lang w:val="el-GR"/>
        </w:rPr>
        <w:instrText>://</w:instrText>
      </w:r>
      <w:r>
        <w:instrText>cystatdb</w:instrText>
      </w:r>
      <w:r w:rsidRPr="009E223B">
        <w:rPr>
          <w:lang w:val="el-GR"/>
        </w:rPr>
        <w:instrText>.</w:instrText>
      </w:r>
      <w:r>
        <w:instrText>cystat</w:instrText>
      </w:r>
      <w:r w:rsidRPr="009E223B">
        <w:rPr>
          <w:lang w:val="el-GR"/>
        </w:rPr>
        <w:instrText>.</w:instrText>
      </w:r>
      <w:r>
        <w:instrText>gov</w:instrText>
      </w:r>
      <w:r w:rsidRPr="009E223B">
        <w:rPr>
          <w:lang w:val="el-GR"/>
        </w:rPr>
        <w:instrText>.</w:instrText>
      </w:r>
      <w:r>
        <w:instrText>cy</w:instrText>
      </w:r>
      <w:r w:rsidRPr="009E223B">
        <w:rPr>
          <w:lang w:val="el-GR"/>
        </w:rPr>
        <w:instrText>/</w:instrText>
      </w:r>
      <w:r>
        <w:instrText>pxweb</w:instrText>
      </w:r>
      <w:r w:rsidRPr="009E223B">
        <w:rPr>
          <w:lang w:val="el-GR"/>
        </w:rPr>
        <w:instrText>/</w:instrText>
      </w:r>
      <w:r>
        <w:instrText>el</w:instrText>
      </w:r>
      <w:r w:rsidRPr="009E223B">
        <w:rPr>
          <w:lang w:val="el-GR"/>
        </w:rPr>
        <w:instrText>/8.</w:instrText>
      </w:r>
      <w:r>
        <w:instrText>CYSTAT</w:instrText>
      </w:r>
      <w:r w:rsidRPr="009E223B">
        <w:rPr>
          <w:lang w:val="el-GR"/>
        </w:rPr>
        <w:instrText>-</w:instrText>
      </w:r>
      <w:r>
        <w:instrText>DB</w:instrText>
      </w:r>
      <w:r w:rsidRPr="009E223B">
        <w:rPr>
          <w:lang w:val="el-GR"/>
        </w:rPr>
        <w:instrText>/8.</w:instrText>
      </w:r>
      <w:r>
        <w:instrText>CYSTAT</w:instrText>
      </w:r>
      <w:r w:rsidRPr="009E223B">
        <w:rPr>
          <w:lang w:val="el-GR"/>
        </w:rPr>
        <w:instrText>-</w:instrText>
      </w:r>
      <w:r>
        <w:instrText>DB</w:instrText>
      </w:r>
      <w:r w:rsidRPr="009E223B">
        <w:rPr>
          <w:lang w:val="el-GR"/>
        </w:rPr>
        <w:instrText>__</w:instrText>
      </w:r>
      <w:r>
        <w:instrText>Energy</w:instrText>
      </w:r>
      <w:r w:rsidRPr="009E223B">
        <w:rPr>
          <w:lang w:val="el-GR"/>
        </w:rPr>
        <w:instrText>__"</w:instrText>
      </w:r>
      <w:r>
        <w:fldChar w:fldCharType="separate"/>
      </w:r>
      <w:r w:rsidRPr="00C91550">
        <w:rPr>
          <w:rFonts w:ascii="Verdana" w:hAnsi="Verdana"/>
          <w:color w:val="0000FF"/>
          <w:sz w:val="18"/>
          <w:szCs w:val="18"/>
          <w:u w:val="single"/>
        </w:rPr>
        <w:t>CYSTAT</w:t>
      </w:r>
      <w:r w:rsidRPr="00C91550">
        <w:rPr>
          <w:rFonts w:ascii="Verdana" w:hAnsi="Verdana"/>
          <w:color w:val="0000FF"/>
          <w:sz w:val="18"/>
          <w:szCs w:val="18"/>
          <w:u w:val="single"/>
          <w:lang w:val="el-GR"/>
        </w:rPr>
        <w:t>-</w:t>
      </w:r>
      <w:r w:rsidRPr="00C91550">
        <w:rPr>
          <w:rFonts w:ascii="Verdana" w:hAnsi="Verdana"/>
          <w:color w:val="0000FF"/>
          <w:sz w:val="18"/>
          <w:szCs w:val="18"/>
          <w:u w:val="single"/>
        </w:rPr>
        <w:t>DB</w:t>
      </w:r>
      <w:r>
        <w:rPr>
          <w:rFonts w:ascii="Verdana" w:hAnsi="Verdana"/>
          <w:color w:val="0000FF"/>
          <w:sz w:val="18"/>
          <w:szCs w:val="18"/>
          <w:u w:val="single"/>
        </w:rPr>
        <w:fldChar w:fldCharType="end"/>
      </w:r>
      <w:r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C91550" w:rsidP="00C91550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9E223B">
        <w:rPr>
          <w:lang w:val="el-GR"/>
        </w:rPr>
        <w:instrText xml:space="preserve"> "</w:instrText>
      </w:r>
      <w:r>
        <w:instrText>https</w:instrText>
      </w:r>
      <w:r w:rsidRPr="009E223B">
        <w:rPr>
          <w:lang w:val="el-GR"/>
        </w:rPr>
        <w:instrText>://</w:instrText>
      </w:r>
      <w:r>
        <w:instrText>www</w:instrText>
      </w:r>
      <w:r w:rsidRPr="009E223B">
        <w:rPr>
          <w:lang w:val="el-GR"/>
        </w:rPr>
        <w:instrText>.</w:instrText>
      </w:r>
      <w:r>
        <w:instrText>cystat</w:instrText>
      </w:r>
      <w:r w:rsidRPr="009E223B">
        <w:rPr>
          <w:lang w:val="el-GR"/>
        </w:rPr>
        <w:instrText>.</w:instrText>
      </w:r>
      <w:r>
        <w:instrText>gov</w:instrText>
      </w:r>
      <w:r w:rsidRPr="009E223B">
        <w:rPr>
          <w:lang w:val="el-GR"/>
        </w:rPr>
        <w:instrText>.</w:instrText>
      </w:r>
      <w:r>
        <w:instrText>cy</w:instrText>
      </w:r>
      <w:r w:rsidRPr="009E223B">
        <w:rPr>
          <w:lang w:val="el-GR"/>
        </w:rPr>
        <w:instrText>/</w:instrText>
      </w:r>
      <w:r>
        <w:instrText>el</w:instrText>
      </w:r>
      <w:r w:rsidRPr="009E223B">
        <w:rPr>
          <w:lang w:val="el-GR"/>
        </w:rPr>
        <w:instrText>/</w:instrText>
      </w:r>
      <w:r>
        <w:instrText>KeyFiguresList</w:instrText>
      </w:r>
      <w:r w:rsidRPr="009E223B">
        <w:rPr>
          <w:lang w:val="el-GR"/>
        </w:rPr>
        <w:instrText>?</w:instrText>
      </w:r>
      <w:r>
        <w:instrText>s</w:instrText>
      </w:r>
      <w:r w:rsidRPr="009E223B">
        <w:rPr>
          <w:lang w:val="el-GR"/>
        </w:rPr>
        <w:instrText>=34"</w:instrText>
      </w:r>
      <w:r>
        <w:fldChar w:fldCharType="separate"/>
      </w:r>
      <w:r w:rsidRPr="00C91550">
        <w:rPr>
          <w:rFonts w:ascii="Verdana" w:hAnsi="Verdana"/>
          <w:color w:val="0000FF"/>
          <w:sz w:val="18"/>
          <w:szCs w:val="18"/>
          <w:u w:val="single"/>
          <w:lang w:val="el-GR"/>
        </w:rPr>
        <w:t>Προκαθορισμένοι Πίνακες</w:t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end"/>
      </w:r>
      <w:r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Pr="00C91550">
        <w:rPr>
          <w:rFonts w:ascii="Verdana" w:hAnsi="Verdana"/>
          <w:sz w:val="18"/>
          <w:szCs w:val="18"/>
        </w:rPr>
        <w:t>Excel</w:t>
      </w:r>
      <w:r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3D646B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9E223B">
        <w:rPr>
          <w:lang w:val="el-GR"/>
        </w:rPr>
        <w:instrText xml:space="preserve"> "</w:instrText>
      </w:r>
      <w:r>
        <w:instrText>https</w:instrText>
      </w:r>
      <w:r w:rsidRPr="009E223B">
        <w:rPr>
          <w:lang w:val="el-GR"/>
        </w:rPr>
        <w:instrText>://</w:instrText>
      </w:r>
      <w:r>
        <w:instrText>www</w:instrText>
      </w:r>
      <w:r w:rsidRPr="009E223B">
        <w:rPr>
          <w:lang w:val="el-GR"/>
        </w:rPr>
        <w:instrText>.</w:instrText>
      </w:r>
      <w:r>
        <w:instrText>cystat</w:instrText>
      </w:r>
      <w:r w:rsidRPr="009E223B">
        <w:rPr>
          <w:lang w:val="el-GR"/>
        </w:rPr>
        <w:instrText>.</w:instrText>
      </w:r>
      <w:r>
        <w:instrText>gov</w:instrText>
      </w:r>
      <w:r w:rsidRPr="009E223B">
        <w:rPr>
          <w:lang w:val="el-GR"/>
        </w:rPr>
        <w:instrText>.</w:instrText>
      </w:r>
      <w:r>
        <w:instrText>cy</w:instrText>
      </w:r>
      <w:r w:rsidRPr="009E223B">
        <w:rPr>
          <w:lang w:val="el-GR"/>
        </w:rPr>
        <w:instrText>/</w:instrText>
      </w:r>
      <w:r>
        <w:instrText>el</w:instrText>
      </w:r>
      <w:r w:rsidRPr="009E223B">
        <w:rPr>
          <w:lang w:val="el-GR"/>
        </w:rPr>
        <w:instrText>/</w:instrText>
      </w:r>
      <w:r>
        <w:instrText>MethodologicalDetails</w:instrText>
      </w:r>
      <w:r w:rsidRPr="009E223B">
        <w:rPr>
          <w:lang w:val="el-GR"/>
        </w:rPr>
        <w:instrText>?</w:instrText>
      </w:r>
      <w:r>
        <w:instrText>m</w:instrText>
      </w:r>
      <w:r w:rsidRPr="009E223B">
        <w:rPr>
          <w:lang w:val="el-GR"/>
        </w:rPr>
        <w:instrText>=2195" \</w:instrText>
      </w:r>
      <w:r>
        <w:instrText>o</w:instrText>
      </w:r>
      <w:r w:rsidRPr="009E223B">
        <w:rPr>
          <w:lang w:val="el-GR"/>
        </w:rPr>
        <w:instrText xml:space="preserve"> "Μεθοδολογικές Πληροφορίες"</w:instrText>
      </w:r>
      <w:r>
        <w:fldChar w:fldCharType="separate"/>
      </w:r>
      <w:r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Μεθοδολογικές Πληροφορίες</w:t>
      </w:r>
      <w:r>
        <w:rPr>
          <w:rStyle w:val="Hyperlink"/>
          <w:rFonts w:ascii="Verdana" w:eastAsia="Malgun Gothic" w:hAnsi="Verdana" w:cs="Arial"/>
          <w:sz w:val="18"/>
          <w:szCs w:val="18"/>
          <w:lang w:val="el-GR"/>
        </w:rPr>
        <w:fldChar w:fldCharType="end"/>
      </w:r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9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CA7C8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D442C" w14:textId="77777777" w:rsidR="00800E0C" w:rsidRDefault="00800E0C" w:rsidP="00FB398F">
      <w:r>
        <w:separator/>
      </w:r>
    </w:p>
  </w:endnote>
  <w:endnote w:type="continuationSeparator" w:id="0">
    <w:p w14:paraId="65946315" w14:textId="77777777" w:rsidR="00800E0C" w:rsidRDefault="00800E0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BE11" w14:textId="77777777" w:rsidR="004E4F42" w:rsidRPr="009E223B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9E223B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9E223B">
      <w:rPr>
        <w:rFonts w:ascii="Verdana" w:hAnsi="Verdana" w:cs="Arial"/>
        <w:sz w:val="16"/>
        <w:szCs w:val="16"/>
        <w:lang w:val="el-GR"/>
      </w:rPr>
      <w:t>ήλ</w:t>
    </w:r>
    <w:r w:rsidRPr="009E223B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9E223B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9E223B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22C6C2A" w14:textId="02A263F7" w:rsidR="004E4F42" w:rsidRPr="009E223B" w:rsidRDefault="00D67EF5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9E223B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9E223B">
      <w:rPr>
        <w:rFonts w:ascii="Verdana" w:hAnsi="Verdana" w:cs="Arial"/>
        <w:sz w:val="16"/>
        <w:szCs w:val="16"/>
        <w:lang w:val="el-GR"/>
      </w:rPr>
      <w:t>.:  22 602129</w:t>
    </w:r>
    <w:r w:rsidR="004E4F42" w:rsidRPr="009E223B">
      <w:rPr>
        <w:rFonts w:ascii="Verdana" w:hAnsi="Verdana" w:cs="Arial"/>
        <w:sz w:val="16"/>
        <w:szCs w:val="16"/>
        <w:lang w:val="de-DE"/>
      </w:rPr>
      <w:t xml:space="preserve">, E-mail: </w:t>
    </w:r>
    <w:hyperlink r:id="rId1" w:history="1">
      <w:r w:rsidR="004E4F42" w:rsidRPr="009E223B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="004E4F42" w:rsidRPr="009E223B">
      <w:rPr>
        <w:rFonts w:ascii="Verdana" w:hAnsi="Verdana" w:cs="Arial"/>
        <w:sz w:val="16"/>
        <w:szCs w:val="16"/>
        <w:lang w:val="de-DE"/>
      </w:rPr>
      <w:t xml:space="preserve">  </w:t>
    </w:r>
  </w:p>
  <w:p w14:paraId="3D3E66DE" w14:textId="4DAE238B" w:rsidR="004E4F42" w:rsidRPr="00D53DB2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8"/>
        <w:szCs w:val="18"/>
      </w:rPr>
    </w:pPr>
    <w:r w:rsidRPr="009E223B">
      <w:rPr>
        <w:rFonts w:ascii="Verdana" w:hAnsi="Verdana" w:cs="Arial"/>
        <w:sz w:val="16"/>
        <w:szCs w:val="16"/>
      </w:rPr>
      <w:t xml:space="preserve">Web </w:t>
    </w:r>
    <w:r w:rsidR="009E223B">
      <w:rPr>
        <w:rFonts w:ascii="Verdana" w:hAnsi="Verdana" w:cs="Arial"/>
        <w:sz w:val="16"/>
        <w:szCs w:val="16"/>
      </w:rPr>
      <w:t>Portal</w:t>
    </w:r>
    <w:r w:rsidRPr="009E223B">
      <w:rPr>
        <w:rFonts w:ascii="Verdana" w:hAnsi="Verdana" w:cs="Arial"/>
        <w:sz w:val="16"/>
        <w:szCs w:val="16"/>
      </w:rPr>
      <w:t xml:space="preserve">: </w:t>
    </w:r>
    <w:hyperlink r:id="rId2" w:history="1">
      <w:r w:rsidRPr="009E223B">
        <w:rPr>
          <w:rStyle w:val="Hyperlink"/>
          <w:rFonts w:ascii="Verdana" w:hAnsi="Verdana" w:cs="Arial"/>
          <w:sz w:val="16"/>
          <w:szCs w:val="16"/>
        </w:rPr>
        <w:t>http://www.cystat</w:t>
      </w:r>
      <w:r w:rsidRPr="009E223B">
        <w:rPr>
          <w:rStyle w:val="Hyperlink"/>
          <w:rFonts w:ascii="Verdana" w:hAnsi="Verdana" w:cs="Arial"/>
          <w:sz w:val="16"/>
          <w:szCs w:val="16"/>
          <w:lang w:val="en-GB"/>
        </w:rPr>
        <w:t>.</w:t>
      </w:r>
      <w:r w:rsidRPr="009E223B">
        <w:rPr>
          <w:rStyle w:val="Hyperlink"/>
          <w:rFonts w:ascii="Verdana" w:hAnsi="Verdana" w:cs="Arial"/>
          <w:sz w:val="16"/>
          <w:szCs w:val="16"/>
        </w:rPr>
        <w:t>gov.cy</w:t>
      </w:r>
    </w:hyperlink>
    <w:r w:rsidRPr="00D53DB2">
      <w:rPr>
        <w:rFonts w:ascii="Verdana" w:hAnsi="Verdana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1FDC4" w14:textId="77777777" w:rsidR="00800E0C" w:rsidRDefault="00800E0C" w:rsidP="00FB398F">
      <w:r>
        <w:separator/>
      </w:r>
    </w:p>
  </w:footnote>
  <w:footnote w:type="continuationSeparator" w:id="0">
    <w:p w14:paraId="637A350B" w14:textId="77777777" w:rsidR="00800E0C" w:rsidRDefault="00800E0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280625191" name="Picture 2806251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280625191" name="Picture 2806251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51448476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582652852" name="Picture 5826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64958">
    <w:abstractNumId w:val="5"/>
  </w:num>
  <w:num w:numId="2" w16cid:durableId="1187255236">
    <w:abstractNumId w:val="2"/>
  </w:num>
  <w:num w:numId="3" w16cid:durableId="1238712794">
    <w:abstractNumId w:val="3"/>
  </w:num>
  <w:num w:numId="4" w16cid:durableId="1960528035">
    <w:abstractNumId w:val="4"/>
  </w:num>
  <w:num w:numId="5" w16cid:durableId="1260721549">
    <w:abstractNumId w:val="1"/>
  </w:num>
  <w:num w:numId="6" w16cid:durableId="1977300591">
    <w:abstractNumId w:val="6"/>
  </w:num>
  <w:num w:numId="7" w16cid:durableId="13885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B46"/>
    <w:rsid w:val="00002458"/>
    <w:rsid w:val="00002D1E"/>
    <w:rsid w:val="00004E08"/>
    <w:rsid w:val="0000542E"/>
    <w:rsid w:val="000059B2"/>
    <w:rsid w:val="00007B44"/>
    <w:rsid w:val="00012EC9"/>
    <w:rsid w:val="00013E40"/>
    <w:rsid w:val="00014077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5345"/>
    <w:rsid w:val="0003603D"/>
    <w:rsid w:val="000365A4"/>
    <w:rsid w:val="00036C99"/>
    <w:rsid w:val="00037401"/>
    <w:rsid w:val="00045088"/>
    <w:rsid w:val="00045390"/>
    <w:rsid w:val="00045A06"/>
    <w:rsid w:val="0004770A"/>
    <w:rsid w:val="00050391"/>
    <w:rsid w:val="00050EC8"/>
    <w:rsid w:val="00053C92"/>
    <w:rsid w:val="00055291"/>
    <w:rsid w:val="00055BB9"/>
    <w:rsid w:val="0005625D"/>
    <w:rsid w:val="000563D3"/>
    <w:rsid w:val="00057162"/>
    <w:rsid w:val="00057E44"/>
    <w:rsid w:val="00061299"/>
    <w:rsid w:val="00066FA8"/>
    <w:rsid w:val="000671E6"/>
    <w:rsid w:val="00070576"/>
    <w:rsid w:val="00072074"/>
    <w:rsid w:val="00073C3D"/>
    <w:rsid w:val="00074B9A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2728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1378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4B90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1CA"/>
    <w:rsid w:val="001353D3"/>
    <w:rsid w:val="00136365"/>
    <w:rsid w:val="00142848"/>
    <w:rsid w:val="00143ED6"/>
    <w:rsid w:val="0015118B"/>
    <w:rsid w:val="001519CE"/>
    <w:rsid w:val="001530A1"/>
    <w:rsid w:val="001540D4"/>
    <w:rsid w:val="00161CF3"/>
    <w:rsid w:val="00162C00"/>
    <w:rsid w:val="00163319"/>
    <w:rsid w:val="001639EF"/>
    <w:rsid w:val="00163D46"/>
    <w:rsid w:val="001648A2"/>
    <w:rsid w:val="0016589F"/>
    <w:rsid w:val="001702EA"/>
    <w:rsid w:val="00172B2C"/>
    <w:rsid w:val="0017769A"/>
    <w:rsid w:val="00181155"/>
    <w:rsid w:val="0018250A"/>
    <w:rsid w:val="00183DFC"/>
    <w:rsid w:val="00184384"/>
    <w:rsid w:val="0018527E"/>
    <w:rsid w:val="001855A9"/>
    <w:rsid w:val="0018595E"/>
    <w:rsid w:val="00186717"/>
    <w:rsid w:val="00187789"/>
    <w:rsid w:val="00187FFC"/>
    <w:rsid w:val="00194386"/>
    <w:rsid w:val="001959E3"/>
    <w:rsid w:val="00197474"/>
    <w:rsid w:val="00197FEA"/>
    <w:rsid w:val="001A1480"/>
    <w:rsid w:val="001A2018"/>
    <w:rsid w:val="001A2191"/>
    <w:rsid w:val="001A2DB7"/>
    <w:rsid w:val="001A4860"/>
    <w:rsid w:val="001A4C47"/>
    <w:rsid w:val="001B08E9"/>
    <w:rsid w:val="001B1BD4"/>
    <w:rsid w:val="001B2C39"/>
    <w:rsid w:val="001B3675"/>
    <w:rsid w:val="001B5E10"/>
    <w:rsid w:val="001B6AB3"/>
    <w:rsid w:val="001B72D1"/>
    <w:rsid w:val="001B73D5"/>
    <w:rsid w:val="001B7F49"/>
    <w:rsid w:val="001C0681"/>
    <w:rsid w:val="001C22B4"/>
    <w:rsid w:val="001C2A41"/>
    <w:rsid w:val="001C361A"/>
    <w:rsid w:val="001C549B"/>
    <w:rsid w:val="001C62B3"/>
    <w:rsid w:val="001C6A58"/>
    <w:rsid w:val="001C6D54"/>
    <w:rsid w:val="001C7C8C"/>
    <w:rsid w:val="001D0D6A"/>
    <w:rsid w:val="001D0F04"/>
    <w:rsid w:val="001D20A4"/>
    <w:rsid w:val="001D53A1"/>
    <w:rsid w:val="001E00D1"/>
    <w:rsid w:val="001E0E58"/>
    <w:rsid w:val="001E14F3"/>
    <w:rsid w:val="001E15ED"/>
    <w:rsid w:val="001E2017"/>
    <w:rsid w:val="001E3856"/>
    <w:rsid w:val="001E47CD"/>
    <w:rsid w:val="001E61AA"/>
    <w:rsid w:val="001E748F"/>
    <w:rsid w:val="001E7658"/>
    <w:rsid w:val="001F5381"/>
    <w:rsid w:val="001F5498"/>
    <w:rsid w:val="001F7A5C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111C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67FC1"/>
    <w:rsid w:val="00273C8A"/>
    <w:rsid w:val="0027474C"/>
    <w:rsid w:val="00274E2B"/>
    <w:rsid w:val="002818A5"/>
    <w:rsid w:val="00281B73"/>
    <w:rsid w:val="00281D55"/>
    <w:rsid w:val="0028338F"/>
    <w:rsid w:val="0028381B"/>
    <w:rsid w:val="002846E4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2C3C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07774"/>
    <w:rsid w:val="00312264"/>
    <w:rsid w:val="00312C52"/>
    <w:rsid w:val="00313F37"/>
    <w:rsid w:val="003141D0"/>
    <w:rsid w:val="003168C1"/>
    <w:rsid w:val="00321277"/>
    <w:rsid w:val="00322FBE"/>
    <w:rsid w:val="00325570"/>
    <w:rsid w:val="00325632"/>
    <w:rsid w:val="003263AF"/>
    <w:rsid w:val="00327549"/>
    <w:rsid w:val="003341A3"/>
    <w:rsid w:val="003342A5"/>
    <w:rsid w:val="00334616"/>
    <w:rsid w:val="003347C1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0751"/>
    <w:rsid w:val="0038153A"/>
    <w:rsid w:val="00383AC7"/>
    <w:rsid w:val="0038476B"/>
    <w:rsid w:val="00386FC7"/>
    <w:rsid w:val="00390A32"/>
    <w:rsid w:val="00397055"/>
    <w:rsid w:val="003A0859"/>
    <w:rsid w:val="003A1142"/>
    <w:rsid w:val="003A1E91"/>
    <w:rsid w:val="003A241F"/>
    <w:rsid w:val="003A40F2"/>
    <w:rsid w:val="003A43E9"/>
    <w:rsid w:val="003A4A6B"/>
    <w:rsid w:val="003A50D1"/>
    <w:rsid w:val="003A667A"/>
    <w:rsid w:val="003B0DC2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4AD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504"/>
    <w:rsid w:val="003E0CE2"/>
    <w:rsid w:val="003E2627"/>
    <w:rsid w:val="003E3E46"/>
    <w:rsid w:val="003E6FF5"/>
    <w:rsid w:val="003F118C"/>
    <w:rsid w:val="003F1C6D"/>
    <w:rsid w:val="003F2CBC"/>
    <w:rsid w:val="003F2E4E"/>
    <w:rsid w:val="003F452B"/>
    <w:rsid w:val="003F45FC"/>
    <w:rsid w:val="003F49E4"/>
    <w:rsid w:val="003F4D2F"/>
    <w:rsid w:val="003F5E32"/>
    <w:rsid w:val="003F69B6"/>
    <w:rsid w:val="003F75F6"/>
    <w:rsid w:val="003F7F2C"/>
    <w:rsid w:val="00401210"/>
    <w:rsid w:val="004037A2"/>
    <w:rsid w:val="00404670"/>
    <w:rsid w:val="00404939"/>
    <w:rsid w:val="00405879"/>
    <w:rsid w:val="0040784F"/>
    <w:rsid w:val="00414B61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925"/>
    <w:rsid w:val="00446FB1"/>
    <w:rsid w:val="0045145A"/>
    <w:rsid w:val="00451664"/>
    <w:rsid w:val="00452753"/>
    <w:rsid w:val="0045603D"/>
    <w:rsid w:val="0046078F"/>
    <w:rsid w:val="00463214"/>
    <w:rsid w:val="0046434D"/>
    <w:rsid w:val="00464F69"/>
    <w:rsid w:val="00464FEB"/>
    <w:rsid w:val="004656FA"/>
    <w:rsid w:val="00471C9C"/>
    <w:rsid w:val="00471D77"/>
    <w:rsid w:val="00475566"/>
    <w:rsid w:val="00475587"/>
    <w:rsid w:val="00480BC2"/>
    <w:rsid w:val="00486698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A6809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B7F49"/>
    <w:rsid w:val="004C0966"/>
    <w:rsid w:val="004C2A4B"/>
    <w:rsid w:val="004C390D"/>
    <w:rsid w:val="004C394D"/>
    <w:rsid w:val="004C6340"/>
    <w:rsid w:val="004C6CA7"/>
    <w:rsid w:val="004D071F"/>
    <w:rsid w:val="004D206C"/>
    <w:rsid w:val="004D2721"/>
    <w:rsid w:val="004D4357"/>
    <w:rsid w:val="004D4950"/>
    <w:rsid w:val="004D6896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5BE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0C81"/>
    <w:rsid w:val="0051107B"/>
    <w:rsid w:val="00512CE8"/>
    <w:rsid w:val="00512F9C"/>
    <w:rsid w:val="005132ED"/>
    <w:rsid w:val="00514E41"/>
    <w:rsid w:val="00521DFE"/>
    <w:rsid w:val="00523C5A"/>
    <w:rsid w:val="00527CDB"/>
    <w:rsid w:val="00531E88"/>
    <w:rsid w:val="005335B9"/>
    <w:rsid w:val="005341C9"/>
    <w:rsid w:val="005354D2"/>
    <w:rsid w:val="005369CA"/>
    <w:rsid w:val="00536D0B"/>
    <w:rsid w:val="00536DE9"/>
    <w:rsid w:val="00536F27"/>
    <w:rsid w:val="00540703"/>
    <w:rsid w:val="00541DE3"/>
    <w:rsid w:val="00541E08"/>
    <w:rsid w:val="00542B81"/>
    <w:rsid w:val="0054336E"/>
    <w:rsid w:val="00545330"/>
    <w:rsid w:val="0054539D"/>
    <w:rsid w:val="00545F21"/>
    <w:rsid w:val="0055360F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024"/>
    <w:rsid w:val="005765CB"/>
    <w:rsid w:val="00583042"/>
    <w:rsid w:val="00586F56"/>
    <w:rsid w:val="00591B64"/>
    <w:rsid w:val="005978D4"/>
    <w:rsid w:val="00597A21"/>
    <w:rsid w:val="005A0D3D"/>
    <w:rsid w:val="005A1338"/>
    <w:rsid w:val="005A19B8"/>
    <w:rsid w:val="005A23FA"/>
    <w:rsid w:val="005A5DA8"/>
    <w:rsid w:val="005B2A67"/>
    <w:rsid w:val="005B2F45"/>
    <w:rsid w:val="005B3DCD"/>
    <w:rsid w:val="005B4AD4"/>
    <w:rsid w:val="005B5602"/>
    <w:rsid w:val="005B61F8"/>
    <w:rsid w:val="005B7655"/>
    <w:rsid w:val="005B790A"/>
    <w:rsid w:val="005C2798"/>
    <w:rsid w:val="005C36C3"/>
    <w:rsid w:val="005C56DD"/>
    <w:rsid w:val="005C56EE"/>
    <w:rsid w:val="005D0138"/>
    <w:rsid w:val="005D1714"/>
    <w:rsid w:val="005D2AED"/>
    <w:rsid w:val="005D6116"/>
    <w:rsid w:val="005D760E"/>
    <w:rsid w:val="005D7638"/>
    <w:rsid w:val="005E523C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057"/>
    <w:rsid w:val="006007C7"/>
    <w:rsid w:val="006044B7"/>
    <w:rsid w:val="006052E8"/>
    <w:rsid w:val="006071CE"/>
    <w:rsid w:val="006075B5"/>
    <w:rsid w:val="0061018C"/>
    <w:rsid w:val="0061094E"/>
    <w:rsid w:val="00613440"/>
    <w:rsid w:val="00613924"/>
    <w:rsid w:val="00613BE3"/>
    <w:rsid w:val="00613D45"/>
    <w:rsid w:val="00613F84"/>
    <w:rsid w:val="00615E04"/>
    <w:rsid w:val="0062327B"/>
    <w:rsid w:val="00624B50"/>
    <w:rsid w:val="00627ACA"/>
    <w:rsid w:val="00630B00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0B46"/>
    <w:rsid w:val="00651C4C"/>
    <w:rsid w:val="006537BB"/>
    <w:rsid w:val="00653A57"/>
    <w:rsid w:val="00655DC1"/>
    <w:rsid w:val="0065643E"/>
    <w:rsid w:val="00660C23"/>
    <w:rsid w:val="00661C97"/>
    <w:rsid w:val="0066453F"/>
    <w:rsid w:val="00665974"/>
    <w:rsid w:val="00667E07"/>
    <w:rsid w:val="00670DB4"/>
    <w:rsid w:val="00671785"/>
    <w:rsid w:val="00672BA9"/>
    <w:rsid w:val="00673005"/>
    <w:rsid w:val="00676AA8"/>
    <w:rsid w:val="006804BE"/>
    <w:rsid w:val="006816AF"/>
    <w:rsid w:val="0068198A"/>
    <w:rsid w:val="00682706"/>
    <w:rsid w:val="00682728"/>
    <w:rsid w:val="00682A83"/>
    <w:rsid w:val="0068434A"/>
    <w:rsid w:val="00685018"/>
    <w:rsid w:val="00687772"/>
    <w:rsid w:val="0069008E"/>
    <w:rsid w:val="0069087E"/>
    <w:rsid w:val="006925C4"/>
    <w:rsid w:val="00696D73"/>
    <w:rsid w:val="006A02B7"/>
    <w:rsid w:val="006A5E05"/>
    <w:rsid w:val="006A6AD8"/>
    <w:rsid w:val="006A7019"/>
    <w:rsid w:val="006B356D"/>
    <w:rsid w:val="006B46D5"/>
    <w:rsid w:val="006B46F4"/>
    <w:rsid w:val="006B4ABA"/>
    <w:rsid w:val="006B59F1"/>
    <w:rsid w:val="006C06F3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4DE1"/>
    <w:rsid w:val="00705C5C"/>
    <w:rsid w:val="00710C61"/>
    <w:rsid w:val="00711475"/>
    <w:rsid w:val="007116CE"/>
    <w:rsid w:val="00712158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0F5D"/>
    <w:rsid w:val="007534F8"/>
    <w:rsid w:val="0075413E"/>
    <w:rsid w:val="007545AD"/>
    <w:rsid w:val="007561CE"/>
    <w:rsid w:val="00757ADE"/>
    <w:rsid w:val="007605FE"/>
    <w:rsid w:val="00761142"/>
    <w:rsid w:val="00761B55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0D30"/>
    <w:rsid w:val="00783241"/>
    <w:rsid w:val="00784BDC"/>
    <w:rsid w:val="00785684"/>
    <w:rsid w:val="00786CF4"/>
    <w:rsid w:val="00790D18"/>
    <w:rsid w:val="007924A2"/>
    <w:rsid w:val="00792F28"/>
    <w:rsid w:val="007946A6"/>
    <w:rsid w:val="0079543F"/>
    <w:rsid w:val="00795880"/>
    <w:rsid w:val="007A1268"/>
    <w:rsid w:val="007A15D5"/>
    <w:rsid w:val="007A193E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7BC"/>
    <w:rsid w:val="007B693D"/>
    <w:rsid w:val="007C1738"/>
    <w:rsid w:val="007C1EA2"/>
    <w:rsid w:val="007C4CDC"/>
    <w:rsid w:val="007C5098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A89"/>
    <w:rsid w:val="007F31BA"/>
    <w:rsid w:val="007F4078"/>
    <w:rsid w:val="0080014B"/>
    <w:rsid w:val="00800E0C"/>
    <w:rsid w:val="008012F8"/>
    <w:rsid w:val="00801793"/>
    <w:rsid w:val="00803642"/>
    <w:rsid w:val="00805BA7"/>
    <w:rsid w:val="00806EA2"/>
    <w:rsid w:val="00810140"/>
    <w:rsid w:val="00810924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5757E"/>
    <w:rsid w:val="00860C57"/>
    <w:rsid w:val="00863FFB"/>
    <w:rsid w:val="00866CA5"/>
    <w:rsid w:val="00867186"/>
    <w:rsid w:val="008676FA"/>
    <w:rsid w:val="00867CBF"/>
    <w:rsid w:val="00870AF6"/>
    <w:rsid w:val="00877452"/>
    <w:rsid w:val="008775EC"/>
    <w:rsid w:val="00877BB5"/>
    <w:rsid w:val="00881268"/>
    <w:rsid w:val="00881759"/>
    <w:rsid w:val="00881D94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3ED2"/>
    <w:rsid w:val="008B65BD"/>
    <w:rsid w:val="008B6F98"/>
    <w:rsid w:val="008B7900"/>
    <w:rsid w:val="008C3CE6"/>
    <w:rsid w:val="008C6918"/>
    <w:rsid w:val="008C71BF"/>
    <w:rsid w:val="008C7FE0"/>
    <w:rsid w:val="008D0A7A"/>
    <w:rsid w:val="008D4AC9"/>
    <w:rsid w:val="008D5717"/>
    <w:rsid w:val="008E018D"/>
    <w:rsid w:val="008E3A27"/>
    <w:rsid w:val="008E415F"/>
    <w:rsid w:val="008E44A9"/>
    <w:rsid w:val="008E44F1"/>
    <w:rsid w:val="008E6362"/>
    <w:rsid w:val="008E66FB"/>
    <w:rsid w:val="008E6B4D"/>
    <w:rsid w:val="008E6BFF"/>
    <w:rsid w:val="008E73B2"/>
    <w:rsid w:val="008F21AF"/>
    <w:rsid w:val="008F2400"/>
    <w:rsid w:val="008F61BA"/>
    <w:rsid w:val="008F6E3C"/>
    <w:rsid w:val="008F7871"/>
    <w:rsid w:val="008F7C55"/>
    <w:rsid w:val="009018FC"/>
    <w:rsid w:val="009043A8"/>
    <w:rsid w:val="009123FC"/>
    <w:rsid w:val="00913967"/>
    <w:rsid w:val="00914A23"/>
    <w:rsid w:val="00915D53"/>
    <w:rsid w:val="00917B8C"/>
    <w:rsid w:val="00924E72"/>
    <w:rsid w:val="00927268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2B90"/>
    <w:rsid w:val="00946676"/>
    <w:rsid w:val="00947889"/>
    <w:rsid w:val="009478BD"/>
    <w:rsid w:val="0095600D"/>
    <w:rsid w:val="00960E98"/>
    <w:rsid w:val="009633B3"/>
    <w:rsid w:val="00963A82"/>
    <w:rsid w:val="00966A75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492F"/>
    <w:rsid w:val="009B6F56"/>
    <w:rsid w:val="009B76D5"/>
    <w:rsid w:val="009C0E86"/>
    <w:rsid w:val="009C165D"/>
    <w:rsid w:val="009C3CEA"/>
    <w:rsid w:val="009C583D"/>
    <w:rsid w:val="009C5962"/>
    <w:rsid w:val="009C5A72"/>
    <w:rsid w:val="009D2611"/>
    <w:rsid w:val="009D440E"/>
    <w:rsid w:val="009D77BF"/>
    <w:rsid w:val="009D79D2"/>
    <w:rsid w:val="009E02CA"/>
    <w:rsid w:val="009E19E1"/>
    <w:rsid w:val="009E223B"/>
    <w:rsid w:val="009E247C"/>
    <w:rsid w:val="009E31BA"/>
    <w:rsid w:val="009F028E"/>
    <w:rsid w:val="009F0528"/>
    <w:rsid w:val="009F0806"/>
    <w:rsid w:val="009F233B"/>
    <w:rsid w:val="009F6337"/>
    <w:rsid w:val="00A004A0"/>
    <w:rsid w:val="00A00513"/>
    <w:rsid w:val="00A01476"/>
    <w:rsid w:val="00A01D5D"/>
    <w:rsid w:val="00A0297C"/>
    <w:rsid w:val="00A05D16"/>
    <w:rsid w:val="00A0659F"/>
    <w:rsid w:val="00A073F9"/>
    <w:rsid w:val="00A079BA"/>
    <w:rsid w:val="00A12CA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1A49"/>
    <w:rsid w:val="00A32C80"/>
    <w:rsid w:val="00A33875"/>
    <w:rsid w:val="00A357D8"/>
    <w:rsid w:val="00A360A1"/>
    <w:rsid w:val="00A368E0"/>
    <w:rsid w:val="00A402B3"/>
    <w:rsid w:val="00A43CFB"/>
    <w:rsid w:val="00A44ED7"/>
    <w:rsid w:val="00A47C39"/>
    <w:rsid w:val="00A512B3"/>
    <w:rsid w:val="00A536E9"/>
    <w:rsid w:val="00A53C29"/>
    <w:rsid w:val="00A53E3F"/>
    <w:rsid w:val="00A544B7"/>
    <w:rsid w:val="00A55EF2"/>
    <w:rsid w:val="00A57FBF"/>
    <w:rsid w:val="00A618CF"/>
    <w:rsid w:val="00A62770"/>
    <w:rsid w:val="00A62EEB"/>
    <w:rsid w:val="00A63B52"/>
    <w:rsid w:val="00A660FF"/>
    <w:rsid w:val="00A718DF"/>
    <w:rsid w:val="00A71EE1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6188"/>
    <w:rsid w:val="00AB714D"/>
    <w:rsid w:val="00AB7418"/>
    <w:rsid w:val="00AB7EFF"/>
    <w:rsid w:val="00AC0363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2179"/>
    <w:rsid w:val="00AF595F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065C7"/>
    <w:rsid w:val="00B1003C"/>
    <w:rsid w:val="00B14D5D"/>
    <w:rsid w:val="00B22CF2"/>
    <w:rsid w:val="00B23211"/>
    <w:rsid w:val="00B26445"/>
    <w:rsid w:val="00B26973"/>
    <w:rsid w:val="00B2730E"/>
    <w:rsid w:val="00B30D97"/>
    <w:rsid w:val="00B31074"/>
    <w:rsid w:val="00B3181A"/>
    <w:rsid w:val="00B35A7C"/>
    <w:rsid w:val="00B35F8B"/>
    <w:rsid w:val="00B37E36"/>
    <w:rsid w:val="00B413B7"/>
    <w:rsid w:val="00B417A9"/>
    <w:rsid w:val="00B43EB1"/>
    <w:rsid w:val="00B44A6C"/>
    <w:rsid w:val="00B44AE0"/>
    <w:rsid w:val="00B44ECD"/>
    <w:rsid w:val="00B450D1"/>
    <w:rsid w:val="00B50107"/>
    <w:rsid w:val="00B52E01"/>
    <w:rsid w:val="00B53636"/>
    <w:rsid w:val="00B53D47"/>
    <w:rsid w:val="00B54A25"/>
    <w:rsid w:val="00B54A4B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246A"/>
    <w:rsid w:val="00B73980"/>
    <w:rsid w:val="00B75AE5"/>
    <w:rsid w:val="00B760D9"/>
    <w:rsid w:val="00B760F0"/>
    <w:rsid w:val="00B800C0"/>
    <w:rsid w:val="00B8132B"/>
    <w:rsid w:val="00B816C5"/>
    <w:rsid w:val="00B8213A"/>
    <w:rsid w:val="00B82264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B6216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2F6B"/>
    <w:rsid w:val="00BE46FC"/>
    <w:rsid w:val="00BE5CDA"/>
    <w:rsid w:val="00BE608F"/>
    <w:rsid w:val="00BE6876"/>
    <w:rsid w:val="00BF23BB"/>
    <w:rsid w:val="00BF2D24"/>
    <w:rsid w:val="00BF33DD"/>
    <w:rsid w:val="00BF52D2"/>
    <w:rsid w:val="00BF543E"/>
    <w:rsid w:val="00BF5755"/>
    <w:rsid w:val="00BF5BD2"/>
    <w:rsid w:val="00BF684B"/>
    <w:rsid w:val="00C016F3"/>
    <w:rsid w:val="00C03F3F"/>
    <w:rsid w:val="00C0507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15"/>
    <w:rsid w:val="00C57A9A"/>
    <w:rsid w:val="00C6016A"/>
    <w:rsid w:val="00C60B3F"/>
    <w:rsid w:val="00C623EB"/>
    <w:rsid w:val="00C62F44"/>
    <w:rsid w:val="00C6300F"/>
    <w:rsid w:val="00C635A8"/>
    <w:rsid w:val="00C6393F"/>
    <w:rsid w:val="00C642A6"/>
    <w:rsid w:val="00C64C6B"/>
    <w:rsid w:val="00C64F74"/>
    <w:rsid w:val="00C65123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693"/>
    <w:rsid w:val="00C91934"/>
    <w:rsid w:val="00C91B3B"/>
    <w:rsid w:val="00C92C30"/>
    <w:rsid w:val="00C93716"/>
    <w:rsid w:val="00C937CC"/>
    <w:rsid w:val="00C94262"/>
    <w:rsid w:val="00C96A74"/>
    <w:rsid w:val="00C976E1"/>
    <w:rsid w:val="00CA148E"/>
    <w:rsid w:val="00CA1D93"/>
    <w:rsid w:val="00CA3A9A"/>
    <w:rsid w:val="00CA5E9A"/>
    <w:rsid w:val="00CA709D"/>
    <w:rsid w:val="00CA7C87"/>
    <w:rsid w:val="00CB5F7F"/>
    <w:rsid w:val="00CB6438"/>
    <w:rsid w:val="00CB6BC1"/>
    <w:rsid w:val="00CB7021"/>
    <w:rsid w:val="00CB710F"/>
    <w:rsid w:val="00CC295A"/>
    <w:rsid w:val="00CD3294"/>
    <w:rsid w:val="00CD4524"/>
    <w:rsid w:val="00CD5C6B"/>
    <w:rsid w:val="00CD6027"/>
    <w:rsid w:val="00CD784D"/>
    <w:rsid w:val="00CE29AF"/>
    <w:rsid w:val="00CE3D59"/>
    <w:rsid w:val="00CE41F4"/>
    <w:rsid w:val="00CE705D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1B8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AC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3DB2"/>
    <w:rsid w:val="00D53FDE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10C2"/>
    <w:rsid w:val="00D93C5B"/>
    <w:rsid w:val="00D95CBE"/>
    <w:rsid w:val="00D968F8"/>
    <w:rsid w:val="00DA2526"/>
    <w:rsid w:val="00DA2913"/>
    <w:rsid w:val="00DA5C22"/>
    <w:rsid w:val="00DA7D12"/>
    <w:rsid w:val="00DB0FF6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4906"/>
    <w:rsid w:val="00DE5D35"/>
    <w:rsid w:val="00DE7C7D"/>
    <w:rsid w:val="00DF2992"/>
    <w:rsid w:val="00DF2D0C"/>
    <w:rsid w:val="00DF6B5A"/>
    <w:rsid w:val="00DF7EEE"/>
    <w:rsid w:val="00E00058"/>
    <w:rsid w:val="00E014D7"/>
    <w:rsid w:val="00E01B9D"/>
    <w:rsid w:val="00E028DF"/>
    <w:rsid w:val="00E02F5D"/>
    <w:rsid w:val="00E0468F"/>
    <w:rsid w:val="00E04F5E"/>
    <w:rsid w:val="00E0522E"/>
    <w:rsid w:val="00E059A2"/>
    <w:rsid w:val="00E05C08"/>
    <w:rsid w:val="00E07046"/>
    <w:rsid w:val="00E114E0"/>
    <w:rsid w:val="00E120F4"/>
    <w:rsid w:val="00E12625"/>
    <w:rsid w:val="00E15CC9"/>
    <w:rsid w:val="00E1613D"/>
    <w:rsid w:val="00E167C0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5FF4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5FE3"/>
    <w:rsid w:val="00E57AF9"/>
    <w:rsid w:val="00E625E3"/>
    <w:rsid w:val="00E63111"/>
    <w:rsid w:val="00E63F34"/>
    <w:rsid w:val="00E63FEA"/>
    <w:rsid w:val="00E6715A"/>
    <w:rsid w:val="00E74974"/>
    <w:rsid w:val="00E749E5"/>
    <w:rsid w:val="00E75DC9"/>
    <w:rsid w:val="00E76EFF"/>
    <w:rsid w:val="00E81610"/>
    <w:rsid w:val="00E8187A"/>
    <w:rsid w:val="00E8199E"/>
    <w:rsid w:val="00E841B3"/>
    <w:rsid w:val="00E84910"/>
    <w:rsid w:val="00E84C7D"/>
    <w:rsid w:val="00E85B28"/>
    <w:rsid w:val="00E87F0B"/>
    <w:rsid w:val="00E91976"/>
    <w:rsid w:val="00E947A6"/>
    <w:rsid w:val="00E97FC7"/>
    <w:rsid w:val="00EA05C2"/>
    <w:rsid w:val="00EA0690"/>
    <w:rsid w:val="00EA22DA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1AC5"/>
    <w:rsid w:val="00EF201A"/>
    <w:rsid w:val="00EF285F"/>
    <w:rsid w:val="00EF3E5A"/>
    <w:rsid w:val="00EF5941"/>
    <w:rsid w:val="00EF64F1"/>
    <w:rsid w:val="00EF6A47"/>
    <w:rsid w:val="00EF7AF9"/>
    <w:rsid w:val="00F00952"/>
    <w:rsid w:val="00F00E74"/>
    <w:rsid w:val="00F01495"/>
    <w:rsid w:val="00F02DBE"/>
    <w:rsid w:val="00F03433"/>
    <w:rsid w:val="00F06335"/>
    <w:rsid w:val="00F06A09"/>
    <w:rsid w:val="00F07DDB"/>
    <w:rsid w:val="00F100C8"/>
    <w:rsid w:val="00F10138"/>
    <w:rsid w:val="00F13DBA"/>
    <w:rsid w:val="00F13F92"/>
    <w:rsid w:val="00F1487D"/>
    <w:rsid w:val="00F14DA7"/>
    <w:rsid w:val="00F161F4"/>
    <w:rsid w:val="00F22ECA"/>
    <w:rsid w:val="00F23348"/>
    <w:rsid w:val="00F240E8"/>
    <w:rsid w:val="00F244FA"/>
    <w:rsid w:val="00F3530F"/>
    <w:rsid w:val="00F3634B"/>
    <w:rsid w:val="00F366A2"/>
    <w:rsid w:val="00F42B2B"/>
    <w:rsid w:val="00F42B8F"/>
    <w:rsid w:val="00F44F43"/>
    <w:rsid w:val="00F450E1"/>
    <w:rsid w:val="00F455DA"/>
    <w:rsid w:val="00F46406"/>
    <w:rsid w:val="00F4748E"/>
    <w:rsid w:val="00F508A4"/>
    <w:rsid w:val="00F50DF4"/>
    <w:rsid w:val="00F512D7"/>
    <w:rsid w:val="00F51E3B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2C6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3306"/>
    <w:rsid w:val="00FA5F80"/>
    <w:rsid w:val="00FA7610"/>
    <w:rsid w:val="00FB02BD"/>
    <w:rsid w:val="00FB37AA"/>
    <w:rsid w:val="00FB37ED"/>
    <w:rsid w:val="00FB398F"/>
    <w:rsid w:val="00FB4EF8"/>
    <w:rsid w:val="00FB54AE"/>
    <w:rsid w:val="00FB55A5"/>
    <w:rsid w:val="00FB6CBC"/>
    <w:rsid w:val="00FB6DA6"/>
    <w:rsid w:val="00FB709A"/>
    <w:rsid w:val="00FB78DD"/>
    <w:rsid w:val="00FC0F40"/>
    <w:rsid w:val="00FC3EF3"/>
    <w:rsid w:val="00FC5D35"/>
    <w:rsid w:val="00FC6994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6A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postolou@cystat.mof.gov.cy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work%20files\ENERGY\&#921;&#931;&#932;&#927;&#931;&#917;&#923;&#921;&#916;&#913;%20-%20&#916;&#919;&#924;&#927;&#931;&#921;&#917;&#933;&#931;&#917;&#921;&#931;\&#924;&#919;&#925;&#921;&#913;&#921;&#917;&#931;\2024\10\GRAPHS%20&amp;%20calculation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r>
              <a:rPr lang="el-GR"/>
              <a:t>Πωλήσεις Πετρελαιοειδών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167987401574805"/>
          <c:y val="9.8654841093865478E-2"/>
          <c:w val="0.67130607874015735"/>
          <c:h val="0.732007612130523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'CURRENT MONTH'!$N$10</c:f>
              <c:strCache>
                <c:ptCount val="1"/>
                <c:pt idx="0">
                  <c:v>Οκτώβριος 2024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cat>
            <c:strRef>
              <c:f>'CURRENT MONTH'!$M$11:$M$21</c:f>
              <c:strCache>
                <c:ptCount val="11"/>
                <c:pt idx="0">
                  <c:v>Υγραέριο</c:v>
                </c:pt>
                <c:pt idx="1">
                  <c:v>Άσφαλτος</c:v>
                </c:pt>
                <c:pt idx="2">
                  <c:v>Βαρύ Μαζούτ</c:v>
                </c:pt>
                <c:pt idx="3">
                  <c:v>Ελαφρύ Μαζούτ</c:v>
                </c:pt>
                <c:pt idx="4">
                  <c:v>Πετρέλαιο Ναυτιλίας</c:v>
                </c:pt>
                <c:pt idx="5">
                  <c:v>Πετρέλαιο Θέρμανσης</c:v>
                </c:pt>
                <c:pt idx="6">
                  <c:v>Γεωργικό Πετρέλαιο</c:v>
                </c:pt>
                <c:pt idx="7">
                  <c:v>Πετρέλαιο Κίνησης</c:v>
                </c:pt>
                <c:pt idx="8">
                  <c:v>Κηροζίνη</c:v>
                </c:pt>
                <c:pt idx="9">
                  <c:v>Πετρέλαιο Αεροπλάνων</c:v>
                </c:pt>
                <c:pt idx="10">
                  <c:v>Βενζίνη Αμόλυβδη</c:v>
                </c:pt>
              </c:strCache>
            </c:strRef>
          </c:cat>
          <c:val>
            <c:numRef>
              <c:f>'CURRENT MONTH'!$N$11:$N$21</c:f>
              <c:numCache>
                <c:formatCode>#,##0_);\(#,##0\)</c:formatCode>
                <c:ptCount val="11"/>
                <c:pt idx="0">
                  <c:v>4244</c:v>
                </c:pt>
                <c:pt idx="1">
                  <c:v>3613</c:v>
                </c:pt>
                <c:pt idx="2">
                  <c:v>1597</c:v>
                </c:pt>
                <c:pt idx="3">
                  <c:v>12372</c:v>
                </c:pt>
                <c:pt idx="4">
                  <c:v>7327</c:v>
                </c:pt>
                <c:pt idx="5">
                  <c:v>6017</c:v>
                </c:pt>
                <c:pt idx="6">
                  <c:v>2299</c:v>
                </c:pt>
                <c:pt idx="7">
                  <c:v>31768</c:v>
                </c:pt>
                <c:pt idx="8">
                  <c:v>463</c:v>
                </c:pt>
                <c:pt idx="9">
                  <c:v>35770</c:v>
                </c:pt>
                <c:pt idx="10">
                  <c:v>29587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D5-4173-ACCA-90CB41E946C8}"/>
            </c:ext>
          </c:extLst>
        </c:ser>
        <c:ser>
          <c:idx val="1"/>
          <c:order val="1"/>
          <c:tx>
            <c:strRef>
              <c:f>'CURRENT MONTH'!$Q$10</c:f>
              <c:strCache>
                <c:ptCount val="1"/>
                <c:pt idx="0">
                  <c:v>Οκτώβριος 2023</c:v>
                </c:pt>
              </c:strCache>
            </c:strRef>
          </c:tx>
          <c:spPr>
            <a:solidFill>
              <a:srgbClr val="C0504D"/>
            </a:solidFill>
          </c:spPr>
          <c:invertIfNegative val="0"/>
          <c:dPt>
            <c:idx val="3"/>
            <c:invertIfNegative val="0"/>
            <c:bubble3D val="0"/>
            <c:spPr>
              <a:solidFill>
                <a:srgbClr val="C0504D"/>
              </a:solidFill>
              <a:ln>
                <a:solidFill>
                  <a:srgbClr val="558ED5">
                    <a:alpha val="96000"/>
                  </a:srgb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2-7ED5-4173-ACCA-90CB41E946C8}"/>
              </c:ext>
            </c:extLst>
          </c:dPt>
          <c:cat>
            <c:strRef>
              <c:f>'CURRENT MONTH'!$M$11:$M$21</c:f>
              <c:strCache>
                <c:ptCount val="11"/>
                <c:pt idx="0">
                  <c:v>Υγραέριο</c:v>
                </c:pt>
                <c:pt idx="1">
                  <c:v>Άσφαλτος</c:v>
                </c:pt>
                <c:pt idx="2">
                  <c:v>Βαρύ Μαζούτ</c:v>
                </c:pt>
                <c:pt idx="3">
                  <c:v>Ελαφρύ Μαζούτ</c:v>
                </c:pt>
                <c:pt idx="4">
                  <c:v>Πετρέλαιο Ναυτιλίας</c:v>
                </c:pt>
                <c:pt idx="5">
                  <c:v>Πετρέλαιο Θέρμανσης</c:v>
                </c:pt>
                <c:pt idx="6">
                  <c:v>Γεωργικό Πετρέλαιο</c:v>
                </c:pt>
                <c:pt idx="7">
                  <c:v>Πετρέλαιο Κίνησης</c:v>
                </c:pt>
                <c:pt idx="8">
                  <c:v>Κηροζίνη</c:v>
                </c:pt>
                <c:pt idx="9">
                  <c:v>Πετρέλαιο Αεροπλάνων</c:v>
                </c:pt>
                <c:pt idx="10">
                  <c:v>Βενζίνη Αμόλυβδη</c:v>
                </c:pt>
              </c:strCache>
            </c:strRef>
          </c:cat>
          <c:val>
            <c:numRef>
              <c:f>'CURRENT MONTH'!$Q$11:$Q$21</c:f>
              <c:numCache>
                <c:formatCode>#,##0_);\(#,##0\)</c:formatCode>
                <c:ptCount val="11"/>
                <c:pt idx="0">
                  <c:v>4107</c:v>
                </c:pt>
                <c:pt idx="1">
                  <c:v>3752</c:v>
                </c:pt>
                <c:pt idx="2">
                  <c:v>1708</c:v>
                </c:pt>
                <c:pt idx="3">
                  <c:v>14937</c:v>
                </c:pt>
                <c:pt idx="4">
                  <c:v>9242</c:v>
                </c:pt>
                <c:pt idx="5">
                  <c:v>4626</c:v>
                </c:pt>
                <c:pt idx="6">
                  <c:v>1863</c:v>
                </c:pt>
                <c:pt idx="7">
                  <c:v>29486</c:v>
                </c:pt>
                <c:pt idx="8">
                  <c:v>491</c:v>
                </c:pt>
                <c:pt idx="9">
                  <c:v>32612</c:v>
                </c:pt>
                <c:pt idx="10">
                  <c:v>27592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D5-4173-ACCA-90CB41E946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28289327"/>
        <c:axId val="1"/>
      </c:barChart>
      <c:catAx>
        <c:axId val="13282893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CY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75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el-GR"/>
                  <a:t>Τόνοι</a:t>
                </a:r>
              </a:p>
            </c:rich>
          </c:tx>
          <c:layout>
            <c:manualLayout>
              <c:xMode val="edge"/>
              <c:yMode val="edge"/>
              <c:x val="0.51466026462332015"/>
              <c:y val="0.95318216801847133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CY"/>
          </a:p>
        </c:txPr>
        <c:crossAx val="1328289327"/>
        <c:crosses val="autoZero"/>
        <c:crossBetween val="between"/>
        <c:majorUnit val="2500"/>
        <c:minorUnit val="500"/>
      </c:valAx>
      <c:spPr>
        <a:noFill/>
        <a:ln w="12700">
          <a:solidFill>
            <a:schemeClr val="tx1">
              <a:lumMod val="15000"/>
              <a:lumOff val="8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CY"/>
          </a:p>
        </c:txPr>
      </c:legendEntry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CY"/>
          </a:p>
        </c:txPr>
      </c:legendEntry>
      <c:layout>
        <c:manualLayout>
          <c:xMode val="edge"/>
          <c:yMode val="edge"/>
          <c:x val="0"/>
          <c:y val="0.87850755497668054"/>
          <c:w val="0.25422033146330641"/>
          <c:h val="0.1202349706286713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en-CY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558ED5">
          <a:alpha val="49804"/>
        </a:srgb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CY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6379-493A-4569-9FFA-3ADEA8F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4899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69</cp:revision>
  <cp:lastPrinted>2024-01-29T06:30:00Z</cp:lastPrinted>
  <dcterms:created xsi:type="dcterms:W3CDTF">2024-01-29T06:35:00Z</dcterms:created>
  <dcterms:modified xsi:type="dcterms:W3CDTF">2024-11-27T09:47:00Z</dcterms:modified>
</cp:coreProperties>
</file>