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F846" w14:textId="77777777" w:rsidR="00936E21" w:rsidRPr="00127D16" w:rsidRDefault="00936E21" w:rsidP="00A12E81">
      <w:pPr>
        <w:jc w:val="center"/>
        <w:rPr>
          <w:rFonts w:ascii="Verdana" w:eastAsia="Malgun Gothic" w:hAnsi="Verdana" w:cs="Arial"/>
          <w:sz w:val="18"/>
          <w:szCs w:val="18"/>
        </w:rPr>
      </w:pPr>
    </w:p>
    <w:p w14:paraId="660893E5" w14:textId="7BF3C2DD" w:rsidR="00163319" w:rsidRPr="00127D16" w:rsidRDefault="00163319" w:rsidP="003443FD">
      <w:pPr>
        <w:jc w:val="right"/>
        <w:rPr>
          <w:rFonts w:ascii="Verdana" w:hAnsi="Verdana" w:cs="Arial"/>
          <w:sz w:val="18"/>
          <w:szCs w:val="18"/>
        </w:rPr>
      </w:pPr>
      <w:bookmarkStart w:id="0" w:name="_Hlk159853228"/>
      <w:r w:rsidRPr="00127D16">
        <w:rPr>
          <w:rFonts w:ascii="Verdana" w:hAnsi="Verdana" w:cs="Arial"/>
          <w:sz w:val="18"/>
          <w:szCs w:val="18"/>
        </w:rPr>
        <w:t>2</w:t>
      </w:r>
      <w:r w:rsidR="003443FD" w:rsidRPr="000E0400">
        <w:rPr>
          <w:rFonts w:ascii="Verdana" w:hAnsi="Verdana" w:cs="Arial"/>
          <w:sz w:val="18"/>
          <w:szCs w:val="18"/>
        </w:rPr>
        <w:t>7</w:t>
      </w:r>
      <w:r w:rsidRPr="00127D16">
        <w:rPr>
          <w:rFonts w:ascii="Verdana" w:hAnsi="Verdana" w:cs="Arial"/>
          <w:sz w:val="18"/>
          <w:szCs w:val="18"/>
        </w:rPr>
        <w:t xml:space="preserve"> </w:t>
      </w:r>
      <w:r w:rsidR="003443FD" w:rsidRPr="003443FD">
        <w:rPr>
          <w:rFonts w:ascii="Verdana" w:hAnsi="Verdana" w:cs="Arial"/>
          <w:sz w:val="18"/>
          <w:szCs w:val="18"/>
        </w:rPr>
        <w:t>Οκτωβρίου</w:t>
      </w:r>
      <w:r w:rsidRPr="00127D16">
        <w:rPr>
          <w:rFonts w:ascii="Verdana" w:hAnsi="Verdana" w:cs="Arial"/>
          <w:sz w:val="18"/>
          <w:szCs w:val="18"/>
        </w:rPr>
        <w:t>, 202</w:t>
      </w:r>
      <w:r w:rsidR="00BE5CDF" w:rsidRPr="00127D16">
        <w:rPr>
          <w:rFonts w:ascii="Verdana" w:hAnsi="Verdana" w:cs="Arial"/>
          <w:sz w:val="18"/>
          <w:szCs w:val="18"/>
        </w:rPr>
        <w:t>5</w:t>
      </w:r>
    </w:p>
    <w:bookmarkEnd w:id="0"/>
    <w:p w14:paraId="05861BF0" w14:textId="77777777" w:rsidR="00A90238" w:rsidRPr="00127D16" w:rsidRDefault="00A90238" w:rsidP="00982D65">
      <w:pPr>
        <w:rPr>
          <w:rFonts w:ascii="Verdana" w:eastAsia="Malgun Gothic" w:hAnsi="Verdana" w:cs="Arial"/>
          <w:b/>
          <w:sz w:val="18"/>
          <w:szCs w:val="18"/>
        </w:rPr>
      </w:pPr>
    </w:p>
    <w:p w14:paraId="72AAD8D0" w14:textId="77777777" w:rsidR="00FB55A5" w:rsidRPr="00127D16" w:rsidRDefault="00FB55A5" w:rsidP="00FB55A5">
      <w:pPr>
        <w:jc w:val="center"/>
        <w:rPr>
          <w:rFonts w:ascii="Verdana" w:eastAsia="Malgun Gothic" w:hAnsi="Verdana" w:cs="Arial"/>
          <w:b/>
          <w:sz w:val="24"/>
          <w:szCs w:val="24"/>
        </w:rPr>
      </w:pPr>
      <w:r w:rsidRPr="00127D16">
        <w:rPr>
          <w:rFonts w:ascii="Verdana" w:eastAsia="Malgun Gothic" w:hAnsi="Verdana" w:cs="Arial"/>
          <w:b/>
          <w:sz w:val="24"/>
          <w:szCs w:val="24"/>
        </w:rPr>
        <w:t>ΔΕΛΤΙΟ ΤΥΠΟΥ</w:t>
      </w:r>
    </w:p>
    <w:p w14:paraId="1F4C8AD1" w14:textId="77777777" w:rsidR="00FB55A5" w:rsidRPr="00127D16" w:rsidRDefault="00FB55A5" w:rsidP="00FB55A5">
      <w:pPr>
        <w:rPr>
          <w:rFonts w:ascii="Verdana" w:eastAsia="Malgun Gothic" w:hAnsi="Verdana" w:cs="Arial"/>
          <w:sz w:val="18"/>
          <w:szCs w:val="18"/>
        </w:rPr>
      </w:pPr>
    </w:p>
    <w:p w14:paraId="56763317" w14:textId="5F0C4D2D" w:rsidR="00EE3110" w:rsidRPr="00127D16" w:rsidRDefault="00FB55A5" w:rsidP="003443FD">
      <w:pPr>
        <w:pStyle w:val="Heading6"/>
        <w:tabs>
          <w:tab w:val="clear" w:pos="6840"/>
        </w:tabs>
        <w:jc w:val="left"/>
        <w:rPr>
          <w:rFonts w:ascii="Verdana" w:hAnsi="Verdana"/>
          <w:szCs w:val="22"/>
          <w:shd w:val="clear" w:color="auto" w:fill="FFFFFF"/>
        </w:rPr>
      </w:pPr>
      <w:r w:rsidRPr="00127D16">
        <w:rPr>
          <w:rFonts w:ascii="Verdana" w:hAnsi="Verdana"/>
          <w:b w:val="0"/>
          <w:szCs w:val="22"/>
          <w:shd w:val="clear" w:color="auto" w:fill="FFFFFF"/>
        </w:rPr>
        <w:t>ΕΙΣΑΓΩΓΕΣ, ΠΩΛΗΣΕΙΣ ΚΑΙ ΑΠΟΘΕΜΑΤΑ ΠΕΤΡΕΛΑΙΟΕΙΔΩΝ:</w:t>
      </w:r>
      <w:r w:rsidRPr="00127D16">
        <w:rPr>
          <w:rFonts w:ascii="Verdana" w:hAnsi="Verdana"/>
          <w:szCs w:val="22"/>
          <w:shd w:val="clear" w:color="auto" w:fill="FFFFFF"/>
        </w:rPr>
        <w:t xml:space="preserve"> </w:t>
      </w:r>
      <w:r w:rsidR="003443FD" w:rsidRPr="003443FD">
        <w:rPr>
          <w:rFonts w:ascii="Verdana" w:hAnsi="Verdana"/>
          <w:szCs w:val="22"/>
          <w:shd w:val="clear" w:color="auto" w:fill="FFFFFF"/>
        </w:rPr>
        <w:t>ΣΕΠΤΕΜΒΡΙΟΣ</w:t>
      </w:r>
      <w:r w:rsidR="00FC6D82">
        <w:rPr>
          <w:rFonts w:ascii="Verdana" w:hAnsi="Verdana"/>
          <w:szCs w:val="22"/>
          <w:shd w:val="clear" w:color="auto" w:fill="FFFFFF"/>
        </w:rPr>
        <w:t xml:space="preserve"> </w:t>
      </w:r>
      <w:r w:rsidR="00163319" w:rsidRPr="00127D16">
        <w:rPr>
          <w:rFonts w:ascii="Verdana" w:hAnsi="Verdana"/>
          <w:szCs w:val="22"/>
          <w:shd w:val="clear" w:color="auto" w:fill="FFFFFF"/>
        </w:rPr>
        <w:t>202</w:t>
      </w:r>
      <w:r w:rsidR="00BE5CDF" w:rsidRPr="00127D16">
        <w:rPr>
          <w:rFonts w:ascii="Verdana" w:hAnsi="Verdana"/>
          <w:szCs w:val="22"/>
          <w:shd w:val="clear" w:color="auto" w:fill="FFFFFF"/>
        </w:rPr>
        <w:t>5</w:t>
      </w:r>
    </w:p>
    <w:p w14:paraId="0F92D7EB" w14:textId="77777777" w:rsidR="00FB55A5" w:rsidRPr="00127D16" w:rsidRDefault="00FB55A5" w:rsidP="00FB55A5">
      <w:pPr>
        <w:rPr>
          <w:rFonts w:ascii="Verdana" w:eastAsia="Malgun Gothic" w:hAnsi="Verdana" w:cs="Arial"/>
          <w:sz w:val="18"/>
          <w:szCs w:val="18"/>
        </w:rPr>
      </w:pPr>
    </w:p>
    <w:p w14:paraId="2C98B5A5" w14:textId="77777777" w:rsidR="00510C81" w:rsidRPr="00127D16" w:rsidRDefault="00510C81" w:rsidP="00FB55A5">
      <w:pPr>
        <w:rPr>
          <w:rFonts w:ascii="Verdana" w:eastAsia="Malgun Gothic" w:hAnsi="Verdana" w:cs="Arial"/>
          <w:sz w:val="18"/>
          <w:szCs w:val="18"/>
        </w:rPr>
      </w:pPr>
    </w:p>
    <w:p w14:paraId="0F720EB1" w14:textId="7205D587" w:rsidR="009F6337" w:rsidRPr="00127D16" w:rsidRDefault="009F6337" w:rsidP="009F6337">
      <w:pPr>
        <w:jc w:val="center"/>
        <w:rPr>
          <w:rFonts w:ascii="Verdana" w:eastAsia="Malgun Gothic" w:hAnsi="Verdana" w:cs="Arial"/>
          <w:b/>
          <w:bCs/>
        </w:rPr>
      </w:pPr>
      <w:r w:rsidRPr="00127D16">
        <w:rPr>
          <w:rFonts w:ascii="Verdana" w:eastAsia="Malgun Gothic" w:hAnsi="Verdana" w:cs="Arial"/>
          <w:b/>
          <w:bCs/>
        </w:rPr>
        <w:t xml:space="preserve">Ετήσια Μεταβολή στις Πωλήσεις </w:t>
      </w:r>
      <w:r w:rsidR="00B235E5" w:rsidRPr="00D71AF1">
        <w:rPr>
          <w:rFonts w:ascii="Verdana" w:eastAsia="Malgun Gothic" w:hAnsi="Verdana" w:cs="Arial"/>
          <w:b/>
          <w:bCs/>
        </w:rPr>
        <w:t>+</w:t>
      </w:r>
      <w:r w:rsidR="00CC7DBA" w:rsidRPr="00CC7DBA">
        <w:rPr>
          <w:rFonts w:ascii="Verdana" w:eastAsia="Malgun Gothic" w:hAnsi="Verdana" w:cs="Arial"/>
          <w:b/>
          <w:bCs/>
        </w:rPr>
        <w:t>11</w:t>
      </w:r>
      <w:r w:rsidR="00127D16" w:rsidRPr="00127D16">
        <w:rPr>
          <w:rFonts w:ascii="Verdana" w:eastAsia="Malgun Gothic" w:hAnsi="Verdana" w:cs="Arial"/>
          <w:b/>
          <w:bCs/>
        </w:rPr>
        <w:t>,</w:t>
      </w:r>
      <w:r w:rsidR="00CC7DBA" w:rsidRPr="00CC7DBA">
        <w:rPr>
          <w:rFonts w:ascii="Verdana" w:eastAsia="Malgun Gothic" w:hAnsi="Verdana" w:cs="Arial"/>
          <w:b/>
          <w:bCs/>
        </w:rPr>
        <w:t>2</w:t>
      </w:r>
      <w:r w:rsidR="00163319" w:rsidRPr="00127D16">
        <w:rPr>
          <w:rFonts w:ascii="Verdana" w:eastAsia="Malgun Gothic" w:hAnsi="Verdana" w:cs="Arial"/>
          <w:b/>
          <w:bCs/>
        </w:rPr>
        <w:t>%</w:t>
      </w:r>
    </w:p>
    <w:p w14:paraId="25AA583F" w14:textId="77777777" w:rsidR="004423CD" w:rsidRPr="00FC6D82" w:rsidRDefault="004423CD" w:rsidP="004423CD">
      <w:pPr>
        <w:jc w:val="center"/>
        <w:rPr>
          <w:rFonts w:ascii="Verdana" w:eastAsia="Malgun Gothic" w:hAnsi="Verdana" w:cs="Arial"/>
          <w:sz w:val="18"/>
          <w:szCs w:val="18"/>
        </w:rPr>
      </w:pPr>
    </w:p>
    <w:p w14:paraId="62B08D1D" w14:textId="0749FEDC" w:rsidR="00D255FD" w:rsidRPr="00074AF2" w:rsidRDefault="00163319" w:rsidP="00D255FD">
      <w:pPr>
        <w:ind w:right="-142"/>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τον </w:t>
      </w:r>
      <w:r w:rsidR="003443FD" w:rsidRPr="003443FD">
        <w:rPr>
          <w:rFonts w:ascii="Verdana" w:hAnsi="Verdana"/>
          <w:sz w:val="18"/>
          <w:szCs w:val="18"/>
          <w:shd w:val="clear" w:color="auto" w:fill="FFFFFF"/>
        </w:rPr>
        <w:t>Σεπτέμβριο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BE5CDF" w:rsidRPr="00127D16">
        <w:rPr>
          <w:rFonts w:ascii="Verdana" w:hAnsi="Verdana"/>
          <w:sz w:val="18"/>
          <w:szCs w:val="18"/>
          <w:shd w:val="clear" w:color="auto" w:fill="FFFFFF"/>
        </w:rPr>
        <w:t>5</w:t>
      </w:r>
      <w:r w:rsidRPr="00127D16">
        <w:rPr>
          <w:rFonts w:ascii="Verdana" w:hAnsi="Verdana"/>
          <w:sz w:val="18"/>
          <w:szCs w:val="18"/>
          <w:shd w:val="clear" w:color="auto" w:fill="FFFFFF"/>
        </w:rPr>
        <w:t xml:space="preserve">, οι συνολικές πωλήσεις πετρελαιοειδών έφτασαν τους </w:t>
      </w:r>
      <w:bookmarkStart w:id="1" w:name="_Hlk107213034"/>
      <w:r w:rsidR="00116D38" w:rsidRPr="00116D38">
        <w:rPr>
          <w:rFonts w:ascii="Verdana" w:hAnsi="Verdana"/>
          <w:sz w:val="18"/>
          <w:szCs w:val="18"/>
          <w:shd w:val="clear" w:color="auto" w:fill="FFFFFF"/>
        </w:rPr>
        <w:t>1</w:t>
      </w:r>
      <w:r w:rsidR="00CC7DBA" w:rsidRPr="00CC7DBA">
        <w:rPr>
          <w:rFonts w:ascii="Verdana" w:hAnsi="Verdana"/>
          <w:sz w:val="18"/>
          <w:szCs w:val="18"/>
          <w:shd w:val="clear" w:color="auto" w:fill="FFFFFF"/>
        </w:rPr>
        <w:t>44</w:t>
      </w:r>
      <w:r w:rsidR="00116D38" w:rsidRPr="00116D38">
        <w:rPr>
          <w:rFonts w:ascii="Verdana" w:hAnsi="Verdana"/>
          <w:sz w:val="18"/>
          <w:szCs w:val="18"/>
          <w:shd w:val="clear" w:color="auto" w:fill="FFFFFF"/>
        </w:rPr>
        <w:t>.</w:t>
      </w:r>
      <w:r w:rsidR="00CC7DBA" w:rsidRPr="00CC7DBA">
        <w:rPr>
          <w:rFonts w:ascii="Verdana" w:hAnsi="Verdana"/>
          <w:sz w:val="18"/>
          <w:szCs w:val="18"/>
          <w:shd w:val="clear" w:color="auto" w:fill="FFFFFF"/>
        </w:rPr>
        <w:t>720</w:t>
      </w:r>
      <w:r w:rsidRPr="00127D16">
        <w:rPr>
          <w:rFonts w:ascii="Verdana" w:eastAsia="Times New Roman" w:hAnsi="Verdana" w:cs="Arial"/>
          <w:color w:val="000000"/>
          <w:sz w:val="18"/>
          <w:szCs w:val="18"/>
          <w:shd w:val="clear" w:color="auto" w:fill="FFFFFF"/>
        </w:rPr>
        <w:t xml:space="preserve"> </w:t>
      </w:r>
      <w:bookmarkEnd w:id="1"/>
      <w:r w:rsidRPr="00127D16">
        <w:rPr>
          <w:rFonts w:ascii="Verdana" w:hAnsi="Verdana"/>
          <w:sz w:val="18"/>
          <w:szCs w:val="18"/>
          <w:shd w:val="clear" w:color="auto" w:fill="FFFFFF"/>
        </w:rPr>
        <w:t xml:space="preserve">τόνους, σημειώνοντας </w:t>
      </w:r>
      <w:bookmarkStart w:id="2" w:name="_Hlk107213045"/>
      <w:r w:rsidR="00CC7DBA" w:rsidRPr="00127D16">
        <w:rPr>
          <w:rFonts w:ascii="Verdana" w:hAnsi="Verdana"/>
          <w:sz w:val="18"/>
          <w:szCs w:val="18"/>
          <w:shd w:val="clear" w:color="auto" w:fill="FFFFFF"/>
        </w:rPr>
        <w:t>άνοδο</w:t>
      </w:r>
      <w:r w:rsidR="00CC7DBA" w:rsidRPr="00116D38">
        <w:rPr>
          <w:rFonts w:ascii="Verdana" w:hAnsi="Verdana"/>
          <w:sz w:val="18"/>
          <w:szCs w:val="18"/>
          <w:shd w:val="clear" w:color="auto" w:fill="FFFFFF"/>
        </w:rPr>
        <w:t xml:space="preserve"> </w:t>
      </w:r>
      <w:r w:rsidR="00CC7DBA" w:rsidRPr="00CC7DBA">
        <w:rPr>
          <w:rFonts w:ascii="Verdana" w:hAnsi="Verdana"/>
          <w:sz w:val="18"/>
          <w:szCs w:val="18"/>
          <w:shd w:val="clear" w:color="auto" w:fill="FFFFFF"/>
        </w:rPr>
        <w:t>1</w:t>
      </w:r>
      <w:r w:rsidR="00116D38" w:rsidRPr="00116D38">
        <w:rPr>
          <w:rFonts w:ascii="Verdana" w:hAnsi="Verdana"/>
          <w:sz w:val="18"/>
          <w:szCs w:val="18"/>
          <w:shd w:val="clear" w:color="auto" w:fill="FFFFFF"/>
        </w:rPr>
        <w:t>1</w:t>
      </w:r>
      <w:r w:rsidR="007F43EF">
        <w:rPr>
          <w:rFonts w:ascii="Verdana" w:hAnsi="Verdana"/>
          <w:sz w:val="18"/>
          <w:szCs w:val="18"/>
          <w:shd w:val="clear" w:color="auto" w:fill="FFFFFF"/>
        </w:rPr>
        <w:t>,</w:t>
      </w:r>
      <w:r w:rsidR="00CC7DBA" w:rsidRPr="00CC7DBA">
        <w:rPr>
          <w:rFonts w:ascii="Verdana" w:hAnsi="Verdana"/>
          <w:sz w:val="18"/>
          <w:szCs w:val="18"/>
          <w:shd w:val="clear" w:color="auto" w:fill="FFFFFF"/>
        </w:rPr>
        <w:t>2</w:t>
      </w:r>
      <w:r w:rsidRPr="00127D16">
        <w:rPr>
          <w:rFonts w:ascii="Verdana" w:hAnsi="Verdana"/>
          <w:sz w:val="18"/>
          <w:szCs w:val="18"/>
          <w:shd w:val="clear" w:color="auto" w:fill="FFFFFF"/>
        </w:rPr>
        <w:t>%</w:t>
      </w:r>
      <w:bookmarkEnd w:id="2"/>
      <w:r w:rsidRPr="00127D16">
        <w:rPr>
          <w:rFonts w:ascii="Verdana" w:hAnsi="Verdana"/>
          <w:sz w:val="18"/>
          <w:szCs w:val="18"/>
          <w:shd w:val="clear" w:color="auto" w:fill="FFFFFF"/>
        </w:rPr>
        <w:t xml:space="preserve"> σε σχέση με τον </w:t>
      </w:r>
      <w:r w:rsidR="003443FD" w:rsidRPr="003443FD">
        <w:rPr>
          <w:rFonts w:ascii="Verdana" w:hAnsi="Verdana"/>
          <w:sz w:val="18"/>
          <w:szCs w:val="18"/>
          <w:shd w:val="clear" w:color="auto" w:fill="FFFFFF"/>
        </w:rPr>
        <w:t>Σεπτέμβριο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5C520C" w:rsidRPr="00127D16">
        <w:rPr>
          <w:rFonts w:ascii="Verdana" w:hAnsi="Verdana"/>
          <w:sz w:val="18"/>
          <w:szCs w:val="18"/>
          <w:shd w:val="clear" w:color="auto" w:fill="FFFFFF"/>
        </w:rPr>
        <w:t>4</w:t>
      </w:r>
      <w:r w:rsidRPr="00127D16">
        <w:rPr>
          <w:rFonts w:ascii="Verdana" w:hAnsi="Verdana"/>
          <w:sz w:val="18"/>
          <w:szCs w:val="18"/>
          <w:shd w:val="clear" w:color="auto" w:fill="FFFFFF"/>
        </w:rPr>
        <w:t>.</w:t>
      </w:r>
      <w:r w:rsidR="005C520C" w:rsidRPr="00127D16">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Αύξηση</w:t>
      </w:r>
      <w:r w:rsidR="00403BB9" w:rsidRPr="00403BB9">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καταγράφηκε</w:t>
      </w:r>
      <w:r w:rsidR="00E66C30" w:rsidRPr="00127D16">
        <w:rPr>
          <w:rFonts w:ascii="Verdana" w:hAnsi="Verdana"/>
          <w:sz w:val="18"/>
          <w:szCs w:val="18"/>
          <w:shd w:val="clear" w:color="auto" w:fill="FFFFFF"/>
        </w:rPr>
        <w:t xml:space="preserve"> </w:t>
      </w:r>
      <w:r w:rsidR="00CC7DBA" w:rsidRPr="00E66C30">
        <w:rPr>
          <w:rFonts w:ascii="Verdana" w:hAnsi="Verdana"/>
          <w:sz w:val="18"/>
          <w:szCs w:val="18"/>
          <w:shd w:val="clear" w:color="auto" w:fill="FFFFFF"/>
        </w:rPr>
        <w:t>στις προμήθειες πετρελαίου σε πλοία (</w:t>
      </w:r>
      <w:r w:rsidR="00CC7DBA" w:rsidRPr="00CC7DBA">
        <w:rPr>
          <w:rFonts w:ascii="Verdana" w:hAnsi="Verdana"/>
          <w:sz w:val="18"/>
          <w:szCs w:val="18"/>
          <w:shd w:val="clear" w:color="auto" w:fill="FFFFFF"/>
        </w:rPr>
        <w:t>112</w:t>
      </w:r>
      <w:r w:rsidR="00CC7DBA" w:rsidRPr="00E66C30">
        <w:rPr>
          <w:rFonts w:ascii="Verdana" w:hAnsi="Verdana"/>
          <w:sz w:val="18"/>
          <w:szCs w:val="18"/>
          <w:shd w:val="clear" w:color="auto" w:fill="FFFFFF"/>
        </w:rPr>
        <w:t>,</w:t>
      </w:r>
      <w:r w:rsidR="00CC7DBA" w:rsidRPr="00CC7DBA">
        <w:rPr>
          <w:rFonts w:ascii="Verdana" w:hAnsi="Verdana"/>
          <w:sz w:val="18"/>
          <w:szCs w:val="18"/>
          <w:shd w:val="clear" w:color="auto" w:fill="FFFFFF"/>
        </w:rPr>
        <w:t>3</w:t>
      </w:r>
      <w:r w:rsidR="00CC7DBA" w:rsidRPr="00E66C30">
        <w:rPr>
          <w:rFonts w:ascii="Verdana" w:hAnsi="Verdana"/>
          <w:sz w:val="18"/>
          <w:szCs w:val="18"/>
          <w:shd w:val="clear" w:color="auto" w:fill="FFFFFF"/>
        </w:rPr>
        <w:t>%) και σε αεροπλάνα (</w:t>
      </w:r>
      <w:r w:rsidR="00CC7DBA">
        <w:rPr>
          <w:rFonts w:ascii="Verdana" w:hAnsi="Verdana"/>
          <w:sz w:val="18"/>
          <w:szCs w:val="18"/>
          <w:shd w:val="clear" w:color="auto" w:fill="FFFFFF"/>
        </w:rPr>
        <w:t>1</w:t>
      </w:r>
      <w:r w:rsidR="00CC7DBA" w:rsidRPr="00CC7DBA">
        <w:rPr>
          <w:rFonts w:ascii="Verdana" w:hAnsi="Verdana"/>
          <w:sz w:val="18"/>
          <w:szCs w:val="18"/>
          <w:shd w:val="clear" w:color="auto" w:fill="FFFFFF"/>
        </w:rPr>
        <w:t>6</w:t>
      </w:r>
      <w:r w:rsidR="00CC7DBA" w:rsidRPr="00E66C30">
        <w:rPr>
          <w:rFonts w:ascii="Verdana" w:hAnsi="Verdana"/>
          <w:sz w:val="18"/>
          <w:szCs w:val="18"/>
          <w:shd w:val="clear" w:color="auto" w:fill="FFFFFF"/>
        </w:rPr>
        <w:t>,8%)</w:t>
      </w:r>
      <w:r w:rsidR="004714DD" w:rsidRPr="004714DD">
        <w:rPr>
          <w:rFonts w:ascii="Verdana" w:hAnsi="Verdana"/>
          <w:sz w:val="18"/>
          <w:szCs w:val="18"/>
          <w:shd w:val="clear" w:color="auto" w:fill="FFFFFF"/>
        </w:rPr>
        <w:t>, καθώς και στις πωλήσεις</w:t>
      </w:r>
      <w:r w:rsidR="001A1A82" w:rsidRPr="001A1A82">
        <w:rPr>
          <w:rFonts w:ascii="Verdana" w:hAnsi="Verdana"/>
          <w:sz w:val="18"/>
          <w:szCs w:val="18"/>
          <w:shd w:val="clear" w:color="auto" w:fill="FFFFFF"/>
        </w:rPr>
        <w:t xml:space="preserve"> </w:t>
      </w:r>
      <w:r w:rsidR="001A1A82" w:rsidRPr="004714DD">
        <w:rPr>
          <w:rFonts w:ascii="Verdana" w:hAnsi="Verdana"/>
          <w:sz w:val="18"/>
          <w:szCs w:val="18"/>
          <w:shd w:val="clear" w:color="auto" w:fill="FFFFFF"/>
        </w:rPr>
        <w:t>ασφάλτου (29,7%),</w:t>
      </w:r>
      <w:r w:rsidR="001A1A82" w:rsidRPr="001A1A82">
        <w:rPr>
          <w:rFonts w:ascii="Verdana" w:hAnsi="Verdana"/>
          <w:sz w:val="18"/>
          <w:szCs w:val="18"/>
          <w:shd w:val="clear" w:color="auto" w:fill="FFFFFF"/>
        </w:rPr>
        <w:t xml:space="preserve"> </w:t>
      </w:r>
      <w:r w:rsidR="001A1A82" w:rsidRPr="004714DD">
        <w:rPr>
          <w:rFonts w:ascii="Verdana" w:hAnsi="Verdana"/>
          <w:sz w:val="18"/>
          <w:szCs w:val="18"/>
          <w:shd w:val="clear" w:color="auto" w:fill="FFFFFF"/>
        </w:rPr>
        <w:t>υγραερίου (9</w:t>
      </w:r>
      <w:r w:rsidR="001A1A82" w:rsidRPr="001A1A82">
        <w:rPr>
          <w:rFonts w:ascii="Verdana" w:hAnsi="Verdana"/>
          <w:sz w:val="18"/>
          <w:szCs w:val="18"/>
          <w:shd w:val="clear" w:color="auto" w:fill="FFFFFF"/>
        </w:rPr>
        <w:t>,</w:t>
      </w:r>
      <w:r w:rsidR="001A1A82" w:rsidRPr="004714DD">
        <w:rPr>
          <w:rFonts w:ascii="Verdana" w:hAnsi="Verdana"/>
          <w:sz w:val="18"/>
          <w:szCs w:val="18"/>
          <w:shd w:val="clear" w:color="auto" w:fill="FFFFFF"/>
        </w:rPr>
        <w:t>1%), βενζίνης (8,6%)</w:t>
      </w:r>
      <w:r w:rsidR="001A1A82" w:rsidRPr="001A1A82">
        <w:rPr>
          <w:rFonts w:ascii="Verdana" w:hAnsi="Verdana"/>
          <w:sz w:val="18"/>
          <w:szCs w:val="18"/>
          <w:shd w:val="clear" w:color="auto" w:fill="FFFFFF"/>
        </w:rPr>
        <w:t>,</w:t>
      </w:r>
      <w:r w:rsidR="004714DD" w:rsidRPr="004714DD">
        <w:rPr>
          <w:rFonts w:ascii="Verdana" w:hAnsi="Verdana"/>
          <w:sz w:val="18"/>
          <w:szCs w:val="18"/>
          <w:shd w:val="clear" w:color="auto" w:fill="FFFFFF"/>
        </w:rPr>
        <w:t xml:space="preserve"> πετρελαίου θέρμανσης (7</w:t>
      </w:r>
      <w:r w:rsidR="001A1A82" w:rsidRPr="001A1A82">
        <w:rPr>
          <w:rFonts w:ascii="Verdana" w:hAnsi="Verdana"/>
          <w:sz w:val="18"/>
          <w:szCs w:val="18"/>
          <w:shd w:val="clear" w:color="auto" w:fill="FFFFFF"/>
        </w:rPr>
        <w:t>,</w:t>
      </w:r>
      <w:r w:rsidR="004714DD" w:rsidRPr="004714DD">
        <w:rPr>
          <w:rFonts w:ascii="Verdana" w:hAnsi="Verdana"/>
          <w:sz w:val="18"/>
          <w:szCs w:val="18"/>
          <w:shd w:val="clear" w:color="auto" w:fill="FFFFFF"/>
        </w:rPr>
        <w:t>4%)</w:t>
      </w:r>
      <w:r w:rsidR="001A1A82" w:rsidRPr="001A1A82">
        <w:rPr>
          <w:rFonts w:ascii="Verdana" w:hAnsi="Verdana"/>
          <w:sz w:val="18"/>
          <w:szCs w:val="18"/>
          <w:shd w:val="clear" w:color="auto" w:fill="FFFFFF"/>
        </w:rPr>
        <w:t xml:space="preserve"> </w:t>
      </w:r>
      <w:r w:rsidR="001A1A82">
        <w:rPr>
          <w:rFonts w:ascii="Verdana" w:hAnsi="Verdana"/>
          <w:sz w:val="18"/>
          <w:szCs w:val="18"/>
          <w:shd w:val="clear" w:color="auto" w:fill="FFFFFF"/>
        </w:rPr>
        <w:t>και</w:t>
      </w:r>
      <w:r w:rsidR="004714DD" w:rsidRPr="004714DD">
        <w:rPr>
          <w:rFonts w:ascii="Verdana" w:hAnsi="Verdana"/>
          <w:sz w:val="18"/>
          <w:szCs w:val="18"/>
          <w:shd w:val="clear" w:color="auto" w:fill="FFFFFF"/>
        </w:rPr>
        <w:t xml:space="preserve"> πετρελαίου κίνησης (6,9%)</w:t>
      </w:r>
      <w:r w:rsidR="001A1A82" w:rsidRPr="001A1A82">
        <w:rPr>
          <w:rFonts w:ascii="Verdana" w:hAnsi="Verdana"/>
          <w:sz w:val="18"/>
          <w:szCs w:val="18"/>
          <w:shd w:val="clear" w:color="auto" w:fill="FFFFFF"/>
        </w:rPr>
        <w:t xml:space="preserve">. </w:t>
      </w:r>
      <w:r w:rsidR="00397B6E">
        <w:rPr>
          <w:rFonts w:ascii="Verdana" w:hAnsi="Verdana"/>
          <w:sz w:val="18"/>
          <w:szCs w:val="18"/>
          <w:shd w:val="clear" w:color="auto" w:fill="FFFFFF"/>
        </w:rPr>
        <w:t>Στον αντίποδα</w:t>
      </w:r>
      <w:r w:rsidR="00E66C30" w:rsidRPr="00E66C30">
        <w:rPr>
          <w:rFonts w:ascii="Verdana" w:hAnsi="Verdana"/>
          <w:sz w:val="18"/>
          <w:szCs w:val="18"/>
          <w:shd w:val="clear" w:color="auto" w:fill="FFFFFF"/>
        </w:rPr>
        <w:t xml:space="preserve">, </w:t>
      </w:r>
      <w:r w:rsidR="004714DD" w:rsidRPr="004714DD">
        <w:rPr>
          <w:rFonts w:ascii="Verdana" w:hAnsi="Verdana"/>
          <w:sz w:val="18"/>
          <w:szCs w:val="18"/>
          <w:shd w:val="clear" w:color="auto" w:fill="FFFFFF"/>
        </w:rPr>
        <w:t>πτώση σημειώθηκε στις πωλήσεις ελαφρού μαζούτ (-47,</w:t>
      </w:r>
      <w:r w:rsidR="004714DD" w:rsidRPr="005D6F47">
        <w:rPr>
          <w:rFonts w:ascii="Verdana" w:hAnsi="Verdana"/>
          <w:sz w:val="18"/>
          <w:szCs w:val="18"/>
          <w:shd w:val="clear" w:color="auto" w:fill="FFFFFF"/>
        </w:rPr>
        <w:t>8</w:t>
      </w:r>
      <w:r w:rsidR="004714DD" w:rsidRPr="004714DD">
        <w:rPr>
          <w:rFonts w:ascii="Verdana" w:hAnsi="Verdana"/>
          <w:sz w:val="18"/>
          <w:szCs w:val="18"/>
          <w:shd w:val="clear" w:color="auto" w:fill="FFFFFF"/>
        </w:rPr>
        <w:t>%).</w:t>
      </w:r>
      <w:r w:rsidR="001E585E">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Όσον αφορά ειδικότερα στις πωλήσεις από πρατήρια πετρελαιοειδών, αυτές παρουσίασαν </w:t>
      </w:r>
      <w:r w:rsidR="005D6F47" w:rsidRPr="005D6F47">
        <w:rPr>
          <w:rFonts w:ascii="Verdana" w:hAnsi="Verdana"/>
          <w:sz w:val="18"/>
          <w:szCs w:val="18"/>
          <w:shd w:val="clear" w:color="auto" w:fill="FFFFFF"/>
        </w:rPr>
        <w:t xml:space="preserve">αύξηση </w:t>
      </w:r>
      <w:r w:rsidRPr="00127D16">
        <w:rPr>
          <w:rFonts w:ascii="Verdana" w:hAnsi="Verdana"/>
          <w:sz w:val="18"/>
          <w:szCs w:val="18"/>
          <w:shd w:val="clear" w:color="auto" w:fill="FFFFFF"/>
        </w:rPr>
        <w:t xml:space="preserve">της τάξης του </w:t>
      </w:r>
      <w:r w:rsidR="005D6F47" w:rsidRPr="005D6F47">
        <w:rPr>
          <w:rFonts w:ascii="Verdana" w:hAnsi="Verdana"/>
          <w:sz w:val="18"/>
          <w:szCs w:val="18"/>
          <w:shd w:val="clear" w:color="auto" w:fill="FFFFFF"/>
        </w:rPr>
        <w:t>6</w:t>
      </w:r>
      <w:r w:rsidR="00E66C30">
        <w:rPr>
          <w:rFonts w:ascii="Verdana" w:hAnsi="Verdana"/>
          <w:sz w:val="18"/>
          <w:szCs w:val="18"/>
          <w:shd w:val="clear" w:color="auto" w:fill="FFFFFF"/>
        </w:rPr>
        <w:t>,</w:t>
      </w:r>
      <w:r w:rsidR="005D6F47" w:rsidRPr="005D6F47">
        <w:rPr>
          <w:rFonts w:ascii="Verdana" w:hAnsi="Verdana"/>
          <w:sz w:val="18"/>
          <w:szCs w:val="18"/>
          <w:shd w:val="clear" w:color="auto" w:fill="FFFFFF"/>
        </w:rPr>
        <w:t>3</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 xml:space="preserve">στους </w:t>
      </w:r>
      <w:r w:rsidR="005D6F47" w:rsidRPr="005D6F47">
        <w:rPr>
          <w:rFonts w:ascii="Verdana" w:hAnsi="Verdana"/>
          <w:sz w:val="18"/>
          <w:szCs w:val="18"/>
          <w:shd w:val="clear" w:color="auto" w:fill="FFFFFF"/>
        </w:rPr>
        <w:t>61</w:t>
      </w:r>
      <w:r w:rsidR="00E66C30">
        <w:rPr>
          <w:rFonts w:ascii="Verdana" w:hAnsi="Verdana"/>
          <w:sz w:val="18"/>
          <w:szCs w:val="18"/>
          <w:shd w:val="clear" w:color="auto" w:fill="FFFFFF"/>
        </w:rPr>
        <w:t>.</w:t>
      </w:r>
      <w:r w:rsidR="005D6F47" w:rsidRPr="005D6F47">
        <w:rPr>
          <w:rFonts w:ascii="Verdana" w:hAnsi="Verdana"/>
          <w:sz w:val="18"/>
          <w:szCs w:val="18"/>
          <w:shd w:val="clear" w:color="auto" w:fill="FFFFFF"/>
        </w:rPr>
        <w:t>537</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τόνους.</w:t>
      </w:r>
    </w:p>
    <w:p w14:paraId="1C8E74EC" w14:textId="77777777" w:rsidR="00D255FD" w:rsidRPr="00074AF2" w:rsidRDefault="00D255FD" w:rsidP="00D255FD">
      <w:pPr>
        <w:ind w:right="-142"/>
        <w:jc w:val="both"/>
        <w:rPr>
          <w:rFonts w:ascii="Verdana" w:hAnsi="Verdana"/>
          <w:sz w:val="18"/>
          <w:szCs w:val="18"/>
          <w:shd w:val="clear" w:color="auto" w:fill="FFFFFF"/>
        </w:rPr>
      </w:pPr>
    </w:p>
    <w:p w14:paraId="4C894F9F" w14:textId="60D5B70D" w:rsidR="00163319" w:rsidRPr="007F7ED0" w:rsidRDefault="00163319" w:rsidP="00A862DF">
      <w:pPr>
        <w:jc w:val="both"/>
        <w:rPr>
          <w:rFonts w:ascii="Verdana" w:eastAsia="Times New Roman" w:hAnsi="Verdana" w:cs="Arial"/>
          <w:color w:val="000000"/>
          <w:sz w:val="18"/>
          <w:szCs w:val="18"/>
          <w:shd w:val="clear" w:color="auto" w:fill="FFFFFF"/>
        </w:rPr>
      </w:pPr>
      <w:r w:rsidRPr="00127D16">
        <w:rPr>
          <w:rFonts w:ascii="Verdana" w:hAnsi="Verdana"/>
          <w:sz w:val="18"/>
          <w:szCs w:val="18"/>
          <w:shd w:val="clear" w:color="auto" w:fill="FFFFFF"/>
        </w:rPr>
        <w:t xml:space="preserve">Οι ολικές πωλήσεις πετρελαιοειδών κατά τον μήνα </w:t>
      </w:r>
      <w:r w:rsidR="003443FD" w:rsidRPr="003443FD">
        <w:rPr>
          <w:rFonts w:ascii="Verdana" w:hAnsi="Verdana"/>
          <w:sz w:val="18"/>
          <w:szCs w:val="18"/>
          <w:shd w:val="clear" w:color="auto" w:fill="FFFFFF"/>
        </w:rPr>
        <w:t>Σεπτέμβριο</w:t>
      </w:r>
      <w:r w:rsidR="009A7B4F">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σε σύγκριση με τον</w:t>
      </w:r>
      <w:r w:rsidR="00A919AF">
        <w:rPr>
          <w:rFonts w:ascii="Verdana" w:hAnsi="Verdana"/>
          <w:sz w:val="18"/>
          <w:szCs w:val="18"/>
          <w:shd w:val="clear" w:color="auto" w:fill="FFFFFF"/>
        </w:rPr>
        <w:t xml:space="preserve"> </w:t>
      </w:r>
      <w:r w:rsidR="003443FD" w:rsidRPr="004B5B14">
        <w:rPr>
          <w:rFonts w:ascii="Verdana" w:hAnsi="Verdana"/>
          <w:sz w:val="18"/>
          <w:szCs w:val="18"/>
          <w:shd w:val="clear" w:color="auto" w:fill="FFFFFF"/>
        </w:rPr>
        <w:t>Αύγουστο</w:t>
      </w:r>
      <w:r w:rsidR="00A919AF">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σημείωσαν </w:t>
      </w:r>
      <w:r w:rsidR="007F7ED0" w:rsidRPr="007F7ED0">
        <w:rPr>
          <w:rFonts w:ascii="Verdana" w:hAnsi="Verdana"/>
          <w:sz w:val="18"/>
          <w:szCs w:val="18"/>
          <w:shd w:val="clear" w:color="auto" w:fill="FFFFFF"/>
        </w:rPr>
        <w:t xml:space="preserve">άνοδο </w:t>
      </w:r>
      <w:r w:rsidR="00DA1B0F" w:rsidRPr="00DA1B0F">
        <w:rPr>
          <w:rFonts w:ascii="Verdana" w:hAnsi="Verdana"/>
          <w:sz w:val="18"/>
          <w:szCs w:val="18"/>
          <w:shd w:val="clear" w:color="auto" w:fill="FFFFFF"/>
        </w:rPr>
        <w:t>17,</w:t>
      </w:r>
      <w:r w:rsidR="00DA1B0F" w:rsidRPr="007F7ED0">
        <w:rPr>
          <w:rFonts w:ascii="Verdana" w:hAnsi="Verdana"/>
          <w:sz w:val="18"/>
          <w:szCs w:val="18"/>
          <w:shd w:val="clear" w:color="auto" w:fill="FFFFFF"/>
        </w:rPr>
        <w:t>3</w:t>
      </w:r>
      <w:r w:rsidRPr="00127D16">
        <w:rPr>
          <w:rFonts w:ascii="Verdana" w:eastAsia="Times New Roman" w:hAnsi="Verdana" w:cs="Arial"/>
          <w:color w:val="000000"/>
          <w:sz w:val="18"/>
          <w:szCs w:val="18"/>
          <w:shd w:val="clear" w:color="auto" w:fill="FFFFFF"/>
        </w:rPr>
        <w:t xml:space="preserve">%. </w:t>
      </w:r>
      <w:r w:rsidR="00E1685D" w:rsidRPr="00E1685D">
        <w:rPr>
          <w:rFonts w:ascii="Verdana" w:eastAsia="Times New Roman" w:hAnsi="Verdana" w:cs="Arial"/>
          <w:color w:val="000000"/>
          <w:sz w:val="18"/>
          <w:szCs w:val="18"/>
          <w:shd w:val="clear" w:color="auto" w:fill="FFFFFF"/>
        </w:rPr>
        <w:t xml:space="preserve">Ενδεικτικά, </w:t>
      </w:r>
      <w:r w:rsidR="007F7ED0" w:rsidRPr="007F7ED0">
        <w:rPr>
          <w:rFonts w:ascii="Verdana" w:eastAsia="Times New Roman" w:hAnsi="Verdana" w:cs="Arial"/>
          <w:color w:val="000000"/>
          <w:sz w:val="18"/>
          <w:szCs w:val="18"/>
          <w:shd w:val="clear" w:color="auto" w:fill="FFFFFF"/>
        </w:rPr>
        <w:t xml:space="preserve">αυξήθηκαν </w:t>
      </w:r>
      <w:r w:rsidR="007F7ED0">
        <w:rPr>
          <w:rFonts w:ascii="Verdana" w:eastAsia="Times New Roman" w:hAnsi="Verdana" w:cs="Arial"/>
          <w:color w:val="000000"/>
          <w:sz w:val="18"/>
          <w:szCs w:val="18"/>
          <w:shd w:val="clear" w:color="auto" w:fill="FFFFFF"/>
        </w:rPr>
        <w:t>οι</w:t>
      </w:r>
      <w:r w:rsidR="007F7ED0" w:rsidRPr="007F7ED0">
        <w:rPr>
          <w:rFonts w:ascii="Verdana" w:eastAsia="Times New Roman" w:hAnsi="Verdana" w:cs="Arial"/>
          <w:color w:val="000000"/>
          <w:sz w:val="18"/>
          <w:szCs w:val="18"/>
          <w:shd w:val="clear" w:color="auto" w:fill="FFFFFF"/>
        </w:rPr>
        <w:t xml:space="preserve"> </w:t>
      </w:r>
      <w:r w:rsidR="007F7ED0" w:rsidRPr="00E66C30">
        <w:rPr>
          <w:rFonts w:ascii="Verdana" w:hAnsi="Verdana"/>
          <w:sz w:val="18"/>
          <w:szCs w:val="18"/>
          <w:shd w:val="clear" w:color="auto" w:fill="FFFFFF"/>
        </w:rPr>
        <w:t>προμήθειες πετρελαίου σε πλοία (</w:t>
      </w:r>
      <w:r w:rsidR="00A862DF">
        <w:rPr>
          <w:rFonts w:ascii="Verdana" w:hAnsi="Verdana"/>
          <w:sz w:val="18"/>
          <w:szCs w:val="18"/>
          <w:shd w:val="clear" w:color="auto" w:fill="FFFFFF"/>
        </w:rPr>
        <w:t>61,7</w:t>
      </w:r>
      <w:r w:rsidR="007F7ED0" w:rsidRPr="00E66C30">
        <w:rPr>
          <w:rFonts w:ascii="Verdana" w:hAnsi="Verdana"/>
          <w:sz w:val="18"/>
          <w:szCs w:val="18"/>
          <w:shd w:val="clear" w:color="auto" w:fill="FFFFFF"/>
        </w:rPr>
        <w:t xml:space="preserve">%) </w:t>
      </w:r>
      <w:r w:rsidR="007F7ED0" w:rsidRPr="007F7ED0">
        <w:rPr>
          <w:rFonts w:ascii="Verdana" w:eastAsia="Times New Roman" w:hAnsi="Verdana" w:cs="Arial"/>
          <w:color w:val="000000"/>
          <w:sz w:val="18"/>
          <w:szCs w:val="18"/>
          <w:shd w:val="clear" w:color="auto" w:fill="FFFFFF"/>
        </w:rPr>
        <w:t xml:space="preserve"> </w:t>
      </w:r>
      <w:r w:rsidR="007F7ED0">
        <w:rPr>
          <w:rFonts w:ascii="Verdana" w:eastAsia="Times New Roman" w:hAnsi="Verdana" w:cs="Arial"/>
          <w:color w:val="000000"/>
          <w:sz w:val="18"/>
          <w:szCs w:val="18"/>
          <w:shd w:val="clear" w:color="auto" w:fill="FFFFFF"/>
        </w:rPr>
        <w:t xml:space="preserve">και </w:t>
      </w:r>
      <w:r w:rsidR="007F7ED0" w:rsidRPr="007F7ED0">
        <w:rPr>
          <w:rFonts w:ascii="Verdana" w:eastAsia="Times New Roman" w:hAnsi="Verdana" w:cs="Arial"/>
          <w:color w:val="000000"/>
          <w:sz w:val="18"/>
          <w:szCs w:val="18"/>
          <w:shd w:val="clear" w:color="auto" w:fill="FFFFFF"/>
        </w:rPr>
        <w:t>οι πωλήσεις πετρελαίου κίνησης (</w:t>
      </w:r>
      <w:r w:rsidR="00A862DF">
        <w:rPr>
          <w:rFonts w:ascii="Verdana" w:eastAsia="Times New Roman" w:hAnsi="Verdana" w:cs="Arial"/>
          <w:color w:val="000000"/>
          <w:sz w:val="18"/>
          <w:szCs w:val="18"/>
          <w:shd w:val="clear" w:color="auto" w:fill="FFFFFF"/>
        </w:rPr>
        <w:t>21,1</w:t>
      </w:r>
      <w:r w:rsidR="007F7ED0" w:rsidRPr="007F7ED0">
        <w:rPr>
          <w:rFonts w:ascii="Verdana" w:eastAsia="Times New Roman" w:hAnsi="Verdana" w:cs="Arial"/>
          <w:color w:val="000000"/>
          <w:sz w:val="18"/>
          <w:szCs w:val="18"/>
          <w:shd w:val="clear" w:color="auto" w:fill="FFFFFF"/>
        </w:rPr>
        <w:t>%) και βενζίνης</w:t>
      </w:r>
      <w:r w:rsidR="007F7ED0">
        <w:rPr>
          <w:rFonts w:ascii="Verdana" w:eastAsia="Times New Roman" w:hAnsi="Verdana" w:cs="Arial"/>
          <w:color w:val="000000"/>
          <w:sz w:val="18"/>
          <w:szCs w:val="18"/>
          <w:shd w:val="clear" w:color="auto" w:fill="FFFFFF"/>
        </w:rPr>
        <w:t xml:space="preserve"> </w:t>
      </w:r>
      <w:r w:rsidR="007F7ED0" w:rsidRPr="007F7ED0">
        <w:rPr>
          <w:rFonts w:ascii="Verdana" w:eastAsia="Times New Roman" w:hAnsi="Verdana" w:cs="Arial"/>
          <w:color w:val="000000"/>
          <w:sz w:val="18"/>
          <w:szCs w:val="18"/>
          <w:shd w:val="clear" w:color="auto" w:fill="FFFFFF"/>
        </w:rPr>
        <w:t>(</w:t>
      </w:r>
      <w:r w:rsidR="00A862DF">
        <w:rPr>
          <w:rFonts w:ascii="Verdana" w:eastAsia="Times New Roman" w:hAnsi="Verdana" w:cs="Arial"/>
          <w:color w:val="000000"/>
          <w:sz w:val="18"/>
          <w:szCs w:val="18"/>
          <w:shd w:val="clear" w:color="auto" w:fill="FFFFFF"/>
        </w:rPr>
        <w:t>10,0</w:t>
      </w:r>
      <w:r w:rsidR="007F7ED0" w:rsidRPr="007F7ED0">
        <w:rPr>
          <w:rFonts w:ascii="Verdana" w:eastAsia="Times New Roman" w:hAnsi="Verdana" w:cs="Arial"/>
          <w:color w:val="000000"/>
          <w:sz w:val="18"/>
          <w:szCs w:val="18"/>
          <w:shd w:val="clear" w:color="auto" w:fill="FFFFFF"/>
        </w:rPr>
        <w:t>%), ενώ μειώθηκαν οι προμήθειες πετρελαίου σε αεροπλάνα (-5,6%).</w:t>
      </w:r>
      <w:r w:rsidR="007F7ED0">
        <w:rPr>
          <w:rFonts w:ascii="Verdana" w:eastAsia="Times New Roman" w:hAnsi="Verdana" w:cs="Arial"/>
          <w:color w:val="000000"/>
          <w:sz w:val="18"/>
          <w:szCs w:val="18"/>
          <w:shd w:val="clear" w:color="auto" w:fill="FFFFFF"/>
        </w:rPr>
        <w:t xml:space="preserve"> </w:t>
      </w:r>
      <w:r w:rsidRPr="0066405A">
        <w:rPr>
          <w:rFonts w:ascii="Verdana" w:hAnsi="Verdana"/>
          <w:sz w:val="18"/>
          <w:szCs w:val="18"/>
          <w:shd w:val="clear" w:color="auto" w:fill="FFFFFF"/>
        </w:rPr>
        <w:t xml:space="preserve">Τα ολικά αποθέματα πετρελαιοειδών στο τέλος </w:t>
      </w:r>
      <w:r w:rsidR="003443FD" w:rsidRPr="003443FD">
        <w:rPr>
          <w:rFonts w:ascii="Verdana" w:hAnsi="Verdana"/>
          <w:sz w:val="18"/>
          <w:szCs w:val="18"/>
          <w:shd w:val="clear" w:color="auto" w:fill="FFFFFF"/>
        </w:rPr>
        <w:t>Σεπτεμβρίου</w:t>
      </w:r>
      <w:r w:rsidR="00636CBA" w:rsidRPr="0066405A">
        <w:rPr>
          <w:rFonts w:ascii="Verdana" w:hAnsi="Verdana"/>
          <w:sz w:val="18"/>
          <w:szCs w:val="18"/>
          <w:shd w:val="clear" w:color="auto" w:fill="FFFFFF"/>
        </w:rPr>
        <w:t xml:space="preserve"> </w:t>
      </w:r>
      <w:r w:rsidRPr="0066405A">
        <w:rPr>
          <w:rFonts w:ascii="Verdana" w:hAnsi="Verdana"/>
          <w:sz w:val="18"/>
          <w:szCs w:val="18"/>
          <w:shd w:val="clear" w:color="auto" w:fill="FFFFFF"/>
        </w:rPr>
        <w:t>202</w:t>
      </w:r>
      <w:r w:rsidR="00B83B6D" w:rsidRPr="0066405A">
        <w:rPr>
          <w:rFonts w:ascii="Verdana" w:hAnsi="Verdana"/>
          <w:sz w:val="18"/>
          <w:szCs w:val="18"/>
          <w:shd w:val="clear" w:color="auto" w:fill="FFFFFF"/>
        </w:rPr>
        <w:t>5</w:t>
      </w:r>
      <w:r w:rsidRPr="0066405A">
        <w:rPr>
          <w:rFonts w:ascii="Verdana" w:hAnsi="Verdana"/>
          <w:sz w:val="18"/>
          <w:szCs w:val="18"/>
          <w:shd w:val="clear" w:color="auto" w:fill="FFFFFF"/>
        </w:rPr>
        <w:t xml:space="preserve"> </w:t>
      </w:r>
      <w:r w:rsidR="00A862DF" w:rsidRPr="00A862DF">
        <w:rPr>
          <w:rFonts w:ascii="Verdana" w:hAnsi="Verdana"/>
          <w:sz w:val="18"/>
          <w:szCs w:val="18"/>
          <w:shd w:val="clear" w:color="auto" w:fill="FFFFFF"/>
        </w:rPr>
        <w:t>αυξήθηκαν</w:t>
      </w:r>
      <w:r w:rsidR="00D10CBA">
        <w:rPr>
          <w:rFonts w:ascii="Verdana" w:hAnsi="Verdana"/>
          <w:sz w:val="18"/>
          <w:szCs w:val="18"/>
          <w:shd w:val="clear" w:color="auto" w:fill="FFFFFF"/>
        </w:rPr>
        <w:t xml:space="preserve"> </w:t>
      </w:r>
      <w:r w:rsidRPr="0066405A">
        <w:rPr>
          <w:rFonts w:ascii="Verdana" w:hAnsi="Verdana"/>
          <w:sz w:val="18"/>
          <w:szCs w:val="18"/>
          <w:shd w:val="clear" w:color="auto" w:fill="FFFFFF"/>
        </w:rPr>
        <w:t xml:space="preserve">κατά </w:t>
      </w:r>
      <w:r w:rsidR="00FA3964">
        <w:rPr>
          <w:rFonts w:ascii="Verdana" w:hAnsi="Verdana"/>
          <w:sz w:val="18"/>
          <w:szCs w:val="18"/>
          <w:shd w:val="clear" w:color="auto" w:fill="FFFFFF"/>
        </w:rPr>
        <w:t>38,9</w:t>
      </w:r>
      <w:r w:rsidRPr="0066405A">
        <w:rPr>
          <w:rFonts w:ascii="Verdana" w:hAnsi="Verdana"/>
          <w:sz w:val="18"/>
          <w:szCs w:val="18"/>
          <w:shd w:val="clear" w:color="auto" w:fill="FFFFFF"/>
        </w:rPr>
        <w:t>% σ</w:t>
      </w:r>
      <w:r w:rsidRPr="00127D16">
        <w:rPr>
          <w:rFonts w:ascii="Verdana" w:hAnsi="Verdana"/>
          <w:sz w:val="18"/>
          <w:szCs w:val="18"/>
          <w:shd w:val="clear" w:color="auto" w:fill="FFFFFF"/>
        </w:rPr>
        <w:t>ε σχέση με το τέλος του προηγούμενου μήνα.</w:t>
      </w:r>
    </w:p>
    <w:p w14:paraId="38C455E1" w14:textId="77777777" w:rsidR="00F56ADA" w:rsidRPr="00127D16" w:rsidRDefault="00F56ADA" w:rsidP="00510C81">
      <w:pPr>
        <w:jc w:val="both"/>
        <w:rPr>
          <w:rFonts w:ascii="Verdana" w:hAnsi="Verdana"/>
          <w:sz w:val="18"/>
          <w:szCs w:val="18"/>
          <w:shd w:val="clear" w:color="auto" w:fill="FFFFFF"/>
        </w:rPr>
      </w:pPr>
    </w:p>
    <w:p w14:paraId="0A1ABEC2" w14:textId="429E2977" w:rsidR="002846E4" w:rsidRDefault="00F56ADA" w:rsidP="003443FD">
      <w:pPr>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την περίοδο Ιανουαρίου – </w:t>
      </w:r>
      <w:r w:rsidR="003443FD" w:rsidRPr="003443FD">
        <w:rPr>
          <w:rFonts w:ascii="Verdana" w:hAnsi="Verdana"/>
          <w:sz w:val="18"/>
          <w:szCs w:val="18"/>
          <w:shd w:val="clear" w:color="auto" w:fill="FFFFFF"/>
        </w:rPr>
        <w:t>Σεπτεμβρίου</w:t>
      </w:r>
      <w:r w:rsidR="00636CBA" w:rsidRPr="00636CBA">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2025, οι ολικές πωλήσεις πετρελαιοειδών </w:t>
      </w:r>
      <w:r w:rsidR="00397B6E">
        <w:rPr>
          <w:rFonts w:ascii="Verdana" w:hAnsi="Verdana"/>
          <w:sz w:val="18"/>
          <w:szCs w:val="18"/>
          <w:shd w:val="clear" w:color="auto" w:fill="FFFFFF"/>
        </w:rPr>
        <w:t>αυξ</w:t>
      </w:r>
      <w:r w:rsidR="00714893">
        <w:rPr>
          <w:rFonts w:ascii="Verdana" w:hAnsi="Verdana"/>
          <w:sz w:val="18"/>
          <w:szCs w:val="18"/>
          <w:shd w:val="clear" w:color="auto" w:fill="FFFFFF"/>
        </w:rPr>
        <w:t>ή</w:t>
      </w:r>
      <w:r w:rsidR="00397B6E">
        <w:rPr>
          <w:rFonts w:ascii="Verdana" w:hAnsi="Verdana"/>
          <w:sz w:val="18"/>
          <w:szCs w:val="18"/>
          <w:shd w:val="clear" w:color="auto" w:fill="FFFFFF"/>
        </w:rPr>
        <w:t>θηκαν κατ</w:t>
      </w:r>
      <w:r w:rsidR="00714893">
        <w:rPr>
          <w:rFonts w:ascii="Verdana" w:hAnsi="Verdana"/>
          <w:sz w:val="18"/>
          <w:szCs w:val="18"/>
          <w:shd w:val="clear" w:color="auto" w:fill="FFFFFF"/>
        </w:rPr>
        <w:t>ά</w:t>
      </w:r>
      <w:r w:rsidR="00832B22" w:rsidRPr="00832B22">
        <w:rPr>
          <w:rFonts w:ascii="Verdana" w:hAnsi="Verdana"/>
          <w:sz w:val="18"/>
          <w:szCs w:val="18"/>
          <w:shd w:val="clear" w:color="auto" w:fill="FFFFFF"/>
        </w:rPr>
        <w:t xml:space="preserve"> </w:t>
      </w:r>
      <w:r w:rsidR="00A862DF">
        <w:rPr>
          <w:rFonts w:ascii="Verdana" w:hAnsi="Verdana"/>
          <w:sz w:val="18"/>
          <w:szCs w:val="18"/>
          <w:shd w:val="clear" w:color="auto" w:fill="FFFFFF"/>
        </w:rPr>
        <w:t>4,7</w:t>
      </w:r>
      <w:r w:rsidRPr="00127D16">
        <w:rPr>
          <w:rFonts w:ascii="Verdana" w:hAnsi="Verdana"/>
          <w:sz w:val="18"/>
          <w:szCs w:val="18"/>
          <w:shd w:val="clear" w:color="auto" w:fill="FFFFFF"/>
        </w:rPr>
        <w:t>% σε σύγκριση με την αντίστοιχη περίοδο του προηγούμενου έτους.</w:t>
      </w:r>
    </w:p>
    <w:p w14:paraId="7738A0C1" w14:textId="77777777" w:rsidR="00E66C30" w:rsidRPr="00127D16" w:rsidRDefault="00E66C30" w:rsidP="00E66C30">
      <w:pPr>
        <w:jc w:val="both"/>
        <w:rPr>
          <w:rFonts w:ascii="Verdana" w:hAnsi="Verdana"/>
          <w:sz w:val="18"/>
          <w:szCs w:val="18"/>
          <w:shd w:val="clear" w:color="auto" w:fill="FFFFFF"/>
        </w:rPr>
      </w:pPr>
    </w:p>
    <w:p w14:paraId="27DD6D68" w14:textId="396BA44F" w:rsidR="00001B46" w:rsidRPr="00127D16" w:rsidRDefault="00074AF2" w:rsidP="0033516D">
      <w:pPr>
        <w:jc w:val="center"/>
        <w:rPr>
          <w:rFonts w:ascii="Verdana" w:hAnsi="Verdana"/>
          <w:sz w:val="18"/>
          <w:szCs w:val="18"/>
          <w:shd w:val="clear" w:color="auto" w:fill="FFFFFF"/>
        </w:rPr>
      </w:pPr>
      <w:r>
        <w:rPr>
          <w:rFonts w:ascii="Verdana" w:hAnsi="Verdana"/>
          <w:sz w:val="18"/>
          <w:szCs w:val="18"/>
          <w:shd w:val="clear" w:color="auto" w:fill="FFFFFF"/>
        </w:rPr>
        <w:drawing>
          <wp:inline distT="0" distB="0" distL="0" distR="0" wp14:anchorId="44B1E53A" wp14:editId="11AE30F6">
            <wp:extent cx="6134100" cy="3743325"/>
            <wp:effectExtent l="0" t="0" r="0" b="9525"/>
            <wp:docPr id="316754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3743325"/>
                    </a:xfrm>
                    <a:prstGeom prst="rect">
                      <a:avLst/>
                    </a:prstGeom>
                    <a:noFill/>
                  </pic:spPr>
                </pic:pic>
              </a:graphicData>
            </a:graphic>
          </wp:inline>
        </w:drawing>
      </w:r>
    </w:p>
    <w:p w14:paraId="48628727" w14:textId="77777777" w:rsidR="00001B46" w:rsidRDefault="00001B46" w:rsidP="003C4AD2">
      <w:pPr>
        <w:jc w:val="both"/>
        <w:rPr>
          <w:rFonts w:ascii="Verdana" w:hAnsi="Verdana"/>
          <w:sz w:val="18"/>
          <w:szCs w:val="18"/>
          <w:shd w:val="clear" w:color="auto" w:fill="FFFFFF"/>
          <w:lang w:val="en-US"/>
        </w:rPr>
      </w:pPr>
    </w:p>
    <w:p w14:paraId="083153EE" w14:textId="77777777" w:rsidR="00074AF2" w:rsidRPr="00074AF2" w:rsidRDefault="00074AF2" w:rsidP="003C4AD2">
      <w:pPr>
        <w:jc w:val="both"/>
        <w:rPr>
          <w:rFonts w:ascii="Verdana" w:hAnsi="Verdana"/>
          <w:sz w:val="18"/>
          <w:szCs w:val="18"/>
          <w:shd w:val="clear" w:color="auto" w:fill="FFFFFF"/>
          <w:lang w:val="en-US"/>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233FC" w:rsidRPr="00127D16" w14:paraId="7EA8830E" w14:textId="77777777" w:rsidTr="00B64667">
        <w:trPr>
          <w:trHeight w:val="284"/>
          <w:jc w:val="center"/>
        </w:trPr>
        <w:tc>
          <w:tcPr>
            <w:tcW w:w="2367" w:type="dxa"/>
            <w:tcBorders>
              <w:bottom w:val="single" w:sz="4" w:space="0" w:color="366092"/>
            </w:tcBorders>
            <w:vAlign w:val="center"/>
          </w:tcPr>
          <w:p w14:paraId="5B226E3F" w14:textId="5BE49228" w:rsidR="00B065C7" w:rsidRPr="00127D16" w:rsidRDefault="00A512B3" w:rsidP="00A512B3">
            <w:pPr>
              <w:rPr>
                <w:rFonts w:ascii="Verdana" w:hAnsi="Verdana"/>
                <w:b/>
                <w:bCs/>
                <w:color w:val="366092"/>
                <w:sz w:val="18"/>
                <w:szCs w:val="18"/>
              </w:rPr>
            </w:pPr>
            <w:r w:rsidRPr="00127D16">
              <w:rPr>
                <w:rFonts w:ascii="Verdana" w:hAnsi="Verdana"/>
                <w:b/>
                <w:bCs/>
                <w:color w:val="366092"/>
                <w:sz w:val="18"/>
                <w:szCs w:val="18"/>
              </w:rPr>
              <w:lastRenderedPageBreak/>
              <w:t>Πίνακας 1</w:t>
            </w:r>
          </w:p>
        </w:tc>
        <w:tc>
          <w:tcPr>
            <w:tcW w:w="1097" w:type="dxa"/>
            <w:tcBorders>
              <w:bottom w:val="single" w:sz="4" w:space="0" w:color="366092"/>
            </w:tcBorders>
          </w:tcPr>
          <w:p w14:paraId="52EC44EC" w14:textId="77777777" w:rsidR="00B065C7" w:rsidRPr="00127D16" w:rsidRDefault="00B065C7" w:rsidP="00B065C7">
            <w:pPr>
              <w:jc w:val="both"/>
              <w:rPr>
                <w:rFonts w:ascii="Verdana" w:hAnsi="Verdana"/>
                <w:color w:val="366092"/>
                <w:sz w:val="18"/>
                <w:szCs w:val="18"/>
              </w:rPr>
            </w:pPr>
          </w:p>
        </w:tc>
        <w:tc>
          <w:tcPr>
            <w:tcW w:w="1096" w:type="dxa"/>
            <w:tcBorders>
              <w:bottom w:val="single" w:sz="4" w:space="0" w:color="366092"/>
            </w:tcBorders>
          </w:tcPr>
          <w:p w14:paraId="4D1CEA00" w14:textId="77777777" w:rsidR="00B065C7" w:rsidRPr="00127D16" w:rsidRDefault="00B065C7" w:rsidP="00B065C7">
            <w:pPr>
              <w:jc w:val="both"/>
              <w:rPr>
                <w:rFonts w:ascii="Verdana" w:hAnsi="Verdana"/>
                <w:color w:val="366092"/>
                <w:sz w:val="18"/>
                <w:szCs w:val="18"/>
              </w:rPr>
            </w:pPr>
          </w:p>
        </w:tc>
        <w:tc>
          <w:tcPr>
            <w:tcW w:w="1269" w:type="dxa"/>
            <w:tcBorders>
              <w:bottom w:val="single" w:sz="4" w:space="0" w:color="366092"/>
            </w:tcBorders>
          </w:tcPr>
          <w:p w14:paraId="6949DACA" w14:textId="77777777" w:rsidR="00B065C7" w:rsidRPr="00127D16" w:rsidRDefault="00B065C7" w:rsidP="00B065C7">
            <w:pPr>
              <w:jc w:val="both"/>
              <w:rPr>
                <w:rFonts w:ascii="Verdana" w:hAnsi="Verdana"/>
                <w:color w:val="366092"/>
                <w:sz w:val="18"/>
                <w:szCs w:val="18"/>
              </w:rPr>
            </w:pPr>
          </w:p>
        </w:tc>
        <w:tc>
          <w:tcPr>
            <w:tcW w:w="1269" w:type="dxa"/>
            <w:tcBorders>
              <w:bottom w:val="single" w:sz="4" w:space="0" w:color="366092"/>
            </w:tcBorders>
          </w:tcPr>
          <w:p w14:paraId="515B5A96" w14:textId="77777777" w:rsidR="00B065C7" w:rsidRPr="00127D16" w:rsidRDefault="00B065C7" w:rsidP="00B065C7">
            <w:pPr>
              <w:jc w:val="both"/>
              <w:rPr>
                <w:rFonts w:ascii="Verdana" w:hAnsi="Verdana"/>
                <w:color w:val="366092"/>
                <w:sz w:val="18"/>
                <w:szCs w:val="18"/>
              </w:rPr>
            </w:pPr>
          </w:p>
        </w:tc>
        <w:tc>
          <w:tcPr>
            <w:tcW w:w="240" w:type="dxa"/>
            <w:tcBorders>
              <w:bottom w:val="single" w:sz="4" w:space="0" w:color="366092"/>
            </w:tcBorders>
          </w:tcPr>
          <w:p w14:paraId="62FB7DCA" w14:textId="77777777" w:rsidR="00B065C7" w:rsidRPr="00127D16" w:rsidRDefault="00B065C7" w:rsidP="00B065C7">
            <w:pPr>
              <w:jc w:val="both"/>
              <w:rPr>
                <w:rFonts w:ascii="Verdana" w:hAnsi="Verdana"/>
                <w:color w:val="366092"/>
                <w:sz w:val="18"/>
                <w:szCs w:val="18"/>
              </w:rPr>
            </w:pPr>
          </w:p>
        </w:tc>
        <w:tc>
          <w:tcPr>
            <w:tcW w:w="1400" w:type="dxa"/>
            <w:tcBorders>
              <w:bottom w:val="single" w:sz="4" w:space="0" w:color="366092"/>
            </w:tcBorders>
          </w:tcPr>
          <w:p w14:paraId="38AF1937" w14:textId="73176145" w:rsidR="00B065C7" w:rsidRPr="00127D16" w:rsidRDefault="00B065C7" w:rsidP="00B065C7">
            <w:pPr>
              <w:jc w:val="both"/>
              <w:rPr>
                <w:rFonts w:ascii="Verdana" w:hAnsi="Verdana"/>
                <w:color w:val="366092"/>
                <w:sz w:val="18"/>
                <w:szCs w:val="18"/>
              </w:rPr>
            </w:pPr>
          </w:p>
        </w:tc>
        <w:tc>
          <w:tcPr>
            <w:tcW w:w="1400" w:type="dxa"/>
            <w:tcBorders>
              <w:bottom w:val="single" w:sz="4" w:space="0" w:color="366092"/>
            </w:tcBorders>
          </w:tcPr>
          <w:p w14:paraId="30671BF6" w14:textId="77777777" w:rsidR="00B065C7" w:rsidRPr="00127D16" w:rsidRDefault="00B065C7" w:rsidP="00B065C7">
            <w:pPr>
              <w:jc w:val="both"/>
              <w:rPr>
                <w:rFonts w:ascii="Verdana" w:hAnsi="Verdana"/>
                <w:color w:val="366092"/>
                <w:sz w:val="18"/>
                <w:szCs w:val="18"/>
              </w:rPr>
            </w:pPr>
          </w:p>
        </w:tc>
      </w:tr>
      <w:tr w:rsidR="000233FC" w:rsidRPr="00127D16" w14:paraId="5B73303F" w14:textId="77777777" w:rsidTr="00B64667">
        <w:trPr>
          <w:trHeight w:val="510"/>
          <w:jc w:val="center"/>
        </w:trPr>
        <w:tc>
          <w:tcPr>
            <w:tcW w:w="2367" w:type="dxa"/>
            <w:vMerge w:val="restart"/>
            <w:tcBorders>
              <w:top w:val="single" w:sz="4" w:space="0" w:color="366092"/>
              <w:bottom w:val="single" w:sz="4" w:space="0" w:color="366092"/>
            </w:tcBorders>
            <w:vAlign w:val="center"/>
          </w:tcPr>
          <w:p w14:paraId="21B8B65C" w14:textId="4BA97EB3"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2E2E2600" w14:textId="551D75BA"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Ολικές Πωλήσεις (τόνοι)</w:t>
            </w:r>
          </w:p>
        </w:tc>
        <w:tc>
          <w:tcPr>
            <w:tcW w:w="240" w:type="dxa"/>
            <w:tcBorders>
              <w:top w:val="single" w:sz="4" w:space="0" w:color="366092"/>
            </w:tcBorders>
            <w:vAlign w:val="center"/>
          </w:tcPr>
          <w:p w14:paraId="07CCB0BA" w14:textId="77777777" w:rsidR="00A512B3" w:rsidRPr="00127D16" w:rsidRDefault="00A512B3" w:rsidP="00A512B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061B2BFD" w14:textId="6AD4AC94"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Ποσοστιαία Μεταβολή (%)</w:t>
            </w:r>
          </w:p>
        </w:tc>
      </w:tr>
      <w:tr w:rsidR="000233FC" w:rsidRPr="00127D16" w14:paraId="7DB58FAD" w14:textId="77777777" w:rsidTr="00B64667">
        <w:trPr>
          <w:trHeight w:val="624"/>
          <w:jc w:val="center"/>
        </w:trPr>
        <w:tc>
          <w:tcPr>
            <w:tcW w:w="2367" w:type="dxa"/>
            <w:vMerge/>
            <w:tcBorders>
              <w:top w:val="single" w:sz="4" w:space="0" w:color="366092"/>
              <w:bottom w:val="single" w:sz="4" w:space="0" w:color="366092"/>
            </w:tcBorders>
          </w:tcPr>
          <w:p w14:paraId="6D0EC896" w14:textId="77777777" w:rsidR="00136365" w:rsidRPr="00127D16" w:rsidRDefault="00136365" w:rsidP="00136365">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6B320B51" w14:textId="1F8A2CF8" w:rsidR="00136365" w:rsidRPr="00127D16" w:rsidRDefault="00396276" w:rsidP="00396276">
            <w:pPr>
              <w:jc w:val="center"/>
              <w:rPr>
                <w:rFonts w:ascii="Verdana" w:hAnsi="Verdana" w:cs="Arial"/>
                <w:b/>
                <w:bCs/>
                <w:color w:val="366092"/>
                <w:sz w:val="18"/>
                <w:szCs w:val="18"/>
              </w:rPr>
            </w:pPr>
            <w:r w:rsidRPr="00396276">
              <w:rPr>
                <w:rFonts w:ascii="Verdana" w:hAnsi="Verdana" w:cs="Arial"/>
                <w:b/>
                <w:bCs/>
                <w:color w:val="366092"/>
                <w:sz w:val="18"/>
                <w:szCs w:val="18"/>
              </w:rPr>
              <w:t>Σεπτ</w:t>
            </w:r>
            <w:r w:rsidR="00136365" w:rsidRPr="00127D16">
              <w:rPr>
                <w:rFonts w:ascii="Verdana" w:hAnsi="Verdana" w:cs="Arial"/>
                <w:b/>
                <w:bCs/>
                <w:color w:val="366092"/>
                <w:sz w:val="18"/>
                <w:szCs w:val="18"/>
              </w:rPr>
              <w:br/>
              <w:t>202</w:t>
            </w:r>
            <w:r w:rsidR="00E76FC5" w:rsidRPr="00127D16">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79E900C2" w14:textId="6AF2D232" w:rsidR="00136365" w:rsidRPr="00127D16" w:rsidRDefault="00396276" w:rsidP="00396276">
            <w:pPr>
              <w:jc w:val="center"/>
              <w:rPr>
                <w:rFonts w:ascii="Verdana" w:hAnsi="Verdana" w:cs="Arial"/>
                <w:b/>
                <w:bCs/>
                <w:color w:val="366092"/>
                <w:sz w:val="18"/>
                <w:szCs w:val="18"/>
              </w:rPr>
            </w:pPr>
            <w:r w:rsidRPr="00396276">
              <w:rPr>
                <w:rFonts w:ascii="Verdana" w:hAnsi="Verdana" w:cs="Arial"/>
                <w:b/>
                <w:bCs/>
                <w:color w:val="366092"/>
                <w:sz w:val="18"/>
                <w:szCs w:val="18"/>
              </w:rPr>
              <w:t>Σεπτ</w:t>
            </w:r>
            <w:r w:rsidR="00136365" w:rsidRPr="00127D16">
              <w:rPr>
                <w:rFonts w:ascii="Verdana" w:hAnsi="Verdana" w:cs="Arial"/>
                <w:b/>
                <w:bCs/>
                <w:color w:val="366092"/>
                <w:sz w:val="18"/>
                <w:szCs w:val="18"/>
              </w:rPr>
              <w:br/>
              <w:t>202</w:t>
            </w:r>
            <w:r w:rsidR="00E76FC5" w:rsidRPr="00127D16">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tcMar>
              <w:left w:w="57" w:type="dxa"/>
              <w:right w:w="57" w:type="dxa"/>
            </w:tcMar>
            <w:vAlign w:val="center"/>
          </w:tcPr>
          <w:p w14:paraId="7ACF06B0" w14:textId="111BC24C" w:rsidR="00136365" w:rsidRPr="00127D16" w:rsidRDefault="00136365" w:rsidP="00396276">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396276" w:rsidRPr="00396276">
              <w:rPr>
                <w:rFonts w:ascii="Verdana" w:hAnsi="Verdana" w:cs="Arial"/>
                <w:b/>
                <w:bCs/>
                <w:color w:val="366092"/>
                <w:sz w:val="18"/>
                <w:szCs w:val="18"/>
              </w:rPr>
              <w:t>Σεπτ</w:t>
            </w:r>
            <w:r w:rsidR="00FC6D82">
              <w:rPr>
                <w:rFonts w:ascii="Verdana" w:hAnsi="Verdana" w:cs="Arial"/>
                <w:b/>
                <w:bCs/>
                <w:color w:val="366092"/>
                <w:sz w:val="18"/>
                <w:szCs w:val="18"/>
                <w:lang w:val="en-GB"/>
              </w:rPr>
              <w:t xml:space="preserve"> </w:t>
            </w:r>
            <w:r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Pr="00127D16">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tcMar>
              <w:left w:w="57" w:type="dxa"/>
              <w:right w:w="57" w:type="dxa"/>
            </w:tcMar>
            <w:vAlign w:val="center"/>
          </w:tcPr>
          <w:p w14:paraId="734083A6" w14:textId="7D44CD39" w:rsidR="00136365" w:rsidRPr="00127D16" w:rsidRDefault="00136365" w:rsidP="00396276">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396276" w:rsidRPr="00396276">
              <w:rPr>
                <w:rFonts w:ascii="Verdana" w:hAnsi="Verdana" w:cs="Arial"/>
                <w:b/>
                <w:bCs/>
                <w:color w:val="366092"/>
                <w:sz w:val="18"/>
                <w:szCs w:val="18"/>
              </w:rPr>
              <w:t>Σεπτ</w:t>
            </w:r>
            <w:r w:rsidR="00FC6D82" w:rsidRPr="00801B82">
              <w:rPr>
                <w:rFonts w:ascii="Verdana" w:hAnsi="Verdana" w:cs="Arial"/>
                <w:b/>
                <w:bCs/>
                <w:color w:val="366092"/>
                <w:sz w:val="18"/>
                <w:szCs w:val="18"/>
              </w:rPr>
              <w:t xml:space="preserve"> </w:t>
            </w:r>
            <w:r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r w:rsidRPr="00127D16">
              <w:rPr>
                <w:rFonts w:ascii="Verdana" w:hAnsi="Verdana" w:cs="Arial"/>
                <w:b/>
                <w:bCs/>
                <w:color w:val="366092"/>
                <w:sz w:val="18"/>
                <w:szCs w:val="18"/>
              </w:rPr>
              <w:t xml:space="preserve">                    </w:t>
            </w:r>
          </w:p>
        </w:tc>
        <w:tc>
          <w:tcPr>
            <w:tcW w:w="240" w:type="dxa"/>
            <w:vAlign w:val="center"/>
          </w:tcPr>
          <w:p w14:paraId="0A500B8A" w14:textId="77777777" w:rsidR="00136365" w:rsidRPr="00127D16" w:rsidRDefault="00136365" w:rsidP="00136365">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0D075EEF" w14:textId="3B200C53" w:rsidR="00136365" w:rsidRPr="00127D16" w:rsidRDefault="00396276" w:rsidP="00396276">
            <w:pPr>
              <w:jc w:val="center"/>
              <w:rPr>
                <w:rFonts w:ascii="Verdana" w:hAnsi="Verdana" w:cs="Arial"/>
                <w:b/>
                <w:bCs/>
                <w:color w:val="366092"/>
                <w:sz w:val="18"/>
                <w:szCs w:val="18"/>
              </w:rPr>
            </w:pPr>
            <w:r w:rsidRPr="00396276">
              <w:rPr>
                <w:rFonts w:ascii="Verdana" w:hAnsi="Verdana" w:cs="Arial"/>
                <w:b/>
                <w:bCs/>
                <w:color w:val="366092"/>
                <w:sz w:val="18"/>
                <w:szCs w:val="18"/>
              </w:rPr>
              <w:t>Σεπτ</w:t>
            </w:r>
            <w:r w:rsidR="005921AD">
              <w:rPr>
                <w:rFonts w:ascii="Verdana" w:hAnsi="Verdana" w:cs="Arial"/>
                <w:b/>
                <w:bCs/>
                <w:color w:val="366092"/>
                <w:sz w:val="18"/>
                <w:szCs w:val="18"/>
              </w:rPr>
              <w:t xml:space="preserve"> </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p>
        </w:tc>
        <w:tc>
          <w:tcPr>
            <w:tcW w:w="1400" w:type="dxa"/>
            <w:tcBorders>
              <w:top w:val="single" w:sz="4" w:space="0" w:color="366092"/>
              <w:bottom w:val="single" w:sz="4" w:space="0" w:color="366092"/>
            </w:tcBorders>
            <w:vAlign w:val="center"/>
          </w:tcPr>
          <w:p w14:paraId="6ED1B264" w14:textId="3D9694CD" w:rsidR="00136365" w:rsidRPr="00127D16" w:rsidRDefault="00FF7FF4" w:rsidP="00396276">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396276" w:rsidRPr="00396276">
              <w:rPr>
                <w:rFonts w:ascii="Verdana" w:hAnsi="Verdana" w:cs="Arial"/>
                <w:b/>
                <w:bCs/>
                <w:color w:val="366092"/>
                <w:sz w:val="18"/>
                <w:szCs w:val="18"/>
              </w:rPr>
              <w:t>Σεπτ</w:t>
            </w:r>
            <w:r w:rsidR="00FC6D82">
              <w:rPr>
                <w:rFonts w:ascii="Verdana" w:hAnsi="Verdana" w:cs="Arial"/>
                <w:b/>
                <w:bCs/>
                <w:color w:val="366092"/>
                <w:sz w:val="18"/>
                <w:szCs w:val="18"/>
                <w:lang w:val="en-GB"/>
              </w:rPr>
              <w:t xml:space="preserve"> </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p>
        </w:tc>
      </w:tr>
      <w:tr w:rsidR="000E0400" w:rsidRPr="00127D16" w14:paraId="2999919F" w14:textId="77777777" w:rsidTr="00B64667">
        <w:trPr>
          <w:trHeight w:val="397"/>
          <w:jc w:val="center"/>
        </w:trPr>
        <w:tc>
          <w:tcPr>
            <w:tcW w:w="2367" w:type="dxa"/>
            <w:tcBorders>
              <w:top w:val="single" w:sz="4" w:space="0" w:color="366092"/>
            </w:tcBorders>
            <w:vAlign w:val="center"/>
          </w:tcPr>
          <w:p w14:paraId="3955C8AC" w14:textId="189044E4" w:rsidR="000E0400" w:rsidRPr="00127D16" w:rsidRDefault="000E0400" w:rsidP="000E0400">
            <w:pPr>
              <w:rPr>
                <w:rFonts w:ascii="Verdana" w:hAnsi="Verdana"/>
                <w:color w:val="366092"/>
                <w:sz w:val="18"/>
                <w:szCs w:val="18"/>
              </w:rPr>
            </w:pPr>
            <w:r w:rsidRPr="00127D16">
              <w:rPr>
                <w:rFonts w:ascii="Verdana" w:hAnsi="Verdana"/>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2B004CD2" w14:textId="48516600"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32.285</w:t>
            </w:r>
          </w:p>
        </w:tc>
        <w:tc>
          <w:tcPr>
            <w:tcW w:w="1096" w:type="dxa"/>
            <w:tcBorders>
              <w:top w:val="single" w:sz="4" w:space="0" w:color="366092"/>
              <w:left w:val="nil"/>
              <w:bottom w:val="nil"/>
              <w:right w:val="nil"/>
            </w:tcBorders>
            <w:shd w:val="clear" w:color="000000" w:fill="FFFFFF"/>
            <w:vAlign w:val="center"/>
          </w:tcPr>
          <w:p w14:paraId="458FE211" w14:textId="5310E016"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29.725</w:t>
            </w:r>
          </w:p>
        </w:tc>
        <w:tc>
          <w:tcPr>
            <w:tcW w:w="1269" w:type="dxa"/>
            <w:tcBorders>
              <w:top w:val="single" w:sz="4" w:space="0" w:color="366092"/>
              <w:left w:val="nil"/>
              <w:bottom w:val="nil"/>
              <w:right w:val="nil"/>
            </w:tcBorders>
            <w:shd w:val="clear" w:color="000000" w:fill="FFFFFF"/>
            <w:vAlign w:val="center"/>
          </w:tcPr>
          <w:p w14:paraId="3BE06E7B" w14:textId="22089AFC"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258.695</w:t>
            </w:r>
          </w:p>
        </w:tc>
        <w:tc>
          <w:tcPr>
            <w:tcW w:w="1269" w:type="dxa"/>
            <w:tcBorders>
              <w:top w:val="single" w:sz="4" w:space="0" w:color="366092"/>
              <w:left w:val="nil"/>
              <w:bottom w:val="nil"/>
              <w:right w:val="nil"/>
            </w:tcBorders>
            <w:shd w:val="clear" w:color="000000" w:fill="FFFFFF"/>
            <w:vAlign w:val="center"/>
          </w:tcPr>
          <w:p w14:paraId="2BFB4964" w14:textId="76B2EC7B"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250.515</w:t>
            </w:r>
          </w:p>
        </w:tc>
        <w:tc>
          <w:tcPr>
            <w:tcW w:w="240" w:type="dxa"/>
            <w:vAlign w:val="center"/>
          </w:tcPr>
          <w:p w14:paraId="4ECAA78D" w14:textId="77777777" w:rsidR="000E0400" w:rsidRPr="00801B82" w:rsidRDefault="000E0400" w:rsidP="000E0400">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623B3999" w14:textId="266E1F9C"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8,6</w:t>
            </w:r>
          </w:p>
        </w:tc>
        <w:tc>
          <w:tcPr>
            <w:tcW w:w="1400" w:type="dxa"/>
            <w:tcBorders>
              <w:top w:val="single" w:sz="4" w:space="0" w:color="366092"/>
              <w:left w:val="nil"/>
              <w:bottom w:val="nil"/>
              <w:right w:val="nil"/>
            </w:tcBorders>
            <w:vAlign w:val="center"/>
          </w:tcPr>
          <w:p w14:paraId="151D8C3C" w14:textId="70CEECD0"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3,3</w:t>
            </w:r>
          </w:p>
        </w:tc>
      </w:tr>
      <w:tr w:rsidR="000E0400" w:rsidRPr="00127D16" w14:paraId="4331BDB9" w14:textId="77777777" w:rsidTr="00C70D49">
        <w:trPr>
          <w:trHeight w:val="397"/>
          <w:jc w:val="center"/>
        </w:trPr>
        <w:tc>
          <w:tcPr>
            <w:tcW w:w="2367" w:type="dxa"/>
            <w:vAlign w:val="center"/>
          </w:tcPr>
          <w:p w14:paraId="0374409B" w14:textId="71AFAE2D" w:rsidR="000E0400" w:rsidRPr="00127D16" w:rsidRDefault="000E0400" w:rsidP="000E0400">
            <w:pPr>
              <w:rPr>
                <w:rFonts w:ascii="Verdana" w:hAnsi="Verdana"/>
                <w:color w:val="366092"/>
                <w:sz w:val="18"/>
                <w:szCs w:val="18"/>
              </w:rPr>
            </w:pPr>
            <w:r w:rsidRPr="00127D16">
              <w:rPr>
                <w:rFonts w:ascii="Verdana" w:hAnsi="Verdana"/>
                <w:color w:val="366092"/>
                <w:sz w:val="18"/>
                <w:szCs w:val="18"/>
              </w:rPr>
              <w:t>Βενζίνη Αεροπλάνων</w:t>
            </w:r>
          </w:p>
        </w:tc>
        <w:tc>
          <w:tcPr>
            <w:tcW w:w="1097" w:type="dxa"/>
            <w:tcBorders>
              <w:top w:val="nil"/>
              <w:left w:val="nil"/>
              <w:bottom w:val="nil"/>
              <w:right w:val="nil"/>
            </w:tcBorders>
            <w:shd w:val="clear" w:color="000000" w:fill="FFFFFF"/>
            <w:vAlign w:val="center"/>
          </w:tcPr>
          <w:p w14:paraId="1DDF247F" w14:textId="7D9124A0"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w:t>
            </w:r>
          </w:p>
        </w:tc>
        <w:tc>
          <w:tcPr>
            <w:tcW w:w="1096" w:type="dxa"/>
            <w:tcBorders>
              <w:top w:val="nil"/>
              <w:left w:val="nil"/>
              <w:bottom w:val="nil"/>
              <w:right w:val="nil"/>
            </w:tcBorders>
            <w:shd w:val="clear" w:color="000000" w:fill="FFFFFF"/>
            <w:vAlign w:val="center"/>
          </w:tcPr>
          <w:p w14:paraId="1487D9BB" w14:textId="0C33C09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w:t>
            </w:r>
          </w:p>
        </w:tc>
        <w:tc>
          <w:tcPr>
            <w:tcW w:w="1269" w:type="dxa"/>
            <w:tcBorders>
              <w:top w:val="nil"/>
              <w:left w:val="nil"/>
              <w:bottom w:val="nil"/>
              <w:right w:val="nil"/>
            </w:tcBorders>
            <w:shd w:val="clear" w:color="000000" w:fill="FFFFFF"/>
            <w:vAlign w:val="center"/>
          </w:tcPr>
          <w:p w14:paraId="3AB89A40" w14:textId="603BF14A"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15</w:t>
            </w:r>
          </w:p>
        </w:tc>
        <w:tc>
          <w:tcPr>
            <w:tcW w:w="1269" w:type="dxa"/>
            <w:tcBorders>
              <w:top w:val="nil"/>
              <w:left w:val="nil"/>
              <w:bottom w:val="nil"/>
              <w:right w:val="nil"/>
            </w:tcBorders>
            <w:shd w:val="clear" w:color="000000" w:fill="FFFFFF"/>
            <w:vAlign w:val="center"/>
          </w:tcPr>
          <w:p w14:paraId="57024F62" w14:textId="1F58554E"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12</w:t>
            </w:r>
          </w:p>
        </w:tc>
        <w:tc>
          <w:tcPr>
            <w:tcW w:w="240" w:type="dxa"/>
            <w:vAlign w:val="center"/>
          </w:tcPr>
          <w:p w14:paraId="188C9D65"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0EAC3D0B" w14:textId="71C9ED47"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-50,0</w:t>
            </w:r>
          </w:p>
        </w:tc>
        <w:tc>
          <w:tcPr>
            <w:tcW w:w="1400" w:type="dxa"/>
            <w:tcBorders>
              <w:top w:val="nil"/>
              <w:left w:val="nil"/>
              <w:bottom w:val="nil"/>
              <w:right w:val="nil"/>
            </w:tcBorders>
            <w:vAlign w:val="center"/>
          </w:tcPr>
          <w:p w14:paraId="00AE8BB1" w14:textId="30FE5126"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25,0</w:t>
            </w:r>
          </w:p>
        </w:tc>
      </w:tr>
      <w:tr w:rsidR="000E0400" w:rsidRPr="00127D16" w14:paraId="5BAE1F70" w14:textId="77777777" w:rsidTr="00C70D49">
        <w:trPr>
          <w:trHeight w:val="397"/>
          <w:jc w:val="center"/>
        </w:trPr>
        <w:tc>
          <w:tcPr>
            <w:tcW w:w="2367" w:type="dxa"/>
            <w:vAlign w:val="center"/>
          </w:tcPr>
          <w:p w14:paraId="6648336E" w14:textId="7BB9DBE5" w:rsidR="000E0400" w:rsidRPr="00127D16" w:rsidRDefault="000E0400" w:rsidP="000E0400">
            <w:pPr>
              <w:rPr>
                <w:rFonts w:ascii="Verdana" w:hAnsi="Verdana"/>
                <w:color w:val="366092"/>
                <w:sz w:val="18"/>
                <w:szCs w:val="18"/>
              </w:rPr>
            </w:pPr>
            <w:r w:rsidRPr="00127D16">
              <w:rPr>
                <w:rFonts w:ascii="Verdana" w:hAnsi="Verdana"/>
                <w:color w:val="366092"/>
                <w:sz w:val="18"/>
                <w:szCs w:val="18"/>
              </w:rPr>
              <w:t>Πετρέλαιο Αεροπλάνων</w:t>
            </w:r>
          </w:p>
        </w:tc>
        <w:tc>
          <w:tcPr>
            <w:tcW w:w="1097" w:type="dxa"/>
            <w:tcBorders>
              <w:top w:val="nil"/>
              <w:left w:val="nil"/>
              <w:bottom w:val="nil"/>
              <w:right w:val="nil"/>
            </w:tcBorders>
            <w:shd w:val="clear" w:color="000000" w:fill="FFFFFF"/>
            <w:vAlign w:val="center"/>
          </w:tcPr>
          <w:p w14:paraId="7AE9E45D" w14:textId="50D2A5DA"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38.987</w:t>
            </w:r>
          </w:p>
        </w:tc>
        <w:tc>
          <w:tcPr>
            <w:tcW w:w="1096" w:type="dxa"/>
            <w:tcBorders>
              <w:top w:val="nil"/>
              <w:left w:val="nil"/>
              <w:bottom w:val="nil"/>
              <w:right w:val="nil"/>
            </w:tcBorders>
            <w:shd w:val="clear" w:color="000000" w:fill="FFFFFF"/>
            <w:vAlign w:val="center"/>
          </w:tcPr>
          <w:p w14:paraId="79EAC914" w14:textId="539DA581"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33.391</w:t>
            </w:r>
          </w:p>
        </w:tc>
        <w:tc>
          <w:tcPr>
            <w:tcW w:w="1269" w:type="dxa"/>
            <w:tcBorders>
              <w:top w:val="nil"/>
              <w:left w:val="nil"/>
              <w:bottom w:val="nil"/>
              <w:right w:val="nil"/>
            </w:tcBorders>
            <w:shd w:val="clear" w:color="000000" w:fill="FFFFFF"/>
            <w:vAlign w:val="center"/>
          </w:tcPr>
          <w:p w14:paraId="3F3109DD" w14:textId="64746955"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265.718</w:t>
            </w:r>
          </w:p>
        </w:tc>
        <w:tc>
          <w:tcPr>
            <w:tcW w:w="1269" w:type="dxa"/>
            <w:tcBorders>
              <w:top w:val="nil"/>
              <w:left w:val="nil"/>
              <w:bottom w:val="nil"/>
              <w:right w:val="nil"/>
            </w:tcBorders>
            <w:shd w:val="clear" w:color="000000" w:fill="FFFFFF"/>
            <w:vAlign w:val="center"/>
          </w:tcPr>
          <w:p w14:paraId="57543807" w14:textId="6A6673B3"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236.535</w:t>
            </w:r>
          </w:p>
        </w:tc>
        <w:tc>
          <w:tcPr>
            <w:tcW w:w="240" w:type="dxa"/>
            <w:vAlign w:val="center"/>
          </w:tcPr>
          <w:p w14:paraId="533818C5"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54F64F17" w14:textId="59AB475D"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16,8</w:t>
            </w:r>
          </w:p>
        </w:tc>
        <w:tc>
          <w:tcPr>
            <w:tcW w:w="1400" w:type="dxa"/>
            <w:tcBorders>
              <w:top w:val="nil"/>
              <w:left w:val="nil"/>
              <w:bottom w:val="nil"/>
              <w:right w:val="nil"/>
            </w:tcBorders>
            <w:vAlign w:val="center"/>
          </w:tcPr>
          <w:p w14:paraId="08450A70" w14:textId="4233E8F1"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12,3</w:t>
            </w:r>
          </w:p>
        </w:tc>
      </w:tr>
      <w:tr w:rsidR="000E0400" w:rsidRPr="00127D16" w14:paraId="30C46F67" w14:textId="77777777" w:rsidTr="00C70D49">
        <w:trPr>
          <w:trHeight w:val="397"/>
          <w:jc w:val="center"/>
        </w:trPr>
        <w:tc>
          <w:tcPr>
            <w:tcW w:w="2367" w:type="dxa"/>
            <w:vAlign w:val="center"/>
          </w:tcPr>
          <w:p w14:paraId="41F8E0BB" w14:textId="2435E198" w:rsidR="000E0400" w:rsidRPr="00127D16" w:rsidRDefault="000E0400" w:rsidP="000E0400">
            <w:pPr>
              <w:rPr>
                <w:rFonts w:ascii="Verdana" w:hAnsi="Verdana"/>
                <w:color w:val="366092"/>
                <w:sz w:val="18"/>
                <w:szCs w:val="18"/>
              </w:rPr>
            </w:pPr>
            <w:r w:rsidRPr="00127D16">
              <w:rPr>
                <w:rFonts w:ascii="Verdana" w:hAnsi="Verdana"/>
                <w:color w:val="366092"/>
                <w:sz w:val="18"/>
                <w:szCs w:val="18"/>
              </w:rPr>
              <w:t>Κηροζίνη</w:t>
            </w:r>
          </w:p>
        </w:tc>
        <w:tc>
          <w:tcPr>
            <w:tcW w:w="1097" w:type="dxa"/>
            <w:tcBorders>
              <w:top w:val="nil"/>
              <w:left w:val="nil"/>
              <w:bottom w:val="nil"/>
              <w:right w:val="nil"/>
            </w:tcBorders>
            <w:shd w:val="clear" w:color="000000" w:fill="FFFFFF"/>
            <w:vAlign w:val="center"/>
          </w:tcPr>
          <w:p w14:paraId="03D245FF" w14:textId="59B2B813"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116</w:t>
            </w:r>
          </w:p>
        </w:tc>
        <w:tc>
          <w:tcPr>
            <w:tcW w:w="1096" w:type="dxa"/>
            <w:tcBorders>
              <w:top w:val="nil"/>
              <w:left w:val="nil"/>
              <w:bottom w:val="nil"/>
              <w:right w:val="nil"/>
            </w:tcBorders>
            <w:shd w:val="clear" w:color="000000" w:fill="FFFFFF"/>
            <w:vAlign w:val="center"/>
          </w:tcPr>
          <w:p w14:paraId="34D3F5DE" w14:textId="6BC3E912"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106</w:t>
            </w:r>
          </w:p>
        </w:tc>
        <w:tc>
          <w:tcPr>
            <w:tcW w:w="1269" w:type="dxa"/>
            <w:tcBorders>
              <w:top w:val="nil"/>
              <w:left w:val="nil"/>
              <w:bottom w:val="nil"/>
              <w:right w:val="nil"/>
            </w:tcBorders>
            <w:shd w:val="clear" w:color="000000" w:fill="FFFFFF"/>
            <w:vAlign w:val="center"/>
          </w:tcPr>
          <w:p w14:paraId="428C2243" w14:textId="5B032710"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6.263</w:t>
            </w:r>
          </w:p>
        </w:tc>
        <w:tc>
          <w:tcPr>
            <w:tcW w:w="1269" w:type="dxa"/>
            <w:tcBorders>
              <w:top w:val="nil"/>
              <w:left w:val="nil"/>
              <w:bottom w:val="nil"/>
              <w:right w:val="nil"/>
            </w:tcBorders>
            <w:shd w:val="clear" w:color="000000" w:fill="FFFFFF"/>
            <w:vAlign w:val="center"/>
          </w:tcPr>
          <w:p w14:paraId="150B2B4D" w14:textId="16B5AA2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5.234</w:t>
            </w:r>
          </w:p>
        </w:tc>
        <w:tc>
          <w:tcPr>
            <w:tcW w:w="240" w:type="dxa"/>
            <w:vAlign w:val="center"/>
          </w:tcPr>
          <w:p w14:paraId="6D6076D0"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6888DCF9" w14:textId="274ABD79"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9,4</w:t>
            </w:r>
          </w:p>
        </w:tc>
        <w:tc>
          <w:tcPr>
            <w:tcW w:w="1400" w:type="dxa"/>
            <w:tcBorders>
              <w:top w:val="nil"/>
              <w:left w:val="nil"/>
              <w:bottom w:val="nil"/>
              <w:right w:val="nil"/>
            </w:tcBorders>
            <w:vAlign w:val="center"/>
          </w:tcPr>
          <w:p w14:paraId="6592188B" w14:textId="178FE72C"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19,7</w:t>
            </w:r>
          </w:p>
        </w:tc>
      </w:tr>
      <w:tr w:rsidR="000E0400" w:rsidRPr="00127D16" w14:paraId="6282D3DC" w14:textId="77777777" w:rsidTr="00C70D49">
        <w:trPr>
          <w:trHeight w:val="397"/>
          <w:jc w:val="center"/>
        </w:trPr>
        <w:tc>
          <w:tcPr>
            <w:tcW w:w="2367" w:type="dxa"/>
            <w:vAlign w:val="center"/>
          </w:tcPr>
          <w:p w14:paraId="7AF29343" w14:textId="421C525F" w:rsidR="000E0400" w:rsidRPr="00127D16" w:rsidRDefault="000E0400" w:rsidP="000E0400">
            <w:pPr>
              <w:rPr>
                <w:rFonts w:ascii="Verdana" w:hAnsi="Verdana"/>
                <w:color w:val="366092"/>
                <w:sz w:val="18"/>
                <w:szCs w:val="18"/>
              </w:rPr>
            </w:pPr>
            <w:r w:rsidRPr="00127D16">
              <w:rPr>
                <w:rFonts w:ascii="Verdana" w:hAnsi="Verdana"/>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4708712B" w14:textId="205FF236"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32.954</w:t>
            </w:r>
          </w:p>
        </w:tc>
        <w:tc>
          <w:tcPr>
            <w:tcW w:w="1096" w:type="dxa"/>
            <w:tcBorders>
              <w:top w:val="nil"/>
              <w:left w:val="nil"/>
              <w:bottom w:val="nil"/>
              <w:right w:val="nil"/>
            </w:tcBorders>
            <w:shd w:val="clear" w:color="000000" w:fill="FFFFFF"/>
            <w:vAlign w:val="center"/>
          </w:tcPr>
          <w:p w14:paraId="29EA53F7" w14:textId="57A800EA"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30.839</w:t>
            </w:r>
          </w:p>
        </w:tc>
        <w:tc>
          <w:tcPr>
            <w:tcW w:w="1269" w:type="dxa"/>
            <w:tcBorders>
              <w:top w:val="nil"/>
              <w:left w:val="nil"/>
              <w:bottom w:val="nil"/>
              <w:right w:val="nil"/>
            </w:tcBorders>
            <w:shd w:val="clear" w:color="000000" w:fill="FFFFFF"/>
            <w:vAlign w:val="center"/>
          </w:tcPr>
          <w:p w14:paraId="1DA4004D" w14:textId="74DFE57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268.013</w:t>
            </w:r>
          </w:p>
        </w:tc>
        <w:tc>
          <w:tcPr>
            <w:tcW w:w="1269" w:type="dxa"/>
            <w:tcBorders>
              <w:top w:val="nil"/>
              <w:left w:val="nil"/>
              <w:bottom w:val="nil"/>
              <w:right w:val="nil"/>
            </w:tcBorders>
            <w:shd w:val="clear" w:color="000000" w:fill="FFFFFF"/>
            <w:vAlign w:val="center"/>
          </w:tcPr>
          <w:p w14:paraId="37AC4E15" w14:textId="176B67A6"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261.246</w:t>
            </w:r>
          </w:p>
        </w:tc>
        <w:tc>
          <w:tcPr>
            <w:tcW w:w="240" w:type="dxa"/>
            <w:vAlign w:val="center"/>
          </w:tcPr>
          <w:p w14:paraId="268A22F5"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683C59BD" w14:textId="693C6B53"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6,9</w:t>
            </w:r>
          </w:p>
        </w:tc>
        <w:tc>
          <w:tcPr>
            <w:tcW w:w="1400" w:type="dxa"/>
            <w:tcBorders>
              <w:top w:val="nil"/>
              <w:left w:val="nil"/>
              <w:bottom w:val="nil"/>
              <w:right w:val="nil"/>
            </w:tcBorders>
            <w:vAlign w:val="center"/>
          </w:tcPr>
          <w:p w14:paraId="6E4B86E4" w14:textId="473C8C33"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2,6</w:t>
            </w:r>
          </w:p>
        </w:tc>
      </w:tr>
      <w:tr w:rsidR="000E0400" w:rsidRPr="00127D16" w14:paraId="3A516C41" w14:textId="77777777" w:rsidTr="00C70D49">
        <w:trPr>
          <w:trHeight w:val="397"/>
          <w:jc w:val="center"/>
        </w:trPr>
        <w:tc>
          <w:tcPr>
            <w:tcW w:w="2367" w:type="dxa"/>
            <w:vAlign w:val="center"/>
          </w:tcPr>
          <w:p w14:paraId="500682A7" w14:textId="5390CB4C" w:rsidR="000E0400" w:rsidRPr="00127D16" w:rsidRDefault="000E0400" w:rsidP="000E0400">
            <w:pPr>
              <w:rPr>
                <w:rFonts w:ascii="Verdana" w:hAnsi="Verdana"/>
                <w:color w:val="366092"/>
                <w:sz w:val="18"/>
                <w:szCs w:val="18"/>
              </w:rPr>
            </w:pPr>
            <w:r w:rsidRPr="00127D16">
              <w:rPr>
                <w:rFonts w:ascii="Verdana" w:hAnsi="Verdana"/>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24CF1171" w14:textId="13CE2726"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1.950</w:t>
            </w:r>
          </w:p>
        </w:tc>
        <w:tc>
          <w:tcPr>
            <w:tcW w:w="1096" w:type="dxa"/>
            <w:tcBorders>
              <w:top w:val="nil"/>
              <w:left w:val="nil"/>
              <w:bottom w:val="nil"/>
              <w:right w:val="nil"/>
            </w:tcBorders>
            <w:shd w:val="clear" w:color="000000" w:fill="FFFFFF"/>
            <w:vAlign w:val="center"/>
          </w:tcPr>
          <w:p w14:paraId="36DCEE8C" w14:textId="067FB3E8"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1.822</w:t>
            </w:r>
          </w:p>
        </w:tc>
        <w:tc>
          <w:tcPr>
            <w:tcW w:w="1269" w:type="dxa"/>
            <w:tcBorders>
              <w:top w:val="nil"/>
              <w:left w:val="nil"/>
              <w:bottom w:val="nil"/>
              <w:right w:val="nil"/>
            </w:tcBorders>
            <w:shd w:val="clear" w:color="000000" w:fill="FFFFFF"/>
            <w:vAlign w:val="center"/>
          </w:tcPr>
          <w:p w14:paraId="54B84A2C" w14:textId="76264284"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17.387</w:t>
            </w:r>
          </w:p>
        </w:tc>
        <w:tc>
          <w:tcPr>
            <w:tcW w:w="1269" w:type="dxa"/>
            <w:tcBorders>
              <w:top w:val="nil"/>
              <w:left w:val="nil"/>
              <w:bottom w:val="nil"/>
              <w:right w:val="nil"/>
            </w:tcBorders>
            <w:shd w:val="clear" w:color="000000" w:fill="FFFFFF"/>
            <w:vAlign w:val="center"/>
          </w:tcPr>
          <w:p w14:paraId="3D02679B" w14:textId="126FA14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15.918</w:t>
            </w:r>
          </w:p>
        </w:tc>
        <w:tc>
          <w:tcPr>
            <w:tcW w:w="240" w:type="dxa"/>
            <w:vAlign w:val="center"/>
          </w:tcPr>
          <w:p w14:paraId="708AEFC1"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204D752F" w14:textId="13C48733"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7,0</w:t>
            </w:r>
          </w:p>
        </w:tc>
        <w:tc>
          <w:tcPr>
            <w:tcW w:w="1400" w:type="dxa"/>
            <w:tcBorders>
              <w:top w:val="nil"/>
              <w:left w:val="nil"/>
              <w:bottom w:val="nil"/>
              <w:right w:val="nil"/>
            </w:tcBorders>
            <w:vAlign w:val="center"/>
          </w:tcPr>
          <w:p w14:paraId="569557AD" w14:textId="4F7C4C60"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9,2</w:t>
            </w:r>
          </w:p>
        </w:tc>
      </w:tr>
      <w:tr w:rsidR="000E0400" w:rsidRPr="00127D16" w14:paraId="7700459A" w14:textId="77777777" w:rsidTr="00C70D49">
        <w:trPr>
          <w:trHeight w:val="397"/>
          <w:jc w:val="center"/>
        </w:trPr>
        <w:tc>
          <w:tcPr>
            <w:tcW w:w="2367" w:type="dxa"/>
            <w:vAlign w:val="center"/>
          </w:tcPr>
          <w:p w14:paraId="60B2BC5F" w14:textId="74D3F2B4" w:rsidR="000E0400" w:rsidRPr="00127D16" w:rsidRDefault="000E0400" w:rsidP="000E0400">
            <w:pPr>
              <w:rPr>
                <w:rFonts w:ascii="Verdana" w:hAnsi="Verdana"/>
                <w:color w:val="366092"/>
                <w:sz w:val="18"/>
                <w:szCs w:val="18"/>
              </w:rPr>
            </w:pPr>
            <w:r w:rsidRPr="00127D16">
              <w:rPr>
                <w:rFonts w:ascii="Verdana" w:hAnsi="Verdana"/>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43F182A5" w14:textId="1028EC2F"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4.462</w:t>
            </w:r>
          </w:p>
        </w:tc>
        <w:tc>
          <w:tcPr>
            <w:tcW w:w="1096" w:type="dxa"/>
            <w:tcBorders>
              <w:top w:val="nil"/>
              <w:left w:val="nil"/>
              <w:bottom w:val="nil"/>
              <w:right w:val="nil"/>
            </w:tcBorders>
            <w:shd w:val="clear" w:color="000000" w:fill="FFFFFF"/>
            <w:vAlign w:val="center"/>
          </w:tcPr>
          <w:p w14:paraId="232DD0A1" w14:textId="59C5660F"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4.153</w:t>
            </w:r>
          </w:p>
        </w:tc>
        <w:tc>
          <w:tcPr>
            <w:tcW w:w="1269" w:type="dxa"/>
            <w:tcBorders>
              <w:top w:val="nil"/>
              <w:left w:val="nil"/>
              <w:bottom w:val="nil"/>
              <w:right w:val="nil"/>
            </w:tcBorders>
            <w:shd w:val="clear" w:color="000000" w:fill="FFFFFF"/>
            <w:vAlign w:val="center"/>
          </w:tcPr>
          <w:p w14:paraId="2FA97E6A" w14:textId="7F52F687"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58.321</w:t>
            </w:r>
          </w:p>
        </w:tc>
        <w:tc>
          <w:tcPr>
            <w:tcW w:w="1269" w:type="dxa"/>
            <w:tcBorders>
              <w:top w:val="nil"/>
              <w:left w:val="nil"/>
              <w:bottom w:val="nil"/>
              <w:right w:val="nil"/>
            </w:tcBorders>
            <w:shd w:val="clear" w:color="000000" w:fill="FFFFFF"/>
            <w:vAlign w:val="center"/>
          </w:tcPr>
          <w:p w14:paraId="14637EC1" w14:textId="238F9B89"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52.497</w:t>
            </w:r>
          </w:p>
        </w:tc>
        <w:tc>
          <w:tcPr>
            <w:tcW w:w="240" w:type="dxa"/>
            <w:vAlign w:val="center"/>
          </w:tcPr>
          <w:p w14:paraId="7085D362"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48026836" w14:textId="60D3A8B3"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7,4</w:t>
            </w:r>
          </w:p>
        </w:tc>
        <w:tc>
          <w:tcPr>
            <w:tcW w:w="1400" w:type="dxa"/>
            <w:tcBorders>
              <w:top w:val="nil"/>
              <w:left w:val="nil"/>
              <w:bottom w:val="nil"/>
              <w:right w:val="nil"/>
            </w:tcBorders>
            <w:vAlign w:val="center"/>
          </w:tcPr>
          <w:p w14:paraId="1F64BF01" w14:textId="020DC402"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11,1</w:t>
            </w:r>
          </w:p>
        </w:tc>
      </w:tr>
      <w:tr w:rsidR="000E0400" w:rsidRPr="00127D16" w14:paraId="5310E4E0" w14:textId="77777777" w:rsidTr="00C70D49">
        <w:trPr>
          <w:trHeight w:val="397"/>
          <w:jc w:val="center"/>
        </w:trPr>
        <w:tc>
          <w:tcPr>
            <w:tcW w:w="2367" w:type="dxa"/>
            <w:vAlign w:val="center"/>
          </w:tcPr>
          <w:p w14:paraId="607B26A5" w14:textId="0212EA44" w:rsidR="000E0400" w:rsidRPr="00127D16" w:rsidRDefault="000E0400" w:rsidP="000E0400">
            <w:pPr>
              <w:rPr>
                <w:rFonts w:ascii="Verdana" w:hAnsi="Verdana"/>
                <w:color w:val="366092"/>
                <w:sz w:val="18"/>
                <w:szCs w:val="18"/>
              </w:rPr>
            </w:pPr>
            <w:r w:rsidRPr="00127D16">
              <w:rPr>
                <w:rFonts w:ascii="Verdana" w:hAnsi="Verdana"/>
                <w:color w:val="366092"/>
                <w:sz w:val="18"/>
                <w:szCs w:val="18"/>
              </w:rPr>
              <w:t>Πετρέλαιο Ναυτιλίας</w:t>
            </w:r>
          </w:p>
        </w:tc>
        <w:tc>
          <w:tcPr>
            <w:tcW w:w="1097" w:type="dxa"/>
            <w:tcBorders>
              <w:top w:val="nil"/>
              <w:left w:val="nil"/>
              <w:bottom w:val="nil"/>
              <w:right w:val="nil"/>
            </w:tcBorders>
            <w:shd w:val="clear" w:color="000000" w:fill="FFFFFF"/>
            <w:vAlign w:val="center"/>
          </w:tcPr>
          <w:p w14:paraId="6F8671F6" w14:textId="7BB87D71"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19.090</w:t>
            </w:r>
          </w:p>
        </w:tc>
        <w:tc>
          <w:tcPr>
            <w:tcW w:w="1096" w:type="dxa"/>
            <w:tcBorders>
              <w:top w:val="nil"/>
              <w:left w:val="nil"/>
              <w:bottom w:val="nil"/>
              <w:right w:val="nil"/>
            </w:tcBorders>
            <w:shd w:val="clear" w:color="000000" w:fill="FFFFFF"/>
            <w:vAlign w:val="center"/>
          </w:tcPr>
          <w:p w14:paraId="13CEEB66" w14:textId="020961F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8.990</w:t>
            </w:r>
          </w:p>
        </w:tc>
        <w:tc>
          <w:tcPr>
            <w:tcW w:w="1269" w:type="dxa"/>
            <w:tcBorders>
              <w:top w:val="nil"/>
              <w:left w:val="nil"/>
              <w:bottom w:val="nil"/>
              <w:right w:val="nil"/>
            </w:tcBorders>
            <w:shd w:val="clear" w:color="000000" w:fill="FFFFFF"/>
            <w:vAlign w:val="center"/>
          </w:tcPr>
          <w:p w14:paraId="04295371" w14:textId="6265750E"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121.358</w:t>
            </w:r>
          </w:p>
        </w:tc>
        <w:tc>
          <w:tcPr>
            <w:tcW w:w="1269" w:type="dxa"/>
            <w:tcBorders>
              <w:top w:val="nil"/>
              <w:left w:val="nil"/>
              <w:bottom w:val="nil"/>
              <w:right w:val="nil"/>
            </w:tcBorders>
            <w:shd w:val="clear" w:color="000000" w:fill="FFFFFF"/>
            <w:vAlign w:val="center"/>
          </w:tcPr>
          <w:p w14:paraId="4072D00C" w14:textId="1DA7E4D9"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63.956</w:t>
            </w:r>
          </w:p>
        </w:tc>
        <w:tc>
          <w:tcPr>
            <w:tcW w:w="240" w:type="dxa"/>
            <w:vAlign w:val="center"/>
          </w:tcPr>
          <w:p w14:paraId="2111258D"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0FA42677" w14:textId="5E92C919"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112,3</w:t>
            </w:r>
          </w:p>
        </w:tc>
        <w:tc>
          <w:tcPr>
            <w:tcW w:w="1400" w:type="dxa"/>
            <w:tcBorders>
              <w:top w:val="nil"/>
              <w:left w:val="nil"/>
              <w:bottom w:val="nil"/>
              <w:right w:val="nil"/>
            </w:tcBorders>
            <w:vAlign w:val="center"/>
          </w:tcPr>
          <w:p w14:paraId="27646F5C" w14:textId="0151AB89"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89,8</w:t>
            </w:r>
          </w:p>
        </w:tc>
      </w:tr>
      <w:tr w:rsidR="000E0400" w:rsidRPr="00127D16" w14:paraId="7E25CAB5" w14:textId="77777777" w:rsidTr="00C70D49">
        <w:trPr>
          <w:trHeight w:val="397"/>
          <w:jc w:val="center"/>
        </w:trPr>
        <w:tc>
          <w:tcPr>
            <w:tcW w:w="2367" w:type="dxa"/>
            <w:vAlign w:val="center"/>
          </w:tcPr>
          <w:p w14:paraId="4A295804" w14:textId="2AB1E462" w:rsidR="000E0400" w:rsidRPr="00127D16" w:rsidRDefault="000E0400" w:rsidP="000E0400">
            <w:pPr>
              <w:rPr>
                <w:rFonts w:ascii="Verdana" w:hAnsi="Verdana"/>
                <w:color w:val="366092"/>
                <w:sz w:val="18"/>
                <w:szCs w:val="18"/>
              </w:rPr>
            </w:pPr>
            <w:r w:rsidRPr="00127D16">
              <w:rPr>
                <w:rFonts w:ascii="Verdana" w:hAnsi="Verdana"/>
                <w:color w:val="366092"/>
                <w:sz w:val="18"/>
                <w:szCs w:val="18"/>
              </w:rPr>
              <w:t>Ελαφρύ Μαζούτ</w:t>
            </w:r>
          </w:p>
        </w:tc>
        <w:tc>
          <w:tcPr>
            <w:tcW w:w="1097" w:type="dxa"/>
            <w:tcBorders>
              <w:top w:val="nil"/>
              <w:left w:val="nil"/>
              <w:bottom w:val="nil"/>
              <w:right w:val="nil"/>
            </w:tcBorders>
            <w:shd w:val="clear" w:color="000000" w:fill="FFFFFF"/>
            <w:vAlign w:val="center"/>
          </w:tcPr>
          <w:p w14:paraId="2F2267D9" w14:textId="09A59CBF"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6.743</w:t>
            </w:r>
          </w:p>
        </w:tc>
        <w:tc>
          <w:tcPr>
            <w:tcW w:w="1096" w:type="dxa"/>
            <w:tcBorders>
              <w:top w:val="nil"/>
              <w:left w:val="nil"/>
              <w:bottom w:val="nil"/>
              <w:right w:val="nil"/>
            </w:tcBorders>
            <w:shd w:val="clear" w:color="000000" w:fill="FFFFFF"/>
            <w:vAlign w:val="center"/>
          </w:tcPr>
          <w:p w14:paraId="55F6B3DE" w14:textId="548DAD1B"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12.916</w:t>
            </w:r>
          </w:p>
        </w:tc>
        <w:tc>
          <w:tcPr>
            <w:tcW w:w="1269" w:type="dxa"/>
            <w:tcBorders>
              <w:top w:val="nil"/>
              <w:left w:val="nil"/>
              <w:bottom w:val="nil"/>
              <w:right w:val="nil"/>
            </w:tcBorders>
            <w:shd w:val="clear" w:color="000000" w:fill="FFFFFF"/>
            <w:vAlign w:val="center"/>
          </w:tcPr>
          <w:p w14:paraId="745F22CA" w14:textId="027BC9A0"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60.314</w:t>
            </w:r>
          </w:p>
        </w:tc>
        <w:tc>
          <w:tcPr>
            <w:tcW w:w="1269" w:type="dxa"/>
            <w:tcBorders>
              <w:top w:val="nil"/>
              <w:left w:val="nil"/>
              <w:bottom w:val="nil"/>
              <w:right w:val="nil"/>
            </w:tcBorders>
            <w:shd w:val="clear" w:color="000000" w:fill="FFFFFF"/>
            <w:vAlign w:val="center"/>
          </w:tcPr>
          <w:p w14:paraId="00C682BE" w14:textId="37196B5A"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122.285</w:t>
            </w:r>
          </w:p>
        </w:tc>
        <w:tc>
          <w:tcPr>
            <w:tcW w:w="240" w:type="dxa"/>
            <w:vAlign w:val="center"/>
          </w:tcPr>
          <w:p w14:paraId="37CA3D84"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5A92611A" w14:textId="4CA26792"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-47,8</w:t>
            </w:r>
          </w:p>
        </w:tc>
        <w:tc>
          <w:tcPr>
            <w:tcW w:w="1400" w:type="dxa"/>
            <w:tcBorders>
              <w:top w:val="nil"/>
              <w:left w:val="nil"/>
              <w:bottom w:val="nil"/>
              <w:right w:val="nil"/>
            </w:tcBorders>
            <w:vAlign w:val="center"/>
          </w:tcPr>
          <w:p w14:paraId="3CA4177C" w14:textId="096A6523"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-50,7</w:t>
            </w:r>
          </w:p>
        </w:tc>
      </w:tr>
      <w:tr w:rsidR="000E0400" w:rsidRPr="00127D16" w14:paraId="307F9748" w14:textId="77777777" w:rsidTr="00C70D49">
        <w:trPr>
          <w:trHeight w:val="397"/>
          <w:jc w:val="center"/>
        </w:trPr>
        <w:tc>
          <w:tcPr>
            <w:tcW w:w="2367" w:type="dxa"/>
            <w:vAlign w:val="center"/>
          </w:tcPr>
          <w:p w14:paraId="0ADE79B8" w14:textId="0593477E" w:rsidR="000E0400" w:rsidRPr="00127D16" w:rsidRDefault="000E0400" w:rsidP="000E0400">
            <w:pPr>
              <w:rPr>
                <w:rFonts w:ascii="Verdana" w:hAnsi="Verdana"/>
                <w:color w:val="366092"/>
                <w:sz w:val="18"/>
                <w:szCs w:val="18"/>
              </w:rPr>
            </w:pPr>
            <w:r w:rsidRPr="00127D16">
              <w:rPr>
                <w:rFonts w:ascii="Verdana" w:hAnsi="Verdana"/>
                <w:color w:val="366092"/>
                <w:sz w:val="18"/>
                <w:szCs w:val="18"/>
              </w:rPr>
              <w:t>Βαρύ Μαζούτ</w:t>
            </w:r>
          </w:p>
        </w:tc>
        <w:tc>
          <w:tcPr>
            <w:tcW w:w="1097" w:type="dxa"/>
            <w:tcBorders>
              <w:top w:val="nil"/>
              <w:left w:val="nil"/>
              <w:bottom w:val="nil"/>
              <w:right w:val="nil"/>
            </w:tcBorders>
            <w:shd w:val="clear" w:color="000000" w:fill="FFFFFF"/>
            <w:vAlign w:val="center"/>
          </w:tcPr>
          <w:p w14:paraId="13F033FB" w14:textId="38A9D799"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0</w:t>
            </w:r>
          </w:p>
        </w:tc>
        <w:tc>
          <w:tcPr>
            <w:tcW w:w="1096" w:type="dxa"/>
            <w:tcBorders>
              <w:top w:val="nil"/>
              <w:left w:val="nil"/>
              <w:bottom w:val="nil"/>
              <w:right w:val="nil"/>
            </w:tcBorders>
            <w:shd w:val="clear" w:color="000000" w:fill="FFFFFF"/>
            <w:vAlign w:val="center"/>
          </w:tcPr>
          <w:p w14:paraId="0106D724" w14:textId="0E9333B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1.323</w:t>
            </w:r>
          </w:p>
        </w:tc>
        <w:tc>
          <w:tcPr>
            <w:tcW w:w="1269" w:type="dxa"/>
            <w:tcBorders>
              <w:top w:val="nil"/>
              <w:left w:val="nil"/>
              <w:bottom w:val="nil"/>
              <w:right w:val="nil"/>
            </w:tcBorders>
            <w:shd w:val="clear" w:color="000000" w:fill="FFFFFF"/>
            <w:vAlign w:val="center"/>
          </w:tcPr>
          <w:p w14:paraId="7E7820F8" w14:textId="3E9DE0C7"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9.287</w:t>
            </w:r>
          </w:p>
        </w:tc>
        <w:tc>
          <w:tcPr>
            <w:tcW w:w="1269" w:type="dxa"/>
            <w:tcBorders>
              <w:top w:val="nil"/>
              <w:left w:val="nil"/>
              <w:bottom w:val="nil"/>
              <w:right w:val="nil"/>
            </w:tcBorders>
            <w:shd w:val="clear" w:color="000000" w:fill="FFFFFF"/>
            <w:vAlign w:val="center"/>
          </w:tcPr>
          <w:p w14:paraId="6195C054" w14:textId="28EAB4F4"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10.489</w:t>
            </w:r>
          </w:p>
        </w:tc>
        <w:tc>
          <w:tcPr>
            <w:tcW w:w="240" w:type="dxa"/>
            <w:vAlign w:val="center"/>
          </w:tcPr>
          <w:p w14:paraId="6D2C0603"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49005405" w14:textId="69C43C42"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-100,0</w:t>
            </w:r>
          </w:p>
        </w:tc>
        <w:tc>
          <w:tcPr>
            <w:tcW w:w="1400" w:type="dxa"/>
            <w:tcBorders>
              <w:top w:val="nil"/>
              <w:left w:val="nil"/>
              <w:bottom w:val="nil"/>
              <w:right w:val="nil"/>
            </w:tcBorders>
            <w:vAlign w:val="center"/>
          </w:tcPr>
          <w:p w14:paraId="2CA4272C" w14:textId="07176C56"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-11,5</w:t>
            </w:r>
          </w:p>
        </w:tc>
      </w:tr>
      <w:tr w:rsidR="000E0400" w:rsidRPr="00127D16" w14:paraId="221F0016" w14:textId="77777777" w:rsidTr="00C70D49">
        <w:trPr>
          <w:trHeight w:val="397"/>
          <w:jc w:val="center"/>
        </w:trPr>
        <w:tc>
          <w:tcPr>
            <w:tcW w:w="2367" w:type="dxa"/>
            <w:vAlign w:val="center"/>
          </w:tcPr>
          <w:p w14:paraId="29DB65E5" w14:textId="7E2A669D" w:rsidR="000E0400" w:rsidRPr="00127D16" w:rsidRDefault="000E0400" w:rsidP="000E0400">
            <w:pPr>
              <w:rPr>
                <w:rFonts w:ascii="Verdana" w:hAnsi="Verdana"/>
                <w:color w:val="366092"/>
                <w:sz w:val="18"/>
                <w:szCs w:val="18"/>
              </w:rPr>
            </w:pPr>
            <w:r w:rsidRPr="00127D16">
              <w:rPr>
                <w:rFonts w:ascii="Verdana" w:hAnsi="Verdana"/>
                <w:color w:val="366092"/>
                <w:sz w:val="18"/>
                <w:szCs w:val="18"/>
              </w:rPr>
              <w:t>Λιπαντικά Λάδια</w:t>
            </w:r>
          </w:p>
        </w:tc>
        <w:tc>
          <w:tcPr>
            <w:tcW w:w="1097" w:type="dxa"/>
            <w:tcBorders>
              <w:top w:val="nil"/>
              <w:left w:val="nil"/>
              <w:bottom w:val="nil"/>
              <w:right w:val="nil"/>
            </w:tcBorders>
            <w:shd w:val="clear" w:color="000000" w:fill="FFFFFF"/>
            <w:vAlign w:val="center"/>
          </w:tcPr>
          <w:p w14:paraId="60E0D9A2" w14:textId="03E06309"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319</w:t>
            </w:r>
          </w:p>
        </w:tc>
        <w:tc>
          <w:tcPr>
            <w:tcW w:w="1096" w:type="dxa"/>
            <w:tcBorders>
              <w:top w:val="nil"/>
              <w:left w:val="nil"/>
              <w:bottom w:val="nil"/>
              <w:right w:val="nil"/>
            </w:tcBorders>
            <w:shd w:val="clear" w:color="000000" w:fill="FFFFFF"/>
            <w:vAlign w:val="center"/>
          </w:tcPr>
          <w:p w14:paraId="2D09F4B8" w14:textId="1387A822"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275</w:t>
            </w:r>
          </w:p>
        </w:tc>
        <w:tc>
          <w:tcPr>
            <w:tcW w:w="1269" w:type="dxa"/>
            <w:tcBorders>
              <w:top w:val="nil"/>
              <w:left w:val="nil"/>
              <w:bottom w:val="nil"/>
              <w:right w:val="nil"/>
            </w:tcBorders>
            <w:shd w:val="clear" w:color="000000" w:fill="FFFFFF"/>
            <w:vAlign w:val="center"/>
          </w:tcPr>
          <w:p w14:paraId="71FDFAA7" w14:textId="6CEDD40B"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2.556</w:t>
            </w:r>
          </w:p>
        </w:tc>
        <w:tc>
          <w:tcPr>
            <w:tcW w:w="1269" w:type="dxa"/>
            <w:tcBorders>
              <w:top w:val="nil"/>
              <w:left w:val="nil"/>
              <w:bottom w:val="nil"/>
              <w:right w:val="nil"/>
            </w:tcBorders>
            <w:shd w:val="clear" w:color="000000" w:fill="FFFFFF"/>
            <w:vAlign w:val="center"/>
          </w:tcPr>
          <w:p w14:paraId="3785C145" w14:textId="60D4E01B"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2.300</w:t>
            </w:r>
          </w:p>
        </w:tc>
        <w:tc>
          <w:tcPr>
            <w:tcW w:w="240" w:type="dxa"/>
            <w:vAlign w:val="center"/>
          </w:tcPr>
          <w:p w14:paraId="1CFACF60"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21543D6C" w14:textId="2F70332C"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16,0</w:t>
            </w:r>
          </w:p>
        </w:tc>
        <w:tc>
          <w:tcPr>
            <w:tcW w:w="1400" w:type="dxa"/>
            <w:tcBorders>
              <w:top w:val="nil"/>
              <w:left w:val="nil"/>
              <w:bottom w:val="nil"/>
              <w:right w:val="nil"/>
            </w:tcBorders>
            <w:vAlign w:val="center"/>
          </w:tcPr>
          <w:p w14:paraId="37C52B68" w14:textId="74ECD1E4"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11,1</w:t>
            </w:r>
          </w:p>
        </w:tc>
      </w:tr>
      <w:tr w:rsidR="000E0400" w:rsidRPr="00127D16" w14:paraId="73114908" w14:textId="77777777" w:rsidTr="00B64667">
        <w:trPr>
          <w:trHeight w:val="397"/>
          <w:jc w:val="center"/>
        </w:trPr>
        <w:tc>
          <w:tcPr>
            <w:tcW w:w="2367" w:type="dxa"/>
            <w:vAlign w:val="center"/>
          </w:tcPr>
          <w:p w14:paraId="1A531487" w14:textId="3BAF9DEE" w:rsidR="000E0400" w:rsidRPr="00127D16" w:rsidRDefault="000E0400" w:rsidP="000E0400">
            <w:pPr>
              <w:rPr>
                <w:rFonts w:ascii="Verdana" w:hAnsi="Verdana"/>
                <w:color w:val="366092"/>
                <w:sz w:val="18"/>
                <w:szCs w:val="18"/>
              </w:rPr>
            </w:pPr>
            <w:r w:rsidRPr="00127D16">
              <w:rPr>
                <w:rFonts w:ascii="Verdana" w:hAnsi="Verdana"/>
                <w:color w:val="366092"/>
                <w:sz w:val="18"/>
                <w:szCs w:val="18"/>
              </w:rPr>
              <w:t>Άσφαλτος</w:t>
            </w:r>
          </w:p>
        </w:tc>
        <w:tc>
          <w:tcPr>
            <w:tcW w:w="1097" w:type="dxa"/>
            <w:tcBorders>
              <w:top w:val="nil"/>
              <w:left w:val="nil"/>
              <w:bottom w:val="nil"/>
              <w:right w:val="nil"/>
            </w:tcBorders>
            <w:shd w:val="clear" w:color="000000" w:fill="FFFFFF"/>
            <w:vAlign w:val="center"/>
          </w:tcPr>
          <w:p w14:paraId="00472BEE" w14:textId="444631E8"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3.977</w:t>
            </w:r>
          </w:p>
        </w:tc>
        <w:tc>
          <w:tcPr>
            <w:tcW w:w="1096" w:type="dxa"/>
            <w:tcBorders>
              <w:top w:val="nil"/>
              <w:left w:val="nil"/>
              <w:bottom w:val="nil"/>
              <w:right w:val="nil"/>
            </w:tcBorders>
            <w:shd w:val="clear" w:color="000000" w:fill="FFFFFF"/>
            <w:vAlign w:val="center"/>
          </w:tcPr>
          <w:p w14:paraId="456CF55E" w14:textId="0801A29C"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3.066</w:t>
            </w:r>
          </w:p>
        </w:tc>
        <w:tc>
          <w:tcPr>
            <w:tcW w:w="1269" w:type="dxa"/>
            <w:tcBorders>
              <w:top w:val="nil"/>
              <w:left w:val="nil"/>
              <w:bottom w:val="nil"/>
              <w:right w:val="nil"/>
            </w:tcBorders>
            <w:shd w:val="clear" w:color="000000" w:fill="FFFFFF"/>
            <w:vAlign w:val="center"/>
          </w:tcPr>
          <w:p w14:paraId="000E01ED" w14:textId="30FED756"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28.651</w:t>
            </w:r>
          </w:p>
        </w:tc>
        <w:tc>
          <w:tcPr>
            <w:tcW w:w="1269" w:type="dxa"/>
            <w:tcBorders>
              <w:top w:val="nil"/>
              <w:left w:val="nil"/>
              <w:bottom w:val="nil"/>
              <w:right w:val="nil"/>
            </w:tcBorders>
            <w:shd w:val="clear" w:color="000000" w:fill="FFFFFF"/>
            <w:vAlign w:val="center"/>
          </w:tcPr>
          <w:p w14:paraId="346C9CBE" w14:textId="492747DF"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27.467</w:t>
            </w:r>
          </w:p>
        </w:tc>
        <w:tc>
          <w:tcPr>
            <w:tcW w:w="240" w:type="dxa"/>
            <w:vAlign w:val="center"/>
          </w:tcPr>
          <w:p w14:paraId="59DA467D"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45C5EEFB" w14:textId="0E73C0CB"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29,7</w:t>
            </w:r>
          </w:p>
        </w:tc>
        <w:tc>
          <w:tcPr>
            <w:tcW w:w="1400" w:type="dxa"/>
            <w:tcBorders>
              <w:top w:val="nil"/>
              <w:left w:val="nil"/>
              <w:bottom w:val="nil"/>
              <w:right w:val="nil"/>
            </w:tcBorders>
            <w:vAlign w:val="center"/>
          </w:tcPr>
          <w:p w14:paraId="556DDF03" w14:textId="71795728"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4,3</w:t>
            </w:r>
          </w:p>
        </w:tc>
      </w:tr>
      <w:tr w:rsidR="000E0400" w:rsidRPr="00127D16" w14:paraId="06E2A767" w14:textId="77777777" w:rsidTr="00B64667">
        <w:trPr>
          <w:trHeight w:val="397"/>
          <w:jc w:val="center"/>
        </w:trPr>
        <w:tc>
          <w:tcPr>
            <w:tcW w:w="2367" w:type="dxa"/>
            <w:tcBorders>
              <w:bottom w:val="single" w:sz="4" w:space="0" w:color="366092"/>
            </w:tcBorders>
            <w:vAlign w:val="center"/>
          </w:tcPr>
          <w:p w14:paraId="792BBB07" w14:textId="5B4A87E7" w:rsidR="000E0400" w:rsidRPr="00127D16" w:rsidRDefault="000E0400" w:rsidP="000E0400">
            <w:pPr>
              <w:rPr>
                <w:rFonts w:ascii="Verdana" w:hAnsi="Verdana"/>
                <w:color w:val="366092"/>
                <w:sz w:val="18"/>
                <w:szCs w:val="18"/>
              </w:rPr>
            </w:pPr>
            <w:r w:rsidRPr="00127D16">
              <w:rPr>
                <w:rFonts w:ascii="Verdana" w:hAnsi="Verdana"/>
                <w:color w:val="366092"/>
                <w:sz w:val="18"/>
                <w:szCs w:val="18"/>
              </w:rPr>
              <w:t>Υγραέριο</w:t>
            </w:r>
          </w:p>
        </w:tc>
        <w:tc>
          <w:tcPr>
            <w:tcW w:w="1097" w:type="dxa"/>
            <w:tcBorders>
              <w:top w:val="nil"/>
              <w:left w:val="nil"/>
              <w:bottom w:val="single" w:sz="4" w:space="0" w:color="366092"/>
              <w:right w:val="nil"/>
            </w:tcBorders>
            <w:shd w:val="clear" w:color="000000" w:fill="FFFFFF"/>
            <w:vAlign w:val="center"/>
          </w:tcPr>
          <w:p w14:paraId="1DB2F6F4" w14:textId="43A0557C"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3.836</w:t>
            </w:r>
          </w:p>
        </w:tc>
        <w:tc>
          <w:tcPr>
            <w:tcW w:w="1096" w:type="dxa"/>
            <w:tcBorders>
              <w:top w:val="nil"/>
              <w:left w:val="nil"/>
              <w:bottom w:val="single" w:sz="4" w:space="0" w:color="366092"/>
              <w:right w:val="nil"/>
            </w:tcBorders>
            <w:shd w:val="clear" w:color="000000" w:fill="FFFFFF"/>
            <w:vAlign w:val="center"/>
          </w:tcPr>
          <w:p w14:paraId="75B8A868" w14:textId="02FEDB3B"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3.516</w:t>
            </w:r>
          </w:p>
        </w:tc>
        <w:tc>
          <w:tcPr>
            <w:tcW w:w="1269" w:type="dxa"/>
            <w:tcBorders>
              <w:top w:val="nil"/>
              <w:left w:val="nil"/>
              <w:bottom w:val="single" w:sz="4" w:space="0" w:color="366092"/>
              <w:right w:val="nil"/>
            </w:tcBorders>
            <w:shd w:val="clear" w:color="000000" w:fill="FFFFFF"/>
            <w:vAlign w:val="center"/>
          </w:tcPr>
          <w:p w14:paraId="48219FB5" w14:textId="0964E70D"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41.690</w:t>
            </w:r>
          </w:p>
        </w:tc>
        <w:tc>
          <w:tcPr>
            <w:tcW w:w="1269" w:type="dxa"/>
            <w:tcBorders>
              <w:top w:val="nil"/>
              <w:left w:val="nil"/>
              <w:bottom w:val="single" w:sz="4" w:space="0" w:color="366092"/>
              <w:right w:val="nil"/>
            </w:tcBorders>
            <w:shd w:val="clear" w:color="000000" w:fill="FFFFFF"/>
            <w:vAlign w:val="center"/>
          </w:tcPr>
          <w:p w14:paraId="4CF8BB65" w14:textId="51B53F66" w:rsidR="000E0400" w:rsidRPr="00801B82" w:rsidRDefault="000E0400" w:rsidP="000E0400">
            <w:pPr>
              <w:jc w:val="right"/>
              <w:rPr>
                <w:rFonts w:ascii="Verdana" w:hAnsi="Verdana"/>
                <w:color w:val="366092"/>
                <w:sz w:val="18"/>
                <w:szCs w:val="18"/>
              </w:rPr>
            </w:pPr>
            <w:r>
              <w:rPr>
                <w:rFonts w:ascii="Verdana" w:hAnsi="Verdana" w:cs="Calibri"/>
                <w:color w:val="366092"/>
                <w:sz w:val="18"/>
                <w:szCs w:val="18"/>
              </w:rPr>
              <w:t>38.850</w:t>
            </w:r>
          </w:p>
        </w:tc>
        <w:tc>
          <w:tcPr>
            <w:tcW w:w="240" w:type="dxa"/>
            <w:vAlign w:val="center"/>
          </w:tcPr>
          <w:p w14:paraId="15D5B0B9" w14:textId="77777777" w:rsidR="000E0400" w:rsidRPr="00801B82" w:rsidRDefault="000E0400" w:rsidP="000E0400">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7D39E6F5" w14:textId="56D98EC6"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9,1</w:t>
            </w:r>
          </w:p>
        </w:tc>
        <w:tc>
          <w:tcPr>
            <w:tcW w:w="1400" w:type="dxa"/>
            <w:tcBorders>
              <w:top w:val="nil"/>
              <w:left w:val="nil"/>
              <w:bottom w:val="single" w:sz="4" w:space="0" w:color="366092"/>
              <w:right w:val="nil"/>
            </w:tcBorders>
            <w:vAlign w:val="center"/>
          </w:tcPr>
          <w:p w14:paraId="315E39F8" w14:textId="0A7CC0AE" w:rsidR="000E0400" w:rsidRPr="00801B82" w:rsidRDefault="000E0400" w:rsidP="000E0400">
            <w:pPr>
              <w:ind w:right="397"/>
              <w:jc w:val="right"/>
              <w:rPr>
                <w:rFonts w:ascii="Verdana" w:hAnsi="Verdana" w:cs="Arial"/>
                <w:color w:val="366092"/>
                <w:sz w:val="18"/>
                <w:szCs w:val="18"/>
              </w:rPr>
            </w:pPr>
            <w:r>
              <w:rPr>
                <w:rFonts w:ascii="Verdana" w:hAnsi="Verdana" w:cs="Calibri"/>
                <w:color w:val="366092"/>
                <w:sz w:val="18"/>
                <w:szCs w:val="18"/>
              </w:rPr>
              <w:t>7,3</w:t>
            </w:r>
          </w:p>
        </w:tc>
      </w:tr>
      <w:tr w:rsidR="000E0400" w:rsidRPr="00127D16" w14:paraId="131C3CBA" w14:textId="77777777" w:rsidTr="00B64667">
        <w:trPr>
          <w:trHeight w:val="397"/>
          <w:jc w:val="center"/>
        </w:trPr>
        <w:tc>
          <w:tcPr>
            <w:tcW w:w="2367" w:type="dxa"/>
            <w:tcBorders>
              <w:top w:val="single" w:sz="4" w:space="0" w:color="366092"/>
              <w:bottom w:val="single" w:sz="4" w:space="0" w:color="366092"/>
            </w:tcBorders>
            <w:vAlign w:val="center"/>
          </w:tcPr>
          <w:p w14:paraId="4B45FA09" w14:textId="77777777" w:rsidR="000E0400" w:rsidRPr="00127D16" w:rsidRDefault="000E0400" w:rsidP="000E0400">
            <w:pPr>
              <w:rPr>
                <w:rFonts w:ascii="Verdana" w:hAnsi="Verdana"/>
                <w:b/>
                <w:bCs/>
                <w:color w:val="366092"/>
                <w:sz w:val="18"/>
                <w:szCs w:val="18"/>
              </w:rPr>
            </w:pPr>
          </w:p>
          <w:p w14:paraId="71C3D9BC" w14:textId="5D0606F6" w:rsidR="000E0400" w:rsidRPr="00127D16" w:rsidRDefault="000E0400" w:rsidP="000E0400">
            <w:pPr>
              <w:rPr>
                <w:rFonts w:ascii="Verdana" w:hAnsi="Verdana"/>
                <w:b/>
                <w:bCs/>
                <w:color w:val="366092"/>
                <w:sz w:val="18"/>
                <w:szCs w:val="18"/>
              </w:rPr>
            </w:pPr>
            <w:r w:rsidRPr="00127D16">
              <w:rPr>
                <w:rFonts w:ascii="Verdana" w:hAnsi="Verdana"/>
                <w:b/>
                <w:bCs/>
                <w:color w:val="366092"/>
                <w:sz w:val="18"/>
                <w:szCs w:val="18"/>
              </w:rPr>
              <w:t xml:space="preserve">Σύνολο    </w:t>
            </w:r>
          </w:p>
          <w:p w14:paraId="403CD8C2" w14:textId="554C9DF4" w:rsidR="000E0400" w:rsidRPr="00127D16" w:rsidRDefault="000E0400" w:rsidP="000E0400">
            <w:pPr>
              <w:rPr>
                <w:rFonts w:ascii="Verdana" w:hAnsi="Verdana"/>
                <w:b/>
                <w:bCs/>
                <w:color w:val="366092"/>
                <w:sz w:val="18"/>
                <w:szCs w:val="18"/>
              </w:rPr>
            </w:pPr>
          </w:p>
        </w:tc>
        <w:tc>
          <w:tcPr>
            <w:tcW w:w="1097" w:type="dxa"/>
            <w:tcBorders>
              <w:top w:val="single" w:sz="4" w:space="0" w:color="366092"/>
              <w:left w:val="nil"/>
              <w:bottom w:val="single" w:sz="4" w:space="0" w:color="366092"/>
              <w:right w:val="nil"/>
            </w:tcBorders>
            <w:vAlign w:val="center"/>
          </w:tcPr>
          <w:p w14:paraId="7954691C" w14:textId="1A8125A4" w:rsidR="000E0400" w:rsidRPr="00801B82" w:rsidRDefault="000E0400" w:rsidP="000E0400">
            <w:pPr>
              <w:spacing w:before="240" w:after="240"/>
              <w:jc w:val="right"/>
              <w:rPr>
                <w:rFonts w:ascii="Verdana" w:hAnsi="Verdana" w:cs="Calibri"/>
                <w:b/>
                <w:bCs/>
                <w:color w:val="366092"/>
                <w:sz w:val="18"/>
                <w:szCs w:val="18"/>
              </w:rPr>
            </w:pPr>
            <w:r>
              <w:rPr>
                <w:rFonts w:ascii="Verdana" w:hAnsi="Verdana" w:cs="Calibri"/>
                <w:b/>
                <w:bCs/>
                <w:color w:val="366092"/>
                <w:sz w:val="18"/>
                <w:szCs w:val="18"/>
              </w:rPr>
              <w:t>144.720</w:t>
            </w:r>
          </w:p>
        </w:tc>
        <w:tc>
          <w:tcPr>
            <w:tcW w:w="1096" w:type="dxa"/>
            <w:tcBorders>
              <w:top w:val="single" w:sz="4" w:space="0" w:color="366092"/>
              <w:left w:val="nil"/>
              <w:bottom w:val="single" w:sz="4" w:space="0" w:color="366092"/>
              <w:right w:val="nil"/>
            </w:tcBorders>
            <w:vAlign w:val="center"/>
          </w:tcPr>
          <w:p w14:paraId="365140D2" w14:textId="43D7B761" w:rsidR="000E0400" w:rsidRPr="00801B82" w:rsidRDefault="000E0400" w:rsidP="000E0400">
            <w:pPr>
              <w:spacing w:before="240" w:after="240"/>
              <w:jc w:val="right"/>
              <w:rPr>
                <w:rFonts w:ascii="Verdana" w:hAnsi="Verdana" w:cs="Calibri"/>
                <w:b/>
                <w:bCs/>
                <w:color w:val="366092"/>
                <w:sz w:val="18"/>
                <w:szCs w:val="18"/>
              </w:rPr>
            </w:pPr>
            <w:r>
              <w:rPr>
                <w:rFonts w:ascii="Verdana" w:hAnsi="Verdana" w:cs="Calibri"/>
                <w:b/>
                <w:bCs/>
                <w:color w:val="366092"/>
                <w:sz w:val="18"/>
                <w:szCs w:val="18"/>
              </w:rPr>
              <w:t>130.124</w:t>
            </w:r>
          </w:p>
        </w:tc>
        <w:tc>
          <w:tcPr>
            <w:tcW w:w="1269" w:type="dxa"/>
            <w:tcBorders>
              <w:top w:val="single" w:sz="4" w:space="0" w:color="366092"/>
              <w:left w:val="nil"/>
              <w:bottom w:val="single" w:sz="4" w:space="0" w:color="366092"/>
              <w:right w:val="nil"/>
            </w:tcBorders>
            <w:vAlign w:val="center"/>
          </w:tcPr>
          <w:p w14:paraId="6630969F" w14:textId="118255B8" w:rsidR="000E0400" w:rsidRPr="00801B82" w:rsidRDefault="000E0400" w:rsidP="000E0400">
            <w:pPr>
              <w:spacing w:before="240" w:after="240"/>
              <w:jc w:val="right"/>
              <w:rPr>
                <w:rFonts w:ascii="Verdana" w:hAnsi="Verdana" w:cs="Calibri"/>
                <w:b/>
                <w:bCs/>
                <w:color w:val="366092"/>
                <w:sz w:val="18"/>
                <w:szCs w:val="18"/>
              </w:rPr>
            </w:pPr>
            <w:r>
              <w:rPr>
                <w:rFonts w:ascii="Verdana" w:hAnsi="Verdana" w:cs="Calibri"/>
                <w:b/>
                <w:bCs/>
                <w:color w:val="366092"/>
                <w:sz w:val="18"/>
                <w:szCs w:val="18"/>
              </w:rPr>
              <w:t>1.138.268</w:t>
            </w:r>
          </w:p>
        </w:tc>
        <w:tc>
          <w:tcPr>
            <w:tcW w:w="1269" w:type="dxa"/>
            <w:tcBorders>
              <w:top w:val="single" w:sz="4" w:space="0" w:color="366092"/>
              <w:left w:val="nil"/>
              <w:bottom w:val="single" w:sz="4" w:space="0" w:color="366092"/>
              <w:right w:val="nil"/>
            </w:tcBorders>
            <w:vAlign w:val="center"/>
          </w:tcPr>
          <w:p w14:paraId="710F45E6" w14:textId="5964A1BB" w:rsidR="000E0400" w:rsidRPr="00801B82" w:rsidRDefault="000E0400" w:rsidP="000E0400">
            <w:pPr>
              <w:spacing w:before="240" w:after="240"/>
              <w:jc w:val="right"/>
              <w:rPr>
                <w:rFonts w:ascii="Verdana" w:hAnsi="Verdana" w:cs="Calibri"/>
                <w:b/>
                <w:bCs/>
                <w:color w:val="366092"/>
                <w:sz w:val="18"/>
                <w:szCs w:val="18"/>
              </w:rPr>
            </w:pPr>
            <w:r>
              <w:rPr>
                <w:rFonts w:ascii="Verdana" w:hAnsi="Verdana" w:cs="Calibri"/>
                <w:b/>
                <w:bCs/>
                <w:color w:val="366092"/>
                <w:sz w:val="18"/>
                <w:szCs w:val="18"/>
              </w:rPr>
              <w:t>1.087.304</w:t>
            </w:r>
          </w:p>
        </w:tc>
        <w:tc>
          <w:tcPr>
            <w:tcW w:w="240" w:type="dxa"/>
            <w:tcBorders>
              <w:bottom w:val="single" w:sz="4" w:space="0" w:color="366092"/>
            </w:tcBorders>
            <w:vAlign w:val="center"/>
          </w:tcPr>
          <w:p w14:paraId="2F50A5DC" w14:textId="77777777" w:rsidR="000E0400" w:rsidRPr="00801B82" w:rsidRDefault="000E0400" w:rsidP="000E0400">
            <w:pPr>
              <w:jc w:val="right"/>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71F97739" w14:textId="51760709" w:rsidR="000E0400" w:rsidRPr="00801B82" w:rsidRDefault="000E0400" w:rsidP="000E0400">
            <w:pPr>
              <w:spacing w:before="240" w:after="240"/>
              <w:ind w:right="397"/>
              <w:jc w:val="right"/>
              <w:rPr>
                <w:rFonts w:ascii="Verdana" w:hAnsi="Verdana" w:cs="Calibri"/>
                <w:b/>
                <w:bCs/>
                <w:color w:val="366092"/>
                <w:sz w:val="18"/>
                <w:szCs w:val="18"/>
              </w:rPr>
            </w:pPr>
            <w:r>
              <w:rPr>
                <w:rFonts w:ascii="Verdana" w:hAnsi="Verdana" w:cs="Calibri"/>
                <w:b/>
                <w:bCs/>
                <w:color w:val="366092"/>
                <w:sz w:val="18"/>
                <w:szCs w:val="18"/>
              </w:rPr>
              <w:t>11,2</w:t>
            </w:r>
          </w:p>
        </w:tc>
        <w:tc>
          <w:tcPr>
            <w:tcW w:w="1400" w:type="dxa"/>
            <w:tcBorders>
              <w:top w:val="single" w:sz="4" w:space="0" w:color="366092"/>
              <w:left w:val="nil"/>
              <w:bottom w:val="single" w:sz="4" w:space="0" w:color="366092"/>
              <w:right w:val="nil"/>
            </w:tcBorders>
            <w:vAlign w:val="center"/>
          </w:tcPr>
          <w:p w14:paraId="0A5FAA7D" w14:textId="5FF4E390" w:rsidR="000E0400" w:rsidRPr="00801B82" w:rsidRDefault="000E0400" w:rsidP="000E0400">
            <w:pPr>
              <w:spacing w:before="240" w:after="240"/>
              <w:ind w:right="397"/>
              <w:jc w:val="right"/>
              <w:rPr>
                <w:rFonts w:ascii="Verdana" w:hAnsi="Verdana" w:cs="Calibri"/>
                <w:b/>
                <w:bCs/>
                <w:color w:val="366092"/>
                <w:sz w:val="18"/>
                <w:szCs w:val="18"/>
              </w:rPr>
            </w:pPr>
            <w:r>
              <w:rPr>
                <w:rFonts w:ascii="Verdana" w:hAnsi="Verdana" w:cs="Calibri"/>
                <w:b/>
                <w:bCs/>
                <w:color w:val="366092"/>
                <w:sz w:val="18"/>
                <w:szCs w:val="18"/>
              </w:rPr>
              <w:t>4,7</w:t>
            </w:r>
          </w:p>
        </w:tc>
      </w:tr>
    </w:tbl>
    <w:p w14:paraId="4690FB2F" w14:textId="4CAD60FA" w:rsidR="00E21894" w:rsidRPr="00127D16" w:rsidRDefault="00E21894" w:rsidP="003C4AD2">
      <w:pPr>
        <w:jc w:val="both"/>
        <w:rPr>
          <w:rFonts w:ascii="Verdana" w:hAnsi="Verdana"/>
          <w:sz w:val="18"/>
          <w:szCs w:val="18"/>
        </w:rPr>
      </w:pPr>
    </w:p>
    <w:p w14:paraId="6BAFBEA3" w14:textId="77777777" w:rsidR="003C4AD2" w:rsidRPr="00127D16" w:rsidRDefault="003C4AD2" w:rsidP="003C4AD2">
      <w:pPr>
        <w:jc w:val="both"/>
        <w:rPr>
          <w:rFonts w:ascii="Verdana" w:hAnsi="Verdana"/>
          <w:sz w:val="18"/>
          <w:szCs w:val="18"/>
        </w:rPr>
      </w:pPr>
    </w:p>
    <w:p w14:paraId="61CD5888" w14:textId="77777777" w:rsidR="00B065C7" w:rsidRPr="00127D16" w:rsidRDefault="00B065C7" w:rsidP="003C4AD2">
      <w:pPr>
        <w:jc w:val="both"/>
        <w:rPr>
          <w:rFonts w:ascii="Verdana" w:hAnsi="Verdana"/>
          <w:sz w:val="18"/>
          <w:szCs w:val="18"/>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233FC" w:rsidRPr="00127D16" w14:paraId="5338DCD2" w14:textId="77777777" w:rsidTr="00F15134">
        <w:trPr>
          <w:trHeight w:val="411"/>
          <w:jc w:val="center"/>
        </w:trPr>
        <w:tc>
          <w:tcPr>
            <w:tcW w:w="2367" w:type="dxa"/>
            <w:tcBorders>
              <w:bottom w:val="single" w:sz="4" w:space="0" w:color="366092"/>
            </w:tcBorders>
            <w:vAlign w:val="center"/>
          </w:tcPr>
          <w:p w14:paraId="7E7C20DF" w14:textId="2E37B75D" w:rsidR="003C4AD2" w:rsidRPr="00127D16" w:rsidRDefault="003C4AD2" w:rsidP="00EB6A33">
            <w:pPr>
              <w:rPr>
                <w:rFonts w:ascii="Verdana" w:hAnsi="Verdana"/>
                <w:b/>
                <w:bCs/>
                <w:color w:val="366092"/>
                <w:sz w:val="18"/>
                <w:szCs w:val="18"/>
              </w:rPr>
            </w:pPr>
            <w:r w:rsidRPr="00127D16">
              <w:rPr>
                <w:rFonts w:ascii="Verdana" w:hAnsi="Verdana"/>
                <w:b/>
                <w:bCs/>
                <w:color w:val="366092"/>
                <w:sz w:val="18"/>
                <w:szCs w:val="18"/>
              </w:rPr>
              <w:t xml:space="preserve">Πίνακας </w:t>
            </w:r>
            <w:r w:rsidR="00BB6216" w:rsidRPr="00127D16">
              <w:rPr>
                <w:rFonts w:ascii="Verdana" w:hAnsi="Verdana"/>
                <w:b/>
                <w:bCs/>
                <w:color w:val="366092"/>
                <w:sz w:val="18"/>
                <w:szCs w:val="18"/>
              </w:rPr>
              <w:t>2</w:t>
            </w:r>
          </w:p>
        </w:tc>
        <w:tc>
          <w:tcPr>
            <w:tcW w:w="1097" w:type="dxa"/>
            <w:tcBorders>
              <w:bottom w:val="single" w:sz="4" w:space="0" w:color="366092"/>
            </w:tcBorders>
          </w:tcPr>
          <w:p w14:paraId="7B060464" w14:textId="77777777" w:rsidR="003C4AD2" w:rsidRPr="00127D16" w:rsidRDefault="003C4AD2" w:rsidP="00EB6A33">
            <w:pPr>
              <w:jc w:val="both"/>
              <w:rPr>
                <w:rFonts w:ascii="Verdana" w:hAnsi="Verdana"/>
                <w:color w:val="366092"/>
                <w:sz w:val="18"/>
                <w:szCs w:val="18"/>
              </w:rPr>
            </w:pPr>
          </w:p>
        </w:tc>
        <w:tc>
          <w:tcPr>
            <w:tcW w:w="1096" w:type="dxa"/>
            <w:tcBorders>
              <w:bottom w:val="single" w:sz="4" w:space="0" w:color="366092"/>
            </w:tcBorders>
          </w:tcPr>
          <w:p w14:paraId="30E37A6C" w14:textId="77777777" w:rsidR="003C4AD2" w:rsidRPr="00127D16" w:rsidRDefault="003C4AD2" w:rsidP="00EB6A33">
            <w:pPr>
              <w:jc w:val="both"/>
              <w:rPr>
                <w:rFonts w:ascii="Verdana" w:hAnsi="Verdana"/>
                <w:color w:val="366092"/>
                <w:sz w:val="18"/>
                <w:szCs w:val="18"/>
              </w:rPr>
            </w:pPr>
          </w:p>
        </w:tc>
        <w:tc>
          <w:tcPr>
            <w:tcW w:w="1269" w:type="dxa"/>
            <w:tcBorders>
              <w:bottom w:val="single" w:sz="4" w:space="0" w:color="366092"/>
            </w:tcBorders>
          </w:tcPr>
          <w:p w14:paraId="21DC5216" w14:textId="77777777" w:rsidR="003C4AD2" w:rsidRPr="00127D16" w:rsidRDefault="003C4AD2" w:rsidP="00EB6A33">
            <w:pPr>
              <w:jc w:val="both"/>
              <w:rPr>
                <w:rFonts w:ascii="Verdana" w:hAnsi="Verdana"/>
                <w:color w:val="366092"/>
                <w:sz w:val="18"/>
                <w:szCs w:val="18"/>
              </w:rPr>
            </w:pPr>
          </w:p>
        </w:tc>
        <w:tc>
          <w:tcPr>
            <w:tcW w:w="1269" w:type="dxa"/>
            <w:tcBorders>
              <w:bottom w:val="single" w:sz="4" w:space="0" w:color="366092"/>
            </w:tcBorders>
          </w:tcPr>
          <w:p w14:paraId="1C45C919" w14:textId="77777777" w:rsidR="003C4AD2" w:rsidRPr="00127D16" w:rsidRDefault="003C4AD2" w:rsidP="00EB6A33">
            <w:pPr>
              <w:jc w:val="both"/>
              <w:rPr>
                <w:rFonts w:ascii="Verdana" w:hAnsi="Verdana"/>
                <w:color w:val="366092"/>
                <w:sz w:val="18"/>
                <w:szCs w:val="18"/>
              </w:rPr>
            </w:pPr>
          </w:p>
        </w:tc>
        <w:tc>
          <w:tcPr>
            <w:tcW w:w="240" w:type="dxa"/>
            <w:tcBorders>
              <w:bottom w:val="single" w:sz="4" w:space="0" w:color="366092"/>
            </w:tcBorders>
          </w:tcPr>
          <w:p w14:paraId="3C4072EA" w14:textId="77777777" w:rsidR="003C4AD2" w:rsidRPr="00127D16" w:rsidRDefault="003C4AD2" w:rsidP="00EB6A33">
            <w:pPr>
              <w:jc w:val="both"/>
              <w:rPr>
                <w:rFonts w:ascii="Verdana" w:hAnsi="Verdana"/>
                <w:color w:val="366092"/>
                <w:sz w:val="18"/>
                <w:szCs w:val="18"/>
              </w:rPr>
            </w:pPr>
          </w:p>
        </w:tc>
        <w:tc>
          <w:tcPr>
            <w:tcW w:w="1400" w:type="dxa"/>
            <w:tcBorders>
              <w:bottom w:val="single" w:sz="4" w:space="0" w:color="366092"/>
            </w:tcBorders>
          </w:tcPr>
          <w:p w14:paraId="0F8542A4" w14:textId="77777777" w:rsidR="003C4AD2" w:rsidRPr="00127D16" w:rsidRDefault="003C4AD2" w:rsidP="00EB6A33">
            <w:pPr>
              <w:jc w:val="both"/>
              <w:rPr>
                <w:rFonts w:ascii="Verdana" w:hAnsi="Verdana"/>
                <w:color w:val="366092"/>
                <w:sz w:val="18"/>
                <w:szCs w:val="18"/>
              </w:rPr>
            </w:pPr>
          </w:p>
        </w:tc>
        <w:tc>
          <w:tcPr>
            <w:tcW w:w="1400" w:type="dxa"/>
            <w:tcBorders>
              <w:bottom w:val="single" w:sz="4" w:space="0" w:color="366092"/>
            </w:tcBorders>
          </w:tcPr>
          <w:p w14:paraId="065A59EF" w14:textId="77777777" w:rsidR="003C4AD2" w:rsidRPr="00127D16" w:rsidRDefault="003C4AD2" w:rsidP="00EB6A33">
            <w:pPr>
              <w:jc w:val="both"/>
              <w:rPr>
                <w:rFonts w:ascii="Verdana" w:hAnsi="Verdana"/>
                <w:color w:val="366092"/>
                <w:sz w:val="18"/>
                <w:szCs w:val="18"/>
              </w:rPr>
            </w:pPr>
          </w:p>
        </w:tc>
      </w:tr>
      <w:tr w:rsidR="000233FC" w:rsidRPr="00127D16" w14:paraId="32ADF5E5" w14:textId="77777777" w:rsidTr="00F15134">
        <w:trPr>
          <w:trHeight w:val="510"/>
          <w:jc w:val="center"/>
        </w:trPr>
        <w:tc>
          <w:tcPr>
            <w:tcW w:w="2367" w:type="dxa"/>
            <w:vMerge w:val="restart"/>
            <w:tcBorders>
              <w:top w:val="single" w:sz="4" w:space="0" w:color="366092"/>
              <w:bottom w:val="single" w:sz="4" w:space="0" w:color="366092"/>
            </w:tcBorders>
            <w:vAlign w:val="center"/>
          </w:tcPr>
          <w:p w14:paraId="477C4A91" w14:textId="77777777"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06457432" w14:textId="27F34523"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Πωλήσεις από Πρατήρια Πετρελαιοειδών (τόνοι)</w:t>
            </w:r>
          </w:p>
        </w:tc>
        <w:tc>
          <w:tcPr>
            <w:tcW w:w="240" w:type="dxa"/>
            <w:tcBorders>
              <w:top w:val="single" w:sz="4" w:space="0" w:color="366092"/>
            </w:tcBorders>
            <w:vAlign w:val="center"/>
          </w:tcPr>
          <w:p w14:paraId="31875BA3" w14:textId="77777777" w:rsidR="003C4AD2" w:rsidRPr="00127D16" w:rsidRDefault="003C4AD2" w:rsidP="00EB6A3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30D33BE8" w14:textId="77777777"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Ποσοστιαία Μεταβολή (%)</w:t>
            </w:r>
          </w:p>
        </w:tc>
      </w:tr>
      <w:tr w:rsidR="00801B82" w:rsidRPr="00127D16" w14:paraId="78297752" w14:textId="77777777" w:rsidTr="00F15134">
        <w:trPr>
          <w:trHeight w:val="624"/>
          <w:jc w:val="center"/>
        </w:trPr>
        <w:tc>
          <w:tcPr>
            <w:tcW w:w="2367" w:type="dxa"/>
            <w:vMerge/>
            <w:tcBorders>
              <w:top w:val="single" w:sz="4" w:space="0" w:color="366092"/>
              <w:bottom w:val="single" w:sz="4" w:space="0" w:color="366092"/>
            </w:tcBorders>
          </w:tcPr>
          <w:p w14:paraId="56BF1806" w14:textId="77777777" w:rsidR="00801B82" w:rsidRPr="00127D16" w:rsidRDefault="00801B82" w:rsidP="00801B82">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7C09831B" w14:textId="53FFC293" w:rsidR="00801B82" w:rsidRPr="00127D16" w:rsidRDefault="00396276" w:rsidP="00396276">
            <w:pPr>
              <w:jc w:val="center"/>
              <w:rPr>
                <w:rFonts w:ascii="Verdana" w:hAnsi="Verdana" w:cs="Arial"/>
                <w:b/>
                <w:bCs/>
                <w:color w:val="366092"/>
                <w:sz w:val="18"/>
                <w:szCs w:val="18"/>
              </w:rPr>
            </w:pPr>
            <w:r w:rsidRPr="00396276">
              <w:rPr>
                <w:rFonts w:ascii="Verdana" w:hAnsi="Verdana" w:cs="Arial"/>
                <w:b/>
                <w:bCs/>
                <w:color w:val="366092"/>
                <w:sz w:val="18"/>
                <w:szCs w:val="18"/>
              </w:rPr>
              <w:t>Σεπτ</w:t>
            </w:r>
            <w:r w:rsidR="00801B82">
              <w:rPr>
                <w:rFonts w:ascii="Verdana" w:hAnsi="Verdana" w:cs="Arial"/>
                <w:b/>
                <w:bCs/>
                <w:color w:val="366092"/>
                <w:sz w:val="18"/>
                <w:szCs w:val="18"/>
                <w:lang w:val="en-GB"/>
              </w:rPr>
              <w:t xml:space="preserve"> </w:t>
            </w:r>
            <w:r w:rsidR="00801B82" w:rsidRPr="00127D16">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13F7965A" w14:textId="64E14529" w:rsidR="00801B82" w:rsidRPr="00127D16" w:rsidRDefault="00396276" w:rsidP="00396276">
            <w:pPr>
              <w:jc w:val="center"/>
              <w:rPr>
                <w:rFonts w:ascii="Verdana" w:hAnsi="Verdana" w:cs="Arial"/>
                <w:b/>
                <w:bCs/>
                <w:color w:val="366092"/>
                <w:sz w:val="18"/>
                <w:szCs w:val="18"/>
              </w:rPr>
            </w:pPr>
            <w:r w:rsidRPr="00396276">
              <w:rPr>
                <w:rFonts w:ascii="Verdana" w:hAnsi="Verdana" w:cs="Arial"/>
                <w:b/>
                <w:bCs/>
                <w:color w:val="366092"/>
                <w:sz w:val="18"/>
                <w:szCs w:val="18"/>
              </w:rPr>
              <w:t>Σεπτ</w:t>
            </w:r>
            <w:r w:rsidR="00801B82">
              <w:rPr>
                <w:rFonts w:ascii="Verdana" w:hAnsi="Verdana" w:cs="Arial"/>
                <w:b/>
                <w:bCs/>
                <w:color w:val="366092"/>
                <w:sz w:val="18"/>
                <w:szCs w:val="18"/>
                <w:lang w:val="en-GB"/>
              </w:rPr>
              <w:t xml:space="preserve"> </w:t>
            </w:r>
            <w:r w:rsidR="00801B82" w:rsidRPr="00127D16">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tcMar>
              <w:left w:w="57" w:type="dxa"/>
              <w:right w:w="57" w:type="dxa"/>
            </w:tcMar>
            <w:vAlign w:val="center"/>
          </w:tcPr>
          <w:p w14:paraId="1C4FB1C5" w14:textId="232328F2" w:rsidR="00801B82" w:rsidRPr="00127D16" w:rsidRDefault="00801B82" w:rsidP="00396276">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sidR="00396276" w:rsidRPr="00396276">
              <w:rPr>
                <w:rFonts w:ascii="Verdana" w:hAnsi="Verdana" w:cs="Arial"/>
                <w:b/>
                <w:bCs/>
                <w:color w:val="366092"/>
                <w:sz w:val="18"/>
                <w:szCs w:val="18"/>
              </w:rPr>
              <w:t>Σεπτ</w:t>
            </w:r>
            <w:r>
              <w:rPr>
                <w:rFonts w:ascii="Verdana" w:hAnsi="Verdana" w:cs="Arial"/>
                <w:b/>
                <w:bCs/>
                <w:color w:val="366092"/>
                <w:sz w:val="18"/>
                <w:szCs w:val="18"/>
                <w:lang w:val="en-GB"/>
              </w:rPr>
              <w:t xml:space="preserve"> </w:t>
            </w:r>
            <w:r w:rsidRPr="00127D16">
              <w:rPr>
                <w:rFonts w:ascii="Verdana" w:hAnsi="Verdana" w:cs="Arial"/>
                <w:b/>
                <w:bCs/>
                <w:color w:val="366092"/>
                <w:sz w:val="18"/>
                <w:szCs w:val="18"/>
              </w:rPr>
              <w:t xml:space="preserve">2025                   </w:t>
            </w:r>
          </w:p>
        </w:tc>
        <w:tc>
          <w:tcPr>
            <w:tcW w:w="1269" w:type="dxa"/>
            <w:tcBorders>
              <w:top w:val="single" w:sz="4" w:space="0" w:color="366092"/>
              <w:left w:val="nil"/>
              <w:bottom w:val="single" w:sz="4" w:space="0" w:color="366092"/>
              <w:right w:val="nil"/>
            </w:tcBorders>
            <w:tcMar>
              <w:left w:w="57" w:type="dxa"/>
              <w:right w:w="57" w:type="dxa"/>
            </w:tcMar>
            <w:vAlign w:val="center"/>
          </w:tcPr>
          <w:p w14:paraId="38639973" w14:textId="35A70038" w:rsidR="00801B82" w:rsidRPr="00127D16" w:rsidRDefault="00801B82" w:rsidP="00396276">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sidR="00396276" w:rsidRPr="00396276">
              <w:rPr>
                <w:rFonts w:ascii="Verdana" w:hAnsi="Verdana" w:cs="Arial"/>
                <w:b/>
                <w:bCs/>
                <w:color w:val="366092"/>
                <w:sz w:val="18"/>
                <w:szCs w:val="18"/>
              </w:rPr>
              <w:t>Σεπτ</w:t>
            </w:r>
            <w:r w:rsidRPr="00801B82">
              <w:rPr>
                <w:rFonts w:ascii="Verdana" w:hAnsi="Verdana" w:cs="Arial"/>
                <w:b/>
                <w:bCs/>
                <w:color w:val="366092"/>
                <w:sz w:val="18"/>
                <w:szCs w:val="18"/>
              </w:rPr>
              <w:t xml:space="preserve"> </w:t>
            </w:r>
            <w:r w:rsidRPr="00127D16">
              <w:rPr>
                <w:rFonts w:ascii="Verdana" w:hAnsi="Verdana" w:cs="Arial"/>
                <w:b/>
                <w:bCs/>
                <w:color w:val="366092"/>
                <w:sz w:val="18"/>
                <w:szCs w:val="18"/>
              </w:rPr>
              <w:t xml:space="preserve">2024                    </w:t>
            </w:r>
          </w:p>
        </w:tc>
        <w:tc>
          <w:tcPr>
            <w:tcW w:w="240" w:type="dxa"/>
            <w:vAlign w:val="center"/>
          </w:tcPr>
          <w:p w14:paraId="6002A42C" w14:textId="77777777" w:rsidR="00801B82" w:rsidRPr="00127D16" w:rsidRDefault="00801B82" w:rsidP="00801B82">
            <w:pPr>
              <w:jc w:val="center"/>
              <w:rPr>
                <w:rFonts w:ascii="Verdana" w:hAnsi="Verdana"/>
                <w:b/>
                <w:bCs/>
                <w:color w:val="366092"/>
                <w:sz w:val="18"/>
                <w:szCs w:val="18"/>
              </w:rPr>
            </w:pPr>
          </w:p>
        </w:tc>
        <w:tc>
          <w:tcPr>
            <w:tcW w:w="1400" w:type="dxa"/>
            <w:tcBorders>
              <w:top w:val="single" w:sz="4" w:space="0" w:color="366092"/>
              <w:bottom w:val="single" w:sz="4" w:space="0" w:color="366092"/>
            </w:tcBorders>
            <w:vAlign w:val="center"/>
          </w:tcPr>
          <w:p w14:paraId="061D9656" w14:textId="1C7F12FC" w:rsidR="00801B82" w:rsidRPr="00127D16" w:rsidRDefault="00396276" w:rsidP="00396276">
            <w:pPr>
              <w:jc w:val="center"/>
              <w:rPr>
                <w:rFonts w:ascii="Verdana" w:hAnsi="Verdana"/>
                <w:b/>
                <w:bCs/>
                <w:color w:val="366092"/>
                <w:sz w:val="18"/>
                <w:szCs w:val="18"/>
              </w:rPr>
            </w:pPr>
            <w:r w:rsidRPr="00396276">
              <w:rPr>
                <w:rFonts w:ascii="Verdana" w:hAnsi="Verdana" w:cs="Arial"/>
                <w:b/>
                <w:bCs/>
                <w:color w:val="366092"/>
                <w:sz w:val="18"/>
                <w:szCs w:val="18"/>
              </w:rPr>
              <w:t>Σεπτ</w:t>
            </w:r>
            <w:r w:rsidR="00801B82">
              <w:rPr>
                <w:rFonts w:ascii="Verdana" w:hAnsi="Verdana" w:cs="Arial"/>
                <w:b/>
                <w:bCs/>
                <w:color w:val="366092"/>
                <w:sz w:val="18"/>
                <w:szCs w:val="18"/>
              </w:rPr>
              <w:t xml:space="preserve"> </w:t>
            </w:r>
            <w:r w:rsidR="00801B82" w:rsidRPr="00127D16">
              <w:rPr>
                <w:rFonts w:ascii="Verdana" w:hAnsi="Verdana" w:cs="Arial"/>
                <w:b/>
                <w:bCs/>
                <w:color w:val="366092"/>
                <w:sz w:val="18"/>
                <w:szCs w:val="18"/>
              </w:rPr>
              <w:t>2025/2024</w:t>
            </w:r>
          </w:p>
        </w:tc>
        <w:tc>
          <w:tcPr>
            <w:tcW w:w="1400" w:type="dxa"/>
            <w:tcBorders>
              <w:top w:val="single" w:sz="4" w:space="0" w:color="366092"/>
              <w:bottom w:val="single" w:sz="4" w:space="0" w:color="366092"/>
            </w:tcBorders>
            <w:vAlign w:val="center"/>
          </w:tcPr>
          <w:p w14:paraId="4DDED1F5" w14:textId="01BB21FE" w:rsidR="00801B82" w:rsidRPr="00127D16" w:rsidRDefault="00801B82" w:rsidP="00396276">
            <w:pPr>
              <w:jc w:val="center"/>
              <w:rPr>
                <w:rFonts w:ascii="Verdana" w:hAnsi="Verdana"/>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sidR="00396276" w:rsidRPr="00396276">
              <w:rPr>
                <w:rFonts w:ascii="Verdana" w:hAnsi="Verdana" w:cs="Arial"/>
                <w:b/>
                <w:bCs/>
                <w:color w:val="366092"/>
                <w:sz w:val="18"/>
                <w:szCs w:val="18"/>
              </w:rPr>
              <w:t>Σεπτ</w:t>
            </w:r>
            <w:r>
              <w:rPr>
                <w:rFonts w:ascii="Verdana" w:hAnsi="Verdana" w:cs="Arial"/>
                <w:b/>
                <w:bCs/>
                <w:color w:val="366092"/>
                <w:sz w:val="18"/>
                <w:szCs w:val="18"/>
                <w:lang w:val="en-GB"/>
              </w:rPr>
              <w:t xml:space="preserve"> </w:t>
            </w:r>
            <w:r w:rsidRPr="00127D16">
              <w:rPr>
                <w:rFonts w:ascii="Verdana" w:hAnsi="Verdana" w:cs="Arial"/>
                <w:b/>
                <w:bCs/>
                <w:color w:val="366092"/>
                <w:sz w:val="18"/>
                <w:szCs w:val="18"/>
              </w:rPr>
              <w:t>2025/2024</w:t>
            </w:r>
          </w:p>
        </w:tc>
      </w:tr>
      <w:tr w:rsidR="000E0400" w:rsidRPr="00127D16" w14:paraId="73A005CA" w14:textId="77777777" w:rsidTr="00F15134">
        <w:trPr>
          <w:trHeight w:val="397"/>
          <w:jc w:val="center"/>
        </w:trPr>
        <w:tc>
          <w:tcPr>
            <w:tcW w:w="2367" w:type="dxa"/>
            <w:tcBorders>
              <w:top w:val="single" w:sz="4" w:space="0" w:color="366092"/>
              <w:left w:val="nil"/>
              <w:bottom w:val="nil"/>
              <w:right w:val="nil"/>
            </w:tcBorders>
            <w:vAlign w:val="center"/>
          </w:tcPr>
          <w:p w14:paraId="69D38464" w14:textId="4EA89DC7"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728AD70D" w14:textId="3B9196D7"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31.933</w:t>
            </w:r>
          </w:p>
        </w:tc>
        <w:tc>
          <w:tcPr>
            <w:tcW w:w="1096" w:type="dxa"/>
            <w:tcBorders>
              <w:top w:val="single" w:sz="4" w:space="0" w:color="366092"/>
              <w:left w:val="nil"/>
              <w:bottom w:val="nil"/>
              <w:right w:val="nil"/>
            </w:tcBorders>
            <w:shd w:val="clear" w:color="000000" w:fill="FFFFFF"/>
            <w:vAlign w:val="center"/>
          </w:tcPr>
          <w:p w14:paraId="53690F0C" w14:textId="54515D89"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29.472</w:t>
            </w:r>
          </w:p>
        </w:tc>
        <w:tc>
          <w:tcPr>
            <w:tcW w:w="1269" w:type="dxa"/>
            <w:tcBorders>
              <w:top w:val="single" w:sz="4" w:space="0" w:color="366092"/>
              <w:left w:val="nil"/>
              <w:bottom w:val="nil"/>
              <w:right w:val="nil"/>
            </w:tcBorders>
            <w:shd w:val="clear" w:color="000000" w:fill="FFFFFF"/>
            <w:vAlign w:val="center"/>
          </w:tcPr>
          <w:p w14:paraId="00732CFC" w14:textId="15745A7B"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256.211</w:t>
            </w:r>
          </w:p>
        </w:tc>
        <w:tc>
          <w:tcPr>
            <w:tcW w:w="1269" w:type="dxa"/>
            <w:tcBorders>
              <w:top w:val="single" w:sz="4" w:space="0" w:color="366092"/>
              <w:left w:val="nil"/>
              <w:bottom w:val="nil"/>
              <w:right w:val="nil"/>
            </w:tcBorders>
            <w:shd w:val="clear" w:color="000000" w:fill="FFFFFF"/>
            <w:vAlign w:val="center"/>
          </w:tcPr>
          <w:p w14:paraId="5D91690E" w14:textId="7C209932"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248.177</w:t>
            </w:r>
          </w:p>
        </w:tc>
        <w:tc>
          <w:tcPr>
            <w:tcW w:w="240" w:type="dxa"/>
            <w:vAlign w:val="center"/>
          </w:tcPr>
          <w:p w14:paraId="2E78300E" w14:textId="77777777" w:rsidR="000E0400" w:rsidRPr="00127D16" w:rsidRDefault="000E0400" w:rsidP="000E0400">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53D85297" w14:textId="26DBD020"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8,4</w:t>
            </w:r>
          </w:p>
        </w:tc>
        <w:tc>
          <w:tcPr>
            <w:tcW w:w="1400" w:type="dxa"/>
            <w:tcBorders>
              <w:top w:val="single" w:sz="4" w:space="0" w:color="366092"/>
              <w:left w:val="nil"/>
              <w:bottom w:val="nil"/>
              <w:right w:val="nil"/>
            </w:tcBorders>
            <w:vAlign w:val="center"/>
          </w:tcPr>
          <w:p w14:paraId="2CE54BF7" w14:textId="0929338C"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3,2</w:t>
            </w:r>
          </w:p>
        </w:tc>
      </w:tr>
      <w:tr w:rsidR="000E0400" w:rsidRPr="00127D16" w14:paraId="3359A9A7" w14:textId="77777777" w:rsidTr="00841902">
        <w:trPr>
          <w:trHeight w:val="397"/>
          <w:jc w:val="center"/>
        </w:trPr>
        <w:tc>
          <w:tcPr>
            <w:tcW w:w="2367" w:type="dxa"/>
            <w:tcBorders>
              <w:top w:val="nil"/>
              <w:left w:val="nil"/>
              <w:bottom w:val="nil"/>
              <w:right w:val="nil"/>
            </w:tcBorders>
            <w:vAlign w:val="center"/>
          </w:tcPr>
          <w:p w14:paraId="6871F9E5" w14:textId="66E194E6"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Κηροζίνη</w:t>
            </w:r>
          </w:p>
        </w:tc>
        <w:tc>
          <w:tcPr>
            <w:tcW w:w="1097" w:type="dxa"/>
            <w:tcBorders>
              <w:top w:val="nil"/>
              <w:left w:val="nil"/>
              <w:bottom w:val="nil"/>
              <w:right w:val="nil"/>
            </w:tcBorders>
            <w:shd w:val="clear" w:color="000000" w:fill="FFFFFF"/>
            <w:vAlign w:val="center"/>
          </w:tcPr>
          <w:p w14:paraId="778CAF50" w14:textId="2B603CCB"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86</w:t>
            </w:r>
          </w:p>
        </w:tc>
        <w:tc>
          <w:tcPr>
            <w:tcW w:w="1096" w:type="dxa"/>
            <w:tcBorders>
              <w:top w:val="nil"/>
              <w:left w:val="nil"/>
              <w:bottom w:val="nil"/>
              <w:right w:val="nil"/>
            </w:tcBorders>
            <w:shd w:val="clear" w:color="000000" w:fill="FFFFFF"/>
            <w:vAlign w:val="center"/>
          </w:tcPr>
          <w:p w14:paraId="6B2E8A31" w14:textId="3FF552B7"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80</w:t>
            </w:r>
          </w:p>
        </w:tc>
        <w:tc>
          <w:tcPr>
            <w:tcW w:w="1269" w:type="dxa"/>
            <w:tcBorders>
              <w:top w:val="nil"/>
              <w:left w:val="nil"/>
              <w:bottom w:val="nil"/>
              <w:right w:val="nil"/>
            </w:tcBorders>
            <w:shd w:val="clear" w:color="000000" w:fill="FFFFFF"/>
            <w:vAlign w:val="center"/>
          </w:tcPr>
          <w:p w14:paraId="73787CFF" w14:textId="7512594C"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4.595</w:t>
            </w:r>
          </w:p>
        </w:tc>
        <w:tc>
          <w:tcPr>
            <w:tcW w:w="1269" w:type="dxa"/>
            <w:tcBorders>
              <w:top w:val="nil"/>
              <w:left w:val="nil"/>
              <w:bottom w:val="nil"/>
              <w:right w:val="nil"/>
            </w:tcBorders>
            <w:shd w:val="clear" w:color="000000" w:fill="FFFFFF"/>
            <w:vAlign w:val="center"/>
          </w:tcPr>
          <w:p w14:paraId="706044EF" w14:textId="6CDD17A7"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3.996</w:t>
            </w:r>
          </w:p>
        </w:tc>
        <w:tc>
          <w:tcPr>
            <w:tcW w:w="240" w:type="dxa"/>
            <w:vAlign w:val="center"/>
          </w:tcPr>
          <w:p w14:paraId="3841803B" w14:textId="77777777" w:rsidR="000E0400" w:rsidRPr="00127D16"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43E13791" w14:textId="1D300CAE"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7,5</w:t>
            </w:r>
          </w:p>
        </w:tc>
        <w:tc>
          <w:tcPr>
            <w:tcW w:w="1400" w:type="dxa"/>
            <w:tcBorders>
              <w:top w:val="nil"/>
              <w:left w:val="nil"/>
              <w:bottom w:val="nil"/>
              <w:right w:val="nil"/>
            </w:tcBorders>
            <w:vAlign w:val="center"/>
          </w:tcPr>
          <w:p w14:paraId="321D913D" w14:textId="109B5299"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15,0</w:t>
            </w:r>
          </w:p>
        </w:tc>
      </w:tr>
      <w:tr w:rsidR="000E0400" w:rsidRPr="00127D16" w14:paraId="11FA7332" w14:textId="77777777" w:rsidTr="00841902">
        <w:trPr>
          <w:trHeight w:val="397"/>
          <w:jc w:val="center"/>
        </w:trPr>
        <w:tc>
          <w:tcPr>
            <w:tcW w:w="2367" w:type="dxa"/>
            <w:tcBorders>
              <w:top w:val="nil"/>
              <w:left w:val="nil"/>
              <w:bottom w:val="nil"/>
              <w:right w:val="nil"/>
            </w:tcBorders>
            <w:vAlign w:val="center"/>
          </w:tcPr>
          <w:p w14:paraId="11CE3301" w14:textId="1877675B"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2E875DD8" w14:textId="786925DC"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25.629</w:t>
            </w:r>
          </w:p>
        </w:tc>
        <w:tc>
          <w:tcPr>
            <w:tcW w:w="1096" w:type="dxa"/>
            <w:tcBorders>
              <w:top w:val="nil"/>
              <w:left w:val="nil"/>
              <w:bottom w:val="nil"/>
              <w:right w:val="nil"/>
            </w:tcBorders>
            <w:shd w:val="clear" w:color="000000" w:fill="FFFFFF"/>
            <w:vAlign w:val="center"/>
          </w:tcPr>
          <w:p w14:paraId="1A27EEF4" w14:textId="0FADEDD4"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24.784</w:t>
            </w:r>
          </w:p>
        </w:tc>
        <w:tc>
          <w:tcPr>
            <w:tcW w:w="1269" w:type="dxa"/>
            <w:tcBorders>
              <w:top w:val="nil"/>
              <w:left w:val="nil"/>
              <w:bottom w:val="nil"/>
              <w:right w:val="nil"/>
            </w:tcBorders>
            <w:shd w:val="clear" w:color="000000" w:fill="FFFFFF"/>
            <w:vAlign w:val="center"/>
          </w:tcPr>
          <w:p w14:paraId="0906C50F" w14:textId="20264EDC"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213.843</w:t>
            </w:r>
          </w:p>
        </w:tc>
        <w:tc>
          <w:tcPr>
            <w:tcW w:w="1269" w:type="dxa"/>
            <w:tcBorders>
              <w:top w:val="nil"/>
              <w:left w:val="nil"/>
              <w:bottom w:val="nil"/>
              <w:right w:val="nil"/>
            </w:tcBorders>
            <w:shd w:val="clear" w:color="000000" w:fill="FFFFFF"/>
            <w:vAlign w:val="center"/>
          </w:tcPr>
          <w:p w14:paraId="63C28FB0" w14:textId="7BEC1EA2"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208.575</w:t>
            </w:r>
          </w:p>
        </w:tc>
        <w:tc>
          <w:tcPr>
            <w:tcW w:w="240" w:type="dxa"/>
            <w:vAlign w:val="center"/>
          </w:tcPr>
          <w:p w14:paraId="3A0F3877" w14:textId="77777777" w:rsidR="000E0400" w:rsidRPr="00127D16"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74F60BC9" w14:textId="232D7E17"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3,4</w:t>
            </w:r>
          </w:p>
        </w:tc>
        <w:tc>
          <w:tcPr>
            <w:tcW w:w="1400" w:type="dxa"/>
            <w:tcBorders>
              <w:top w:val="nil"/>
              <w:left w:val="nil"/>
              <w:bottom w:val="nil"/>
              <w:right w:val="nil"/>
            </w:tcBorders>
            <w:vAlign w:val="center"/>
          </w:tcPr>
          <w:p w14:paraId="1E2F2711" w14:textId="0FAA34FF"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2,5</w:t>
            </w:r>
          </w:p>
        </w:tc>
      </w:tr>
      <w:tr w:rsidR="000E0400" w:rsidRPr="00127D16" w14:paraId="5E059E6A" w14:textId="77777777" w:rsidTr="00841902">
        <w:trPr>
          <w:trHeight w:val="397"/>
          <w:jc w:val="center"/>
        </w:trPr>
        <w:tc>
          <w:tcPr>
            <w:tcW w:w="2367" w:type="dxa"/>
            <w:tcBorders>
              <w:top w:val="nil"/>
              <w:left w:val="nil"/>
              <w:bottom w:val="nil"/>
              <w:right w:val="nil"/>
            </w:tcBorders>
            <w:vAlign w:val="center"/>
          </w:tcPr>
          <w:p w14:paraId="50220B99" w14:textId="19969EDB"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4523BC88" w14:textId="0187BA02"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1.348</w:t>
            </w:r>
          </w:p>
        </w:tc>
        <w:tc>
          <w:tcPr>
            <w:tcW w:w="1096" w:type="dxa"/>
            <w:tcBorders>
              <w:top w:val="nil"/>
              <w:left w:val="nil"/>
              <w:bottom w:val="nil"/>
              <w:right w:val="nil"/>
            </w:tcBorders>
            <w:shd w:val="clear" w:color="000000" w:fill="FFFFFF"/>
            <w:vAlign w:val="center"/>
          </w:tcPr>
          <w:p w14:paraId="07047FFB" w14:textId="0AB9462E"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1.262</w:t>
            </w:r>
          </w:p>
        </w:tc>
        <w:tc>
          <w:tcPr>
            <w:tcW w:w="1269" w:type="dxa"/>
            <w:tcBorders>
              <w:top w:val="nil"/>
              <w:left w:val="nil"/>
              <w:bottom w:val="nil"/>
              <w:right w:val="nil"/>
            </w:tcBorders>
            <w:shd w:val="clear" w:color="000000" w:fill="FFFFFF"/>
            <w:vAlign w:val="center"/>
          </w:tcPr>
          <w:p w14:paraId="52AE7A1A" w14:textId="47B47370"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11.848</w:t>
            </w:r>
          </w:p>
        </w:tc>
        <w:tc>
          <w:tcPr>
            <w:tcW w:w="1269" w:type="dxa"/>
            <w:tcBorders>
              <w:top w:val="nil"/>
              <w:left w:val="nil"/>
              <w:bottom w:val="nil"/>
              <w:right w:val="nil"/>
            </w:tcBorders>
            <w:shd w:val="clear" w:color="000000" w:fill="FFFFFF"/>
            <w:vAlign w:val="center"/>
          </w:tcPr>
          <w:p w14:paraId="0A8F20F3" w14:textId="2D13425A"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10.733</w:t>
            </w:r>
          </w:p>
        </w:tc>
        <w:tc>
          <w:tcPr>
            <w:tcW w:w="240" w:type="dxa"/>
            <w:vAlign w:val="center"/>
          </w:tcPr>
          <w:p w14:paraId="2FEFB42A" w14:textId="77777777" w:rsidR="000E0400" w:rsidRPr="00127D16"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19DF7757" w14:textId="4F77DBFF"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6,8</w:t>
            </w:r>
          </w:p>
        </w:tc>
        <w:tc>
          <w:tcPr>
            <w:tcW w:w="1400" w:type="dxa"/>
            <w:tcBorders>
              <w:top w:val="nil"/>
              <w:left w:val="nil"/>
              <w:bottom w:val="nil"/>
              <w:right w:val="nil"/>
            </w:tcBorders>
            <w:vAlign w:val="center"/>
          </w:tcPr>
          <w:p w14:paraId="2CF21468" w14:textId="5751A2F1"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10,4</w:t>
            </w:r>
          </w:p>
        </w:tc>
      </w:tr>
      <w:tr w:rsidR="000E0400" w:rsidRPr="00127D16" w14:paraId="2BAA46A5" w14:textId="77777777" w:rsidTr="00841902">
        <w:trPr>
          <w:trHeight w:val="397"/>
          <w:jc w:val="center"/>
        </w:trPr>
        <w:tc>
          <w:tcPr>
            <w:tcW w:w="2367" w:type="dxa"/>
            <w:tcBorders>
              <w:top w:val="nil"/>
              <w:left w:val="nil"/>
              <w:bottom w:val="nil"/>
              <w:right w:val="nil"/>
            </w:tcBorders>
            <w:vAlign w:val="center"/>
          </w:tcPr>
          <w:p w14:paraId="189B3109" w14:textId="79E6BEC6"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14B4E8A9" w14:textId="36C26445"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2.361</w:t>
            </w:r>
          </w:p>
        </w:tc>
        <w:tc>
          <w:tcPr>
            <w:tcW w:w="1096" w:type="dxa"/>
            <w:tcBorders>
              <w:top w:val="nil"/>
              <w:left w:val="nil"/>
              <w:bottom w:val="nil"/>
              <w:right w:val="nil"/>
            </w:tcBorders>
            <w:shd w:val="clear" w:color="000000" w:fill="FFFFFF"/>
            <w:vAlign w:val="center"/>
          </w:tcPr>
          <w:p w14:paraId="7B4E4C52" w14:textId="006A5E64"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2.189</w:t>
            </w:r>
          </w:p>
        </w:tc>
        <w:tc>
          <w:tcPr>
            <w:tcW w:w="1269" w:type="dxa"/>
            <w:tcBorders>
              <w:top w:val="nil"/>
              <w:left w:val="nil"/>
              <w:bottom w:val="nil"/>
              <w:right w:val="nil"/>
            </w:tcBorders>
            <w:shd w:val="clear" w:color="000000" w:fill="FFFFFF"/>
            <w:vAlign w:val="center"/>
          </w:tcPr>
          <w:p w14:paraId="05D2D716" w14:textId="0CE49419"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33.352</w:t>
            </w:r>
          </w:p>
        </w:tc>
        <w:tc>
          <w:tcPr>
            <w:tcW w:w="1269" w:type="dxa"/>
            <w:tcBorders>
              <w:top w:val="nil"/>
              <w:left w:val="nil"/>
              <w:bottom w:val="nil"/>
              <w:right w:val="nil"/>
            </w:tcBorders>
            <w:shd w:val="clear" w:color="000000" w:fill="FFFFFF"/>
            <w:vAlign w:val="center"/>
          </w:tcPr>
          <w:p w14:paraId="04920CAF" w14:textId="304650B8"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30.498</w:t>
            </w:r>
          </w:p>
        </w:tc>
        <w:tc>
          <w:tcPr>
            <w:tcW w:w="240" w:type="dxa"/>
            <w:vAlign w:val="center"/>
          </w:tcPr>
          <w:p w14:paraId="71FD570F" w14:textId="77777777" w:rsidR="000E0400" w:rsidRPr="00127D16" w:rsidRDefault="000E0400" w:rsidP="000E0400">
            <w:pPr>
              <w:jc w:val="right"/>
              <w:rPr>
                <w:rFonts w:ascii="Verdana" w:hAnsi="Verdana"/>
                <w:color w:val="366092"/>
                <w:sz w:val="18"/>
                <w:szCs w:val="18"/>
              </w:rPr>
            </w:pPr>
          </w:p>
        </w:tc>
        <w:tc>
          <w:tcPr>
            <w:tcW w:w="1400" w:type="dxa"/>
            <w:tcBorders>
              <w:top w:val="nil"/>
              <w:left w:val="nil"/>
              <w:bottom w:val="nil"/>
              <w:right w:val="nil"/>
            </w:tcBorders>
            <w:vAlign w:val="center"/>
          </w:tcPr>
          <w:p w14:paraId="1F01D137" w14:textId="71DA3FA7"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7,9</w:t>
            </w:r>
          </w:p>
        </w:tc>
        <w:tc>
          <w:tcPr>
            <w:tcW w:w="1400" w:type="dxa"/>
            <w:tcBorders>
              <w:top w:val="nil"/>
              <w:left w:val="nil"/>
              <w:bottom w:val="nil"/>
              <w:right w:val="nil"/>
            </w:tcBorders>
            <w:vAlign w:val="center"/>
          </w:tcPr>
          <w:p w14:paraId="23C3DAB6" w14:textId="21F1EB12"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9,4</w:t>
            </w:r>
          </w:p>
        </w:tc>
      </w:tr>
      <w:tr w:rsidR="000E0400" w:rsidRPr="00127D16" w14:paraId="04933586" w14:textId="77777777" w:rsidTr="00F15134">
        <w:trPr>
          <w:trHeight w:val="397"/>
          <w:jc w:val="center"/>
        </w:trPr>
        <w:tc>
          <w:tcPr>
            <w:tcW w:w="2367" w:type="dxa"/>
            <w:tcBorders>
              <w:top w:val="nil"/>
              <w:left w:val="nil"/>
              <w:right w:val="nil"/>
            </w:tcBorders>
            <w:vAlign w:val="center"/>
          </w:tcPr>
          <w:p w14:paraId="3E64E934" w14:textId="3D5F55AA"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Ελαφρύ Μαζούτ</w:t>
            </w:r>
          </w:p>
        </w:tc>
        <w:tc>
          <w:tcPr>
            <w:tcW w:w="1097" w:type="dxa"/>
            <w:tcBorders>
              <w:top w:val="nil"/>
              <w:left w:val="nil"/>
              <w:right w:val="nil"/>
            </w:tcBorders>
            <w:shd w:val="clear" w:color="000000" w:fill="FFFFFF"/>
            <w:vAlign w:val="center"/>
          </w:tcPr>
          <w:p w14:paraId="405351BF" w14:textId="762399C6"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47</w:t>
            </w:r>
          </w:p>
        </w:tc>
        <w:tc>
          <w:tcPr>
            <w:tcW w:w="1096" w:type="dxa"/>
            <w:tcBorders>
              <w:top w:val="nil"/>
              <w:left w:val="nil"/>
              <w:right w:val="nil"/>
            </w:tcBorders>
            <w:shd w:val="clear" w:color="000000" w:fill="FFFFFF"/>
            <w:vAlign w:val="center"/>
          </w:tcPr>
          <w:p w14:paraId="5773EEC4" w14:textId="7E1CBD07"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15</w:t>
            </w:r>
          </w:p>
        </w:tc>
        <w:tc>
          <w:tcPr>
            <w:tcW w:w="1269" w:type="dxa"/>
            <w:tcBorders>
              <w:top w:val="nil"/>
              <w:left w:val="nil"/>
              <w:right w:val="nil"/>
            </w:tcBorders>
            <w:shd w:val="clear" w:color="000000" w:fill="FFFFFF"/>
            <w:vAlign w:val="center"/>
          </w:tcPr>
          <w:p w14:paraId="159BC200" w14:textId="414DF2EE"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399</w:t>
            </w:r>
          </w:p>
        </w:tc>
        <w:tc>
          <w:tcPr>
            <w:tcW w:w="1269" w:type="dxa"/>
            <w:tcBorders>
              <w:top w:val="nil"/>
              <w:left w:val="nil"/>
              <w:right w:val="nil"/>
            </w:tcBorders>
            <w:shd w:val="clear" w:color="000000" w:fill="FFFFFF"/>
            <w:vAlign w:val="center"/>
          </w:tcPr>
          <w:p w14:paraId="136E49F4" w14:textId="0C7890D1" w:rsidR="000E0400" w:rsidRPr="00127D16" w:rsidRDefault="000E0400" w:rsidP="000E0400">
            <w:pPr>
              <w:jc w:val="right"/>
              <w:rPr>
                <w:rFonts w:ascii="Verdana" w:hAnsi="Verdana"/>
                <w:color w:val="366092"/>
                <w:sz w:val="18"/>
                <w:szCs w:val="18"/>
              </w:rPr>
            </w:pPr>
            <w:r>
              <w:rPr>
                <w:rFonts w:ascii="Verdana" w:hAnsi="Verdana" w:cs="Calibri"/>
                <w:color w:val="366092"/>
                <w:sz w:val="18"/>
                <w:szCs w:val="18"/>
              </w:rPr>
              <w:t>295</w:t>
            </w:r>
          </w:p>
        </w:tc>
        <w:tc>
          <w:tcPr>
            <w:tcW w:w="240" w:type="dxa"/>
            <w:vAlign w:val="center"/>
          </w:tcPr>
          <w:p w14:paraId="0917C1DA" w14:textId="77777777" w:rsidR="000E0400" w:rsidRPr="00127D16" w:rsidRDefault="000E0400" w:rsidP="000E0400">
            <w:pPr>
              <w:jc w:val="right"/>
              <w:rPr>
                <w:rFonts w:ascii="Verdana" w:hAnsi="Verdana"/>
                <w:color w:val="366092"/>
                <w:sz w:val="18"/>
                <w:szCs w:val="18"/>
              </w:rPr>
            </w:pPr>
          </w:p>
        </w:tc>
        <w:tc>
          <w:tcPr>
            <w:tcW w:w="1400" w:type="dxa"/>
            <w:tcBorders>
              <w:top w:val="nil"/>
              <w:left w:val="nil"/>
              <w:right w:val="nil"/>
            </w:tcBorders>
            <w:vAlign w:val="center"/>
          </w:tcPr>
          <w:p w14:paraId="6F74821D" w14:textId="546CE03F"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213,3</w:t>
            </w:r>
          </w:p>
        </w:tc>
        <w:tc>
          <w:tcPr>
            <w:tcW w:w="1400" w:type="dxa"/>
            <w:tcBorders>
              <w:top w:val="nil"/>
              <w:left w:val="nil"/>
              <w:right w:val="nil"/>
            </w:tcBorders>
            <w:vAlign w:val="center"/>
          </w:tcPr>
          <w:p w14:paraId="63B07C08" w14:textId="0D8C4290"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35,3</w:t>
            </w:r>
          </w:p>
        </w:tc>
      </w:tr>
      <w:tr w:rsidR="000E0400" w:rsidRPr="00127D16" w14:paraId="30CA887F" w14:textId="77777777" w:rsidTr="00F15134">
        <w:trPr>
          <w:trHeight w:val="397"/>
          <w:jc w:val="center"/>
        </w:trPr>
        <w:tc>
          <w:tcPr>
            <w:tcW w:w="2367" w:type="dxa"/>
            <w:tcBorders>
              <w:top w:val="nil"/>
              <w:left w:val="nil"/>
              <w:bottom w:val="single" w:sz="4" w:space="0" w:color="366092"/>
              <w:right w:val="nil"/>
            </w:tcBorders>
            <w:vAlign w:val="center"/>
          </w:tcPr>
          <w:p w14:paraId="1E78F766" w14:textId="69A611BE" w:rsidR="000E0400" w:rsidRPr="00127D16" w:rsidRDefault="000E0400" w:rsidP="000E0400">
            <w:pPr>
              <w:rPr>
                <w:rFonts w:ascii="Verdana" w:hAnsi="Verdana"/>
                <w:color w:val="366092"/>
                <w:sz w:val="18"/>
                <w:szCs w:val="18"/>
              </w:rPr>
            </w:pPr>
            <w:r w:rsidRPr="00127D16">
              <w:rPr>
                <w:rFonts w:ascii="Verdana" w:hAnsi="Verdana" w:cs="Arial"/>
                <w:color w:val="366092"/>
                <w:sz w:val="18"/>
                <w:szCs w:val="18"/>
              </w:rPr>
              <w:t>Λιπαντικά Λάδια</w:t>
            </w:r>
          </w:p>
        </w:tc>
        <w:tc>
          <w:tcPr>
            <w:tcW w:w="1097" w:type="dxa"/>
            <w:tcBorders>
              <w:top w:val="nil"/>
              <w:left w:val="nil"/>
              <w:bottom w:val="single" w:sz="4" w:space="0" w:color="366092"/>
              <w:right w:val="nil"/>
            </w:tcBorders>
            <w:shd w:val="clear" w:color="000000" w:fill="FFFFFF"/>
            <w:vAlign w:val="center"/>
          </w:tcPr>
          <w:p w14:paraId="21B7D3DB" w14:textId="3F1C0A3D" w:rsidR="000E0400" w:rsidRPr="00F15134" w:rsidRDefault="000E0400" w:rsidP="000E0400">
            <w:pPr>
              <w:jc w:val="right"/>
              <w:rPr>
                <w:rFonts w:ascii="Verdana" w:hAnsi="Verdana"/>
                <w:color w:val="366092"/>
                <w:sz w:val="18"/>
                <w:szCs w:val="18"/>
              </w:rPr>
            </w:pPr>
            <w:r>
              <w:rPr>
                <w:rFonts w:ascii="Verdana" w:hAnsi="Verdana" w:cs="Calibri"/>
                <w:color w:val="366092"/>
                <w:sz w:val="18"/>
                <w:szCs w:val="18"/>
              </w:rPr>
              <w:t>133</w:t>
            </w:r>
          </w:p>
        </w:tc>
        <w:tc>
          <w:tcPr>
            <w:tcW w:w="1096" w:type="dxa"/>
            <w:tcBorders>
              <w:top w:val="nil"/>
              <w:left w:val="nil"/>
              <w:bottom w:val="single" w:sz="4" w:space="0" w:color="366092"/>
              <w:right w:val="nil"/>
            </w:tcBorders>
            <w:shd w:val="clear" w:color="000000" w:fill="FFFFFF"/>
            <w:vAlign w:val="center"/>
          </w:tcPr>
          <w:p w14:paraId="24473D32" w14:textId="6ABCA1D6" w:rsidR="000E0400" w:rsidRPr="00F15134" w:rsidRDefault="000E0400" w:rsidP="000E0400">
            <w:pPr>
              <w:jc w:val="right"/>
              <w:rPr>
                <w:rFonts w:ascii="Verdana" w:hAnsi="Verdana"/>
                <w:color w:val="366092"/>
                <w:sz w:val="18"/>
                <w:szCs w:val="18"/>
              </w:rPr>
            </w:pPr>
            <w:r>
              <w:rPr>
                <w:rFonts w:ascii="Verdana" w:hAnsi="Verdana" w:cs="Calibri"/>
                <w:color w:val="366092"/>
                <w:sz w:val="18"/>
                <w:szCs w:val="18"/>
              </w:rPr>
              <w:t>112</w:t>
            </w:r>
          </w:p>
        </w:tc>
        <w:tc>
          <w:tcPr>
            <w:tcW w:w="1269" w:type="dxa"/>
            <w:tcBorders>
              <w:top w:val="nil"/>
              <w:left w:val="nil"/>
              <w:bottom w:val="single" w:sz="4" w:space="0" w:color="366092"/>
              <w:right w:val="nil"/>
            </w:tcBorders>
            <w:shd w:val="clear" w:color="000000" w:fill="FFFFFF"/>
            <w:vAlign w:val="center"/>
          </w:tcPr>
          <w:p w14:paraId="5C036953" w14:textId="57B23241" w:rsidR="000E0400" w:rsidRPr="00F15134" w:rsidRDefault="000E0400" w:rsidP="000E0400">
            <w:pPr>
              <w:jc w:val="right"/>
              <w:rPr>
                <w:rFonts w:ascii="Verdana" w:hAnsi="Verdana"/>
                <w:color w:val="366092"/>
                <w:sz w:val="18"/>
                <w:szCs w:val="18"/>
              </w:rPr>
            </w:pPr>
            <w:r>
              <w:rPr>
                <w:rFonts w:ascii="Verdana" w:hAnsi="Verdana" w:cs="Calibri"/>
                <w:color w:val="366092"/>
                <w:sz w:val="18"/>
                <w:szCs w:val="18"/>
              </w:rPr>
              <w:t>1.059</w:t>
            </w:r>
          </w:p>
        </w:tc>
        <w:tc>
          <w:tcPr>
            <w:tcW w:w="1269" w:type="dxa"/>
            <w:tcBorders>
              <w:top w:val="nil"/>
              <w:left w:val="nil"/>
              <w:bottom w:val="single" w:sz="4" w:space="0" w:color="366092"/>
              <w:right w:val="nil"/>
            </w:tcBorders>
            <w:shd w:val="clear" w:color="000000" w:fill="FFFFFF"/>
            <w:vAlign w:val="center"/>
          </w:tcPr>
          <w:p w14:paraId="09EC7DE8" w14:textId="052E69B4" w:rsidR="000E0400" w:rsidRPr="00F15134" w:rsidRDefault="000E0400" w:rsidP="000E0400">
            <w:pPr>
              <w:jc w:val="right"/>
              <w:rPr>
                <w:rFonts w:ascii="Verdana" w:hAnsi="Verdana"/>
                <w:color w:val="366092"/>
                <w:sz w:val="18"/>
                <w:szCs w:val="18"/>
              </w:rPr>
            </w:pPr>
            <w:r>
              <w:rPr>
                <w:rFonts w:ascii="Verdana" w:hAnsi="Verdana" w:cs="Calibri"/>
                <w:color w:val="366092"/>
                <w:sz w:val="18"/>
                <w:szCs w:val="18"/>
              </w:rPr>
              <w:t>982</w:t>
            </w:r>
          </w:p>
        </w:tc>
        <w:tc>
          <w:tcPr>
            <w:tcW w:w="240" w:type="dxa"/>
            <w:vAlign w:val="center"/>
          </w:tcPr>
          <w:p w14:paraId="50A6DE35" w14:textId="77777777" w:rsidR="000E0400" w:rsidRPr="00127D16" w:rsidRDefault="000E0400" w:rsidP="000E0400">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2CA7888C" w14:textId="7BC62B42"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18,8</w:t>
            </w:r>
          </w:p>
        </w:tc>
        <w:tc>
          <w:tcPr>
            <w:tcW w:w="1400" w:type="dxa"/>
            <w:tcBorders>
              <w:top w:val="nil"/>
              <w:left w:val="nil"/>
              <w:bottom w:val="single" w:sz="4" w:space="0" w:color="366092"/>
              <w:right w:val="nil"/>
            </w:tcBorders>
            <w:vAlign w:val="center"/>
          </w:tcPr>
          <w:p w14:paraId="322E2EEA" w14:textId="67C1A268" w:rsidR="000E0400" w:rsidRPr="00127D16" w:rsidRDefault="000E0400" w:rsidP="000E0400">
            <w:pPr>
              <w:ind w:right="397"/>
              <w:jc w:val="right"/>
              <w:rPr>
                <w:rFonts w:ascii="Verdana" w:hAnsi="Verdana" w:cs="Arial"/>
                <w:color w:val="366092"/>
                <w:sz w:val="18"/>
                <w:szCs w:val="18"/>
              </w:rPr>
            </w:pPr>
            <w:r>
              <w:rPr>
                <w:rFonts w:ascii="Verdana" w:hAnsi="Verdana" w:cs="Calibri"/>
                <w:color w:val="366092"/>
                <w:sz w:val="18"/>
                <w:szCs w:val="18"/>
              </w:rPr>
              <w:t>7,8</w:t>
            </w:r>
          </w:p>
        </w:tc>
      </w:tr>
      <w:tr w:rsidR="000E0400" w:rsidRPr="00127D16" w14:paraId="7697036F" w14:textId="77777777" w:rsidTr="00F15134">
        <w:trPr>
          <w:trHeight w:val="608"/>
          <w:jc w:val="center"/>
        </w:trPr>
        <w:tc>
          <w:tcPr>
            <w:tcW w:w="2367" w:type="dxa"/>
            <w:tcBorders>
              <w:top w:val="single" w:sz="4" w:space="0" w:color="366092"/>
              <w:bottom w:val="single" w:sz="4" w:space="0" w:color="366092"/>
            </w:tcBorders>
            <w:vAlign w:val="center"/>
          </w:tcPr>
          <w:p w14:paraId="64E34088" w14:textId="77777777" w:rsidR="000E0400" w:rsidRPr="00127D16" w:rsidRDefault="000E0400" w:rsidP="000E0400">
            <w:pPr>
              <w:spacing w:before="240" w:after="240"/>
              <w:rPr>
                <w:rFonts w:ascii="Verdana" w:hAnsi="Verdana"/>
                <w:b/>
                <w:bCs/>
                <w:color w:val="366092"/>
                <w:sz w:val="18"/>
                <w:szCs w:val="18"/>
              </w:rPr>
            </w:pPr>
            <w:r w:rsidRPr="00127D16">
              <w:rPr>
                <w:rFonts w:ascii="Verdana" w:hAnsi="Verdana"/>
                <w:b/>
                <w:bCs/>
                <w:color w:val="366092"/>
                <w:sz w:val="18"/>
                <w:szCs w:val="18"/>
              </w:rPr>
              <w:t xml:space="preserve">Σύνολο    </w:t>
            </w:r>
          </w:p>
        </w:tc>
        <w:tc>
          <w:tcPr>
            <w:tcW w:w="1097" w:type="dxa"/>
            <w:tcBorders>
              <w:top w:val="single" w:sz="4" w:space="0" w:color="366092"/>
              <w:left w:val="nil"/>
              <w:bottom w:val="single" w:sz="4" w:space="0" w:color="366092"/>
              <w:right w:val="nil"/>
            </w:tcBorders>
            <w:vAlign w:val="center"/>
          </w:tcPr>
          <w:p w14:paraId="7D2F9DC9" w14:textId="088ADE06" w:rsidR="000E0400" w:rsidRPr="00F15134" w:rsidRDefault="000E0400" w:rsidP="000E0400">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61.537</w:t>
            </w:r>
          </w:p>
        </w:tc>
        <w:tc>
          <w:tcPr>
            <w:tcW w:w="1096" w:type="dxa"/>
            <w:tcBorders>
              <w:top w:val="single" w:sz="4" w:space="0" w:color="366092"/>
              <w:left w:val="nil"/>
              <w:bottom w:val="single" w:sz="4" w:space="0" w:color="366092"/>
              <w:right w:val="nil"/>
            </w:tcBorders>
            <w:vAlign w:val="center"/>
          </w:tcPr>
          <w:p w14:paraId="26C515F1" w14:textId="4E569D40" w:rsidR="000E0400" w:rsidRPr="00F15134" w:rsidRDefault="000E0400" w:rsidP="000E0400">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57.914</w:t>
            </w:r>
          </w:p>
        </w:tc>
        <w:tc>
          <w:tcPr>
            <w:tcW w:w="1269" w:type="dxa"/>
            <w:tcBorders>
              <w:top w:val="single" w:sz="4" w:space="0" w:color="366092"/>
              <w:left w:val="nil"/>
              <w:bottom w:val="single" w:sz="4" w:space="0" w:color="366092"/>
              <w:right w:val="nil"/>
            </w:tcBorders>
            <w:vAlign w:val="center"/>
          </w:tcPr>
          <w:p w14:paraId="71E78402" w14:textId="5D26FEB1" w:rsidR="000E0400" w:rsidRPr="00F15134" w:rsidRDefault="000E0400" w:rsidP="000E0400">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521.307</w:t>
            </w:r>
          </w:p>
        </w:tc>
        <w:tc>
          <w:tcPr>
            <w:tcW w:w="1269" w:type="dxa"/>
            <w:tcBorders>
              <w:top w:val="single" w:sz="4" w:space="0" w:color="366092"/>
              <w:left w:val="nil"/>
              <w:bottom w:val="single" w:sz="4" w:space="0" w:color="366092"/>
              <w:right w:val="nil"/>
            </w:tcBorders>
            <w:vAlign w:val="center"/>
          </w:tcPr>
          <w:p w14:paraId="59C0292D" w14:textId="40D77856" w:rsidR="000E0400" w:rsidRPr="00F15134" w:rsidRDefault="000E0400" w:rsidP="000E0400">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503.256</w:t>
            </w:r>
          </w:p>
        </w:tc>
        <w:tc>
          <w:tcPr>
            <w:tcW w:w="240" w:type="dxa"/>
            <w:tcBorders>
              <w:bottom w:val="single" w:sz="4" w:space="0" w:color="366092"/>
            </w:tcBorders>
            <w:vAlign w:val="center"/>
          </w:tcPr>
          <w:p w14:paraId="3BF88548" w14:textId="2F93EC0F" w:rsidR="000E0400" w:rsidRPr="00127D16" w:rsidRDefault="000E0400" w:rsidP="000E0400">
            <w:pPr>
              <w:spacing w:before="240" w:after="240"/>
              <w:jc w:val="right"/>
              <w:rPr>
                <w:rFonts w:ascii="Verdana" w:hAnsi="Verdana"/>
                <w:b/>
                <w:bCs/>
                <w:color w:val="366092"/>
                <w:sz w:val="18"/>
                <w:szCs w:val="18"/>
              </w:rPr>
            </w:pPr>
            <w:r>
              <w:rPr>
                <w:rFonts w:ascii="Verdana" w:hAnsi="Verdana" w:cs="Calibri"/>
                <w:b/>
                <w:bCs/>
                <w:color w:val="366092"/>
                <w:sz w:val="18"/>
                <w:szCs w:val="18"/>
              </w:rPr>
              <w:t> </w:t>
            </w:r>
          </w:p>
        </w:tc>
        <w:tc>
          <w:tcPr>
            <w:tcW w:w="1400" w:type="dxa"/>
            <w:tcBorders>
              <w:top w:val="single" w:sz="4" w:space="0" w:color="366092"/>
              <w:left w:val="nil"/>
              <w:bottom w:val="single" w:sz="4" w:space="0" w:color="366092"/>
              <w:right w:val="nil"/>
            </w:tcBorders>
            <w:vAlign w:val="center"/>
          </w:tcPr>
          <w:p w14:paraId="481DDE24" w14:textId="79E24469" w:rsidR="000E0400" w:rsidRPr="00127D16" w:rsidRDefault="000E0400" w:rsidP="000E0400">
            <w:pPr>
              <w:spacing w:before="240" w:after="240"/>
              <w:ind w:right="397"/>
              <w:jc w:val="right"/>
              <w:rPr>
                <w:rFonts w:ascii="Verdana" w:eastAsia="Malgun Gothic" w:hAnsi="Verdana" w:cs="Arial"/>
                <w:b/>
                <w:color w:val="366092"/>
                <w:sz w:val="18"/>
                <w:szCs w:val="18"/>
              </w:rPr>
            </w:pPr>
            <w:r>
              <w:rPr>
                <w:rFonts w:ascii="Verdana" w:hAnsi="Verdana" w:cs="Calibri"/>
                <w:b/>
                <w:bCs/>
                <w:color w:val="366092"/>
                <w:sz w:val="18"/>
                <w:szCs w:val="18"/>
              </w:rPr>
              <w:t>6,3</w:t>
            </w:r>
          </w:p>
        </w:tc>
        <w:tc>
          <w:tcPr>
            <w:tcW w:w="1400" w:type="dxa"/>
            <w:tcBorders>
              <w:top w:val="single" w:sz="4" w:space="0" w:color="366092"/>
              <w:left w:val="nil"/>
              <w:bottom w:val="single" w:sz="4" w:space="0" w:color="366092"/>
              <w:right w:val="nil"/>
            </w:tcBorders>
            <w:vAlign w:val="center"/>
          </w:tcPr>
          <w:p w14:paraId="3CDFF3C1" w14:textId="2FE3FF65" w:rsidR="000E0400" w:rsidRPr="00127D16" w:rsidRDefault="000E0400" w:rsidP="000E0400">
            <w:pPr>
              <w:spacing w:before="240" w:after="240"/>
              <w:ind w:right="397"/>
              <w:jc w:val="right"/>
              <w:rPr>
                <w:rFonts w:ascii="Verdana" w:eastAsia="Malgun Gothic" w:hAnsi="Verdana" w:cs="Arial"/>
                <w:b/>
                <w:color w:val="366092"/>
                <w:sz w:val="18"/>
                <w:szCs w:val="18"/>
              </w:rPr>
            </w:pPr>
            <w:r>
              <w:rPr>
                <w:rFonts w:ascii="Verdana" w:hAnsi="Verdana" w:cs="Calibri"/>
                <w:b/>
                <w:bCs/>
                <w:color w:val="366092"/>
                <w:sz w:val="18"/>
                <w:szCs w:val="18"/>
              </w:rPr>
              <w:t>3,6</w:t>
            </w:r>
          </w:p>
        </w:tc>
      </w:tr>
    </w:tbl>
    <w:p w14:paraId="3C3F793B" w14:textId="77777777" w:rsidR="003C4AD2" w:rsidRPr="00127D16" w:rsidRDefault="003C4AD2" w:rsidP="00510C81">
      <w:pPr>
        <w:tabs>
          <w:tab w:val="left" w:pos="1080"/>
          <w:tab w:val="left" w:pos="6840"/>
        </w:tabs>
        <w:jc w:val="both"/>
        <w:rPr>
          <w:rFonts w:ascii="Verdana" w:eastAsia="Malgun Gothic" w:hAnsi="Verdana" w:cs="Arial"/>
          <w:bCs/>
          <w:sz w:val="18"/>
          <w:szCs w:val="18"/>
        </w:rPr>
      </w:pPr>
    </w:p>
    <w:p w14:paraId="407D54F5" w14:textId="77777777" w:rsidR="00163319" w:rsidRPr="008F151B" w:rsidRDefault="00163319" w:rsidP="008F151B">
      <w:pPr>
        <w:tabs>
          <w:tab w:val="left" w:pos="1080"/>
          <w:tab w:val="left" w:pos="6840"/>
        </w:tabs>
        <w:jc w:val="both"/>
        <w:rPr>
          <w:rFonts w:ascii="Verdana" w:eastAsia="Malgun Gothic" w:hAnsi="Verdana" w:cs="Arial"/>
          <w:bCs/>
          <w:sz w:val="18"/>
          <w:szCs w:val="18"/>
          <w:lang w:val="en-US"/>
        </w:rPr>
      </w:pPr>
    </w:p>
    <w:p w14:paraId="469200B4" w14:textId="77777777" w:rsidR="009265EC" w:rsidRPr="008F151B" w:rsidRDefault="009265EC" w:rsidP="008F151B">
      <w:pPr>
        <w:tabs>
          <w:tab w:val="left" w:pos="1080"/>
          <w:tab w:val="left" w:pos="6840"/>
        </w:tabs>
        <w:jc w:val="both"/>
        <w:rPr>
          <w:rFonts w:ascii="Verdana" w:eastAsia="Malgun Gothic" w:hAnsi="Verdana" w:cs="Arial"/>
          <w:bCs/>
          <w:sz w:val="18"/>
          <w:szCs w:val="18"/>
          <w:lang w:val="en-US"/>
        </w:rPr>
      </w:pPr>
    </w:p>
    <w:p w14:paraId="5E6B41EC" w14:textId="77777777" w:rsidR="00510C81" w:rsidRPr="008F151B" w:rsidRDefault="00510C81" w:rsidP="008F151B">
      <w:pPr>
        <w:tabs>
          <w:tab w:val="left" w:pos="1080"/>
          <w:tab w:val="left" w:pos="6840"/>
        </w:tabs>
        <w:jc w:val="both"/>
        <w:rPr>
          <w:rFonts w:ascii="Verdana" w:eastAsia="Malgun Gothic" w:hAnsi="Verdana" w:cs="Arial"/>
          <w:b/>
          <w:sz w:val="18"/>
          <w:szCs w:val="18"/>
          <w:u w:val="single"/>
        </w:rPr>
      </w:pPr>
    </w:p>
    <w:p w14:paraId="7DBE68AE" w14:textId="77777777" w:rsidR="009C0C96" w:rsidRPr="008F151B" w:rsidRDefault="009C0C96" w:rsidP="008F151B">
      <w:pPr>
        <w:tabs>
          <w:tab w:val="left" w:pos="1080"/>
          <w:tab w:val="left" w:pos="6840"/>
        </w:tabs>
        <w:jc w:val="both"/>
        <w:rPr>
          <w:rFonts w:ascii="Verdana" w:eastAsia="Malgun Gothic" w:hAnsi="Verdana" w:cs="Arial"/>
          <w:bCs/>
          <w:sz w:val="18"/>
          <w:szCs w:val="18"/>
        </w:rPr>
      </w:pPr>
    </w:p>
    <w:p w14:paraId="751AB087" w14:textId="77777777" w:rsidR="00510C81" w:rsidRPr="008F151B" w:rsidRDefault="00510C81" w:rsidP="008F151B">
      <w:pPr>
        <w:tabs>
          <w:tab w:val="left" w:pos="1080"/>
          <w:tab w:val="left" w:pos="6840"/>
        </w:tabs>
        <w:jc w:val="both"/>
        <w:rPr>
          <w:rFonts w:ascii="Verdana" w:eastAsia="Malgun Gothic" w:hAnsi="Verdana" w:cs="Arial"/>
          <w:bCs/>
          <w:sz w:val="18"/>
          <w:szCs w:val="18"/>
        </w:rPr>
      </w:pPr>
    </w:p>
    <w:p w14:paraId="68755B2B" w14:textId="77777777" w:rsidR="00163319" w:rsidRPr="008F151B" w:rsidRDefault="00163319" w:rsidP="008F151B">
      <w:pPr>
        <w:tabs>
          <w:tab w:val="left" w:pos="1080"/>
          <w:tab w:val="left" w:pos="6840"/>
        </w:tabs>
        <w:jc w:val="both"/>
        <w:rPr>
          <w:rFonts w:ascii="Verdana" w:eastAsia="Malgun Gothic" w:hAnsi="Verdana" w:cs="Arial"/>
          <w:b/>
          <w:sz w:val="18"/>
          <w:szCs w:val="18"/>
          <w:u w:val="single"/>
        </w:rPr>
      </w:pPr>
    </w:p>
    <w:p w14:paraId="797CE836" w14:textId="7937714F" w:rsidR="00FB55A5" w:rsidRPr="00127D16" w:rsidRDefault="00FB55A5" w:rsidP="003C4AD2">
      <w:pPr>
        <w:tabs>
          <w:tab w:val="left" w:pos="1080"/>
          <w:tab w:val="left" w:pos="6840"/>
        </w:tabs>
        <w:jc w:val="center"/>
        <w:rPr>
          <w:rFonts w:ascii="Verdana" w:eastAsia="Malgun Gothic" w:hAnsi="Verdana" w:cs="Arial"/>
          <w:b/>
          <w:u w:val="single"/>
        </w:rPr>
      </w:pPr>
      <w:r w:rsidRPr="00127D16">
        <w:rPr>
          <w:rFonts w:ascii="Verdana" w:eastAsia="Malgun Gothic" w:hAnsi="Verdana" w:cs="Arial"/>
          <w:b/>
          <w:u w:val="single"/>
        </w:rPr>
        <w:lastRenderedPageBreak/>
        <w:t>ΜΕΘΟΔΟΛΟΓΙΚΕΣ ΠΛΗΡΟΦΟΡΙΕΣ</w:t>
      </w:r>
    </w:p>
    <w:p w14:paraId="47E550AF" w14:textId="77777777" w:rsidR="00FB55A5" w:rsidRPr="00127D16" w:rsidRDefault="00FB55A5" w:rsidP="003C4AD2">
      <w:pPr>
        <w:tabs>
          <w:tab w:val="left" w:pos="1080"/>
          <w:tab w:val="left" w:pos="6840"/>
        </w:tabs>
        <w:jc w:val="both"/>
        <w:rPr>
          <w:rFonts w:ascii="Verdana" w:eastAsia="Malgun Gothic" w:hAnsi="Verdana" w:cs="Arial"/>
          <w:sz w:val="18"/>
          <w:szCs w:val="18"/>
        </w:rPr>
      </w:pPr>
    </w:p>
    <w:p w14:paraId="43552729" w14:textId="63FA0C4D" w:rsidR="00FB55A5" w:rsidRPr="00127D16" w:rsidRDefault="00FB55A5" w:rsidP="00FB55A5">
      <w:pPr>
        <w:jc w:val="both"/>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Σκοπός και </w:t>
      </w:r>
      <w:r w:rsidR="00852630" w:rsidRPr="00127D16">
        <w:rPr>
          <w:rFonts w:ascii="Verdana" w:hAnsi="Verdana"/>
          <w:b/>
          <w:bCs/>
          <w:sz w:val="18"/>
          <w:szCs w:val="18"/>
          <w:u w:val="single"/>
          <w:shd w:val="clear" w:color="auto" w:fill="FFFFFF"/>
        </w:rPr>
        <w:t>Κ</w:t>
      </w:r>
      <w:r w:rsidRPr="00127D16">
        <w:rPr>
          <w:rFonts w:ascii="Verdana" w:hAnsi="Verdana"/>
          <w:b/>
          <w:bCs/>
          <w:sz w:val="18"/>
          <w:szCs w:val="18"/>
          <w:u w:val="single"/>
          <w:shd w:val="clear" w:color="auto" w:fill="FFFFFF"/>
        </w:rPr>
        <w:t>άλυψη</w:t>
      </w:r>
    </w:p>
    <w:p w14:paraId="34CC24B7" w14:textId="77777777" w:rsidR="00FB55A5" w:rsidRPr="00127D16" w:rsidRDefault="00FB55A5" w:rsidP="00FB55A5">
      <w:pPr>
        <w:jc w:val="both"/>
        <w:rPr>
          <w:rFonts w:ascii="Verdana" w:hAnsi="Verdana"/>
          <w:sz w:val="18"/>
          <w:szCs w:val="18"/>
        </w:rPr>
      </w:pPr>
    </w:p>
    <w:p w14:paraId="16A94BA3" w14:textId="77777777" w:rsidR="00FB55A5" w:rsidRPr="00127D16" w:rsidRDefault="00FB55A5" w:rsidP="00FB55A5">
      <w:pPr>
        <w:jc w:val="both"/>
        <w:rPr>
          <w:rFonts w:ascii="Verdana" w:hAnsi="Verdana"/>
          <w:sz w:val="18"/>
          <w:szCs w:val="18"/>
        </w:rPr>
      </w:pPr>
      <w:r w:rsidRPr="00127D16">
        <w:rPr>
          <w:rFonts w:ascii="Verdana" w:hAnsi="Verdana"/>
          <w:sz w:val="18"/>
          <w:szCs w:val="18"/>
        </w:rPr>
        <w:t>H συλλογή στοιχείων για τις Εισαγωγές, Πωλήσεις και Αποθέματα Πετρελαιοειδών διεξάγεται σε μηνιαία βάση.</w:t>
      </w:r>
    </w:p>
    <w:p w14:paraId="77C766CE" w14:textId="77777777" w:rsidR="00FB55A5" w:rsidRPr="00127D16" w:rsidRDefault="00FB55A5" w:rsidP="00FB55A5">
      <w:pPr>
        <w:jc w:val="both"/>
        <w:rPr>
          <w:rFonts w:ascii="Verdana" w:hAnsi="Verdana"/>
          <w:sz w:val="18"/>
          <w:szCs w:val="18"/>
        </w:rPr>
      </w:pPr>
    </w:p>
    <w:p w14:paraId="37BFEEB0" w14:textId="77777777" w:rsidR="00FB55A5" w:rsidRPr="00127D16" w:rsidRDefault="00FB55A5" w:rsidP="00FB55A5">
      <w:pPr>
        <w:jc w:val="both"/>
        <w:rPr>
          <w:rFonts w:ascii="Verdana" w:hAnsi="Verdana"/>
          <w:sz w:val="18"/>
          <w:szCs w:val="18"/>
        </w:rPr>
      </w:pPr>
      <w:r w:rsidRPr="00127D16">
        <w:rPr>
          <w:rFonts w:ascii="Verdana" w:hAnsi="Verdana"/>
          <w:sz w:val="18"/>
          <w:szCs w:val="18"/>
        </w:rPr>
        <w:t>Αφορά τις πωλήσεις πετρελαιοειδών από πρατήρια πετρελαιοειδών και τις πωλήσεις σε κυβερνητικά τμήματα, στις Βρετανικές Βάσεις και στα Ηνωμένα Έθνη, σε πλοία και σε άλλους πελάτες, καθώς και τα αποθέματα στο τέλος κάθε μήνα. Καλύπτονται μόνο οι εταιρείες πετρελαιοειδών. Επιπρόσθετα, περιλαμβάνει και τις εισαγωγές πετρελαιοειδών απευθείας από την Αρχή Ηλεκτρισμού Κύπρου (ΑΗΚ) και τη μεταποιητική βιομηχανία.</w:t>
      </w:r>
    </w:p>
    <w:p w14:paraId="540C0531" w14:textId="77777777" w:rsidR="00FB55A5" w:rsidRPr="00127D16" w:rsidRDefault="00FB55A5" w:rsidP="00FB55A5">
      <w:pPr>
        <w:rPr>
          <w:rFonts w:ascii="Verdana" w:hAnsi="Verdana"/>
          <w:b/>
          <w:bCs/>
          <w:sz w:val="18"/>
          <w:szCs w:val="18"/>
          <w:shd w:val="clear" w:color="auto" w:fill="FFFFFF"/>
        </w:rPr>
      </w:pPr>
    </w:p>
    <w:p w14:paraId="6C2FFB25" w14:textId="20B2972F" w:rsidR="00FB55A5" w:rsidRPr="00127D16" w:rsidRDefault="00FB55A5" w:rsidP="00FB55A5">
      <w:pPr>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Συλλογή </w:t>
      </w:r>
      <w:r w:rsidR="00852630" w:rsidRPr="00127D16">
        <w:rPr>
          <w:rFonts w:ascii="Verdana" w:hAnsi="Verdana"/>
          <w:b/>
          <w:bCs/>
          <w:sz w:val="18"/>
          <w:szCs w:val="18"/>
          <w:u w:val="single"/>
          <w:shd w:val="clear" w:color="auto" w:fill="FFFFFF"/>
        </w:rPr>
        <w:t>Σ</w:t>
      </w:r>
      <w:r w:rsidRPr="00127D16">
        <w:rPr>
          <w:rFonts w:ascii="Verdana" w:hAnsi="Verdana"/>
          <w:b/>
          <w:bCs/>
          <w:sz w:val="18"/>
          <w:szCs w:val="18"/>
          <w:u w:val="single"/>
          <w:shd w:val="clear" w:color="auto" w:fill="FFFFFF"/>
        </w:rPr>
        <w:t>τοιχείων</w:t>
      </w:r>
    </w:p>
    <w:p w14:paraId="07C2AC30" w14:textId="77777777" w:rsidR="00FB55A5" w:rsidRPr="00127D16" w:rsidRDefault="00FB55A5" w:rsidP="00FB55A5">
      <w:pPr>
        <w:jc w:val="both"/>
        <w:rPr>
          <w:rFonts w:ascii="Verdana" w:hAnsi="Verdana"/>
          <w:sz w:val="18"/>
          <w:szCs w:val="18"/>
          <w:shd w:val="clear" w:color="auto" w:fill="FFFFFF"/>
        </w:rPr>
      </w:pPr>
    </w:p>
    <w:p w14:paraId="525456B9" w14:textId="77777777" w:rsidR="00FB55A5" w:rsidRPr="00127D16" w:rsidRDefault="00FB55A5" w:rsidP="00FB55A5">
      <w:pPr>
        <w:jc w:val="both"/>
        <w:rPr>
          <w:rFonts w:ascii="Verdana" w:hAnsi="Verdana"/>
          <w:sz w:val="18"/>
          <w:szCs w:val="18"/>
          <w:shd w:val="clear" w:color="auto" w:fill="FFFFFF"/>
        </w:rPr>
      </w:pPr>
      <w:r w:rsidRPr="00127D16">
        <w:rPr>
          <w:rFonts w:ascii="Verdana" w:hAnsi="Verdana"/>
          <w:sz w:val="18"/>
          <w:szCs w:val="18"/>
          <w:shd w:val="clear" w:color="auto" w:fill="FFFFFF"/>
        </w:rPr>
        <w:t>Η συλλογή των δεδομένων γίνεται σε μηνιαία βάση από τη Στατιστική Υπηρεσία, η οποία λαμβάνει ηλεκτρονικά το ειδικά διαμορφωμένο ερωτηματολόγιο από κάθε μία από τις εν λόγω εταιρείες.</w:t>
      </w:r>
    </w:p>
    <w:p w14:paraId="088FD446" w14:textId="77777777" w:rsidR="00E42235" w:rsidRPr="00127D16" w:rsidRDefault="00E42235" w:rsidP="00E42235">
      <w:pPr>
        <w:rPr>
          <w:rFonts w:ascii="Verdana" w:hAnsi="Verdana"/>
          <w:b/>
          <w:bCs/>
          <w:color w:val="0000CC"/>
          <w:sz w:val="18"/>
          <w:szCs w:val="18"/>
          <w:lang w:bidi="he-IL"/>
        </w:rPr>
      </w:pPr>
    </w:p>
    <w:p w14:paraId="10CF2579" w14:textId="77777777" w:rsidR="00FB55A5" w:rsidRPr="00127D16" w:rsidRDefault="00FB55A5" w:rsidP="00FB55A5">
      <w:pPr>
        <w:tabs>
          <w:tab w:val="left" w:pos="360"/>
          <w:tab w:val="left" w:pos="6840"/>
        </w:tabs>
        <w:ind w:right="-79"/>
        <w:jc w:val="both"/>
        <w:rPr>
          <w:rFonts w:ascii="Verdana" w:eastAsia="Malgun Gothic" w:hAnsi="Verdana" w:cs="Arial"/>
          <w:sz w:val="18"/>
          <w:szCs w:val="18"/>
        </w:rPr>
      </w:pPr>
    </w:p>
    <w:p w14:paraId="75DD5497" w14:textId="4B60D81D" w:rsidR="00FB55A5" w:rsidRPr="00127D16" w:rsidRDefault="00FB55A5" w:rsidP="00FB55A5">
      <w:pPr>
        <w:tabs>
          <w:tab w:val="left" w:pos="360"/>
          <w:tab w:val="left" w:pos="6840"/>
        </w:tabs>
        <w:ind w:right="-79"/>
        <w:jc w:val="both"/>
        <w:rPr>
          <w:rFonts w:ascii="Verdana" w:eastAsia="Malgun Gothic" w:hAnsi="Verdana" w:cs="Arial"/>
          <w:b/>
          <w:i/>
          <w:sz w:val="18"/>
          <w:szCs w:val="18"/>
        </w:rPr>
      </w:pPr>
      <w:r w:rsidRPr="00127D16">
        <w:rPr>
          <w:rFonts w:ascii="Verdana" w:eastAsia="Malgun Gothic" w:hAnsi="Verdana" w:cs="Arial"/>
          <w:b/>
          <w:i/>
          <w:sz w:val="18"/>
          <w:szCs w:val="18"/>
        </w:rPr>
        <w:t>Για περισσότερες πληροφορίες:</w:t>
      </w:r>
      <w:r w:rsidR="00F93135" w:rsidRPr="00127D16">
        <w:rPr>
          <w:rFonts w:ascii="Verdana" w:eastAsia="Malgun Gothic" w:hAnsi="Verdana" w:cs="Arial"/>
          <w:b/>
          <w:i/>
          <w:sz w:val="18"/>
          <w:szCs w:val="18"/>
        </w:rPr>
        <w:t xml:space="preserve"> </w:t>
      </w:r>
    </w:p>
    <w:p w14:paraId="4703298E" w14:textId="77777777" w:rsidR="00C91550" w:rsidRPr="00127D16" w:rsidRDefault="00C91550" w:rsidP="00C91550">
      <w:pPr>
        <w:tabs>
          <w:tab w:val="left" w:pos="5400"/>
        </w:tabs>
        <w:rPr>
          <w:rFonts w:ascii="Verdana" w:hAnsi="Verdana"/>
          <w:sz w:val="18"/>
          <w:szCs w:val="18"/>
        </w:rPr>
      </w:pPr>
      <w:r w:rsidRPr="00127D16">
        <w:rPr>
          <w:rFonts w:ascii="Verdana" w:hAnsi="Verdana"/>
          <w:sz w:val="18"/>
          <w:szCs w:val="18"/>
        </w:rPr>
        <w:t xml:space="preserve">Πύλη Στατιστικής Υπηρεσίας, υπόθεμα </w:t>
      </w:r>
      <w:hyperlink r:id="rId9" w:history="1">
        <w:r w:rsidRPr="00127D16">
          <w:rPr>
            <w:rFonts w:ascii="Verdana" w:hAnsi="Verdana"/>
            <w:color w:val="0000FF"/>
            <w:sz w:val="18"/>
            <w:szCs w:val="18"/>
            <w:u w:val="single"/>
          </w:rPr>
          <w:t>Ενέργεια</w:t>
        </w:r>
      </w:hyperlink>
    </w:p>
    <w:p w14:paraId="5F5DFA6F" w14:textId="26E26089" w:rsidR="00C91550" w:rsidRPr="00127D16" w:rsidRDefault="00C91550" w:rsidP="00C91550">
      <w:pPr>
        <w:rPr>
          <w:rFonts w:ascii="Verdana" w:hAnsi="Verdana"/>
          <w:sz w:val="18"/>
          <w:szCs w:val="18"/>
        </w:rPr>
      </w:pPr>
      <w:hyperlink r:id="rId10" w:history="1">
        <w:r w:rsidRPr="00127D16">
          <w:rPr>
            <w:rFonts w:ascii="Verdana" w:hAnsi="Verdana"/>
            <w:color w:val="0000FF"/>
            <w:sz w:val="18"/>
            <w:szCs w:val="18"/>
            <w:u w:val="single"/>
          </w:rPr>
          <w:t>CYSTAT-DB</w:t>
        </w:r>
      </w:hyperlink>
      <w:r w:rsidRPr="00127D16">
        <w:rPr>
          <w:rFonts w:ascii="Verdana" w:hAnsi="Verdana"/>
          <w:sz w:val="18"/>
          <w:szCs w:val="18"/>
        </w:rPr>
        <w:t xml:space="preserve"> (Βάση Δεδομένων)</w:t>
      </w:r>
    </w:p>
    <w:p w14:paraId="4F0D5B45" w14:textId="3706CA80" w:rsidR="003862C3" w:rsidRPr="00127D16" w:rsidRDefault="003862C3" w:rsidP="003862C3">
      <w:pPr>
        <w:rPr>
          <w:rFonts w:ascii="Verdana" w:hAnsi="Verdana"/>
          <w:sz w:val="18"/>
          <w:szCs w:val="18"/>
        </w:rPr>
      </w:pPr>
      <w:hyperlink r:id="rId11" w:history="1">
        <w:r w:rsidRPr="00127D16">
          <w:rPr>
            <w:rFonts w:ascii="Verdana" w:hAnsi="Verdana"/>
            <w:color w:val="0000FF"/>
            <w:sz w:val="18"/>
            <w:szCs w:val="18"/>
            <w:u w:val="single"/>
          </w:rPr>
          <w:t>Προκαθορισμένοι Πίνακες</w:t>
        </w:r>
      </w:hyperlink>
      <w:r w:rsidRPr="00127D16">
        <w:rPr>
          <w:rFonts w:ascii="Verdana" w:hAnsi="Verdana"/>
          <w:sz w:val="18"/>
          <w:szCs w:val="18"/>
        </w:rPr>
        <w:t xml:space="preserve"> (Excel)</w:t>
      </w:r>
    </w:p>
    <w:p w14:paraId="21B6E2F4" w14:textId="77777777" w:rsidR="003D646B" w:rsidRPr="00127D16" w:rsidRDefault="003D646B" w:rsidP="003D646B">
      <w:pPr>
        <w:ind w:right="-79"/>
        <w:jc w:val="both"/>
        <w:rPr>
          <w:rFonts w:ascii="Verdana" w:eastAsia="Malgun Gothic" w:hAnsi="Verdana" w:cs="Arial"/>
          <w:sz w:val="18"/>
          <w:szCs w:val="18"/>
        </w:rPr>
      </w:pPr>
      <w:hyperlink r:id="rId12" w:tooltip="Μεθοδολογικές Πληροφορίες" w:history="1">
        <w:r w:rsidRPr="00127D16">
          <w:rPr>
            <w:rStyle w:val="Hyperlink"/>
            <w:rFonts w:ascii="Verdana" w:eastAsia="Malgun Gothic" w:hAnsi="Verdana" w:cs="Arial"/>
            <w:sz w:val="18"/>
            <w:szCs w:val="18"/>
          </w:rPr>
          <w:t>Μεθοδολογικές Πληροφορίες</w:t>
        </w:r>
      </w:hyperlink>
    </w:p>
    <w:p w14:paraId="002D634A" w14:textId="77777777" w:rsidR="00B04256" w:rsidRPr="00127D16" w:rsidRDefault="00B04256" w:rsidP="003D646B">
      <w:pPr>
        <w:ind w:right="-79"/>
        <w:jc w:val="both"/>
        <w:rPr>
          <w:rFonts w:ascii="Verdana" w:eastAsia="Malgun Gothic" w:hAnsi="Verdana" w:cs="Arial"/>
          <w:sz w:val="18"/>
          <w:szCs w:val="18"/>
        </w:rPr>
      </w:pPr>
    </w:p>
    <w:p w14:paraId="6846CDA5" w14:textId="77777777" w:rsidR="00FB55A5" w:rsidRPr="00127D16" w:rsidRDefault="00B04256" w:rsidP="00FB55A5">
      <w:pPr>
        <w:ind w:right="-79"/>
        <w:jc w:val="both"/>
        <w:rPr>
          <w:rFonts w:ascii="Verdana" w:hAnsi="Verdana"/>
          <w:b/>
          <w:bCs/>
          <w:sz w:val="18"/>
          <w:szCs w:val="18"/>
        </w:rPr>
      </w:pPr>
      <w:r w:rsidRPr="00127D16">
        <w:rPr>
          <w:rFonts w:ascii="Verdana" w:hAnsi="Verdana"/>
          <w:b/>
          <w:bCs/>
          <w:sz w:val="18"/>
          <w:szCs w:val="18"/>
        </w:rPr>
        <w:t xml:space="preserve">Οι </w:t>
      </w:r>
      <w:r w:rsidRPr="00127D16">
        <w:rPr>
          <w:rFonts w:ascii="Verdana" w:hAnsi="Verdana"/>
          <w:b/>
          <w:bCs/>
          <w:sz w:val="18"/>
          <w:szCs w:val="18"/>
          <w:u w:val="single"/>
        </w:rPr>
        <w:t>Προκαθορισμένοι Πίνακες</w:t>
      </w:r>
      <w:r w:rsidRPr="00127D16">
        <w:rPr>
          <w:rFonts w:ascii="Verdana" w:hAnsi="Verdana"/>
          <w:b/>
          <w:bCs/>
          <w:sz w:val="18"/>
          <w:szCs w:val="18"/>
        </w:rPr>
        <w:t xml:space="preserve"> σε μορφή Excel περιλαμβάνουν στοιχεία μέχρι και τον Δεκέμβριο 2022. Για τον Ιανουάριο 2023 και μετέπειτα, η ενημέρωση γίνεται μόνο στη Βάση Δεδομένων CYSTAT-DB.</w:t>
      </w:r>
    </w:p>
    <w:p w14:paraId="7F4C22E2" w14:textId="77777777" w:rsidR="00B04256" w:rsidRPr="00127D16" w:rsidRDefault="00B04256" w:rsidP="00FB55A5">
      <w:pPr>
        <w:ind w:right="-79"/>
        <w:jc w:val="both"/>
        <w:rPr>
          <w:rFonts w:ascii="Verdana" w:hAnsi="Verdana"/>
          <w:sz w:val="18"/>
          <w:szCs w:val="18"/>
        </w:rPr>
      </w:pPr>
    </w:p>
    <w:p w14:paraId="26E32E91" w14:textId="77777777" w:rsidR="00FB55A5" w:rsidRPr="00127D16" w:rsidRDefault="00FB55A5" w:rsidP="00FB55A5">
      <w:pPr>
        <w:ind w:right="-79"/>
        <w:jc w:val="both"/>
        <w:rPr>
          <w:rFonts w:ascii="Verdana" w:eastAsia="Malgun Gothic" w:hAnsi="Verdana" w:cs="Arial"/>
          <w:i/>
          <w:sz w:val="18"/>
          <w:szCs w:val="18"/>
          <w:u w:val="single"/>
        </w:rPr>
      </w:pPr>
      <w:r w:rsidRPr="00127D16">
        <w:rPr>
          <w:rFonts w:ascii="Verdana" w:eastAsia="Malgun Gothic" w:hAnsi="Verdana" w:cs="Arial"/>
          <w:i/>
          <w:sz w:val="18"/>
          <w:szCs w:val="18"/>
          <w:u w:val="single"/>
        </w:rPr>
        <w:t>Επικοινωνία</w:t>
      </w:r>
    </w:p>
    <w:p w14:paraId="747E2AE4" w14:textId="77777777" w:rsidR="00DE5D35" w:rsidRPr="00127D16" w:rsidRDefault="00FB55A5" w:rsidP="00FB55A5">
      <w:pPr>
        <w:rPr>
          <w:rStyle w:val="Hyperlink"/>
          <w:rFonts w:ascii="Verdana" w:hAnsi="Verdana"/>
          <w:sz w:val="18"/>
          <w:szCs w:val="18"/>
        </w:rPr>
      </w:pPr>
      <w:r w:rsidRPr="00127D16">
        <w:rPr>
          <w:rFonts w:ascii="Verdana" w:hAnsi="Verdana"/>
          <w:sz w:val="18"/>
          <w:szCs w:val="18"/>
          <w:shd w:val="clear" w:color="auto" w:fill="FFFFFF"/>
        </w:rPr>
        <w:t xml:space="preserve">Ναυσικά Αποστόλου: Τηλ.: 22602199. </w:t>
      </w:r>
      <w:r w:rsidRPr="00127D16">
        <w:rPr>
          <w:rFonts w:ascii="Verdana" w:eastAsia="Malgun Gothic" w:hAnsi="Verdana" w:cs="Arial"/>
          <w:sz w:val="18"/>
          <w:szCs w:val="18"/>
        </w:rPr>
        <w:t>Ηλ. Ταχ.</w:t>
      </w:r>
      <w:r w:rsidRPr="00127D16">
        <w:rPr>
          <w:rFonts w:ascii="Verdana" w:hAnsi="Verdana"/>
          <w:sz w:val="18"/>
          <w:szCs w:val="18"/>
          <w:shd w:val="clear" w:color="auto" w:fill="FFFFFF"/>
        </w:rPr>
        <w:t>: </w:t>
      </w:r>
      <w:hyperlink r:id="rId13" w:history="1">
        <w:r w:rsidR="00F46406" w:rsidRPr="00127D16">
          <w:rPr>
            <w:rStyle w:val="Hyperlink"/>
            <w:rFonts w:ascii="Verdana" w:hAnsi="Verdana"/>
            <w:sz w:val="18"/>
            <w:szCs w:val="18"/>
          </w:rPr>
          <w:t>napostolou@cystat.mof.gov.cy</w:t>
        </w:r>
      </w:hyperlink>
    </w:p>
    <w:p w14:paraId="7D95BEAC" w14:textId="43F569A8" w:rsidR="00981FAD" w:rsidRPr="00871CA1" w:rsidRDefault="00981FAD" w:rsidP="00981FAD">
      <w:pPr>
        <w:ind w:right="-79"/>
        <w:jc w:val="both"/>
      </w:pPr>
      <w:r>
        <w:rPr>
          <w:rFonts w:ascii="Verdana" w:eastAsia="Malgun Gothic" w:hAnsi="Verdana" w:cs="Arial"/>
          <w:sz w:val="18"/>
          <w:szCs w:val="18"/>
        </w:rPr>
        <w:t>Δημήτριος Πηλαβάκης</w:t>
      </w:r>
      <w:r w:rsidRPr="009D09DA">
        <w:rPr>
          <w:rFonts w:ascii="Verdana" w:eastAsia="Malgun Gothic" w:hAnsi="Verdana" w:cs="Arial"/>
          <w:sz w:val="18"/>
          <w:szCs w:val="18"/>
        </w:rPr>
        <w:t xml:space="preserve">: </w:t>
      </w:r>
      <w:r w:rsidRPr="008C14B1">
        <w:rPr>
          <w:rFonts w:ascii="Verdana" w:eastAsia="Malgun Gothic" w:hAnsi="Verdana" w:cs="Arial"/>
          <w:sz w:val="18"/>
          <w:szCs w:val="18"/>
        </w:rPr>
        <w:t>Τηλ</w:t>
      </w:r>
      <w:r w:rsidR="004950F4" w:rsidRPr="00801B82">
        <w:rPr>
          <w:rFonts w:ascii="Verdana" w:eastAsia="Malgun Gothic" w:hAnsi="Verdana" w:cs="Arial"/>
          <w:sz w:val="18"/>
          <w:szCs w:val="18"/>
        </w:rPr>
        <w:t>.</w:t>
      </w:r>
      <w:r w:rsidRPr="008C14B1">
        <w:rPr>
          <w:rFonts w:ascii="Verdana" w:eastAsia="Malgun Gothic" w:hAnsi="Verdana" w:cs="Arial"/>
          <w:sz w:val="18"/>
          <w:szCs w:val="18"/>
        </w:rPr>
        <w:t>:</w:t>
      </w:r>
      <w:r w:rsidRPr="00D505E2">
        <w:rPr>
          <w:rFonts w:ascii="Verdana" w:eastAsia="Malgun Gothic" w:hAnsi="Verdana" w:cs="Arial"/>
          <w:sz w:val="18"/>
          <w:szCs w:val="18"/>
        </w:rPr>
        <w:t xml:space="preserve"> </w:t>
      </w:r>
      <w:r w:rsidRPr="008C14B1">
        <w:rPr>
          <w:rFonts w:ascii="Verdana" w:eastAsia="Malgun Gothic" w:hAnsi="Verdana" w:cs="Arial"/>
          <w:sz w:val="18"/>
          <w:szCs w:val="18"/>
        </w:rPr>
        <w:t>226021</w:t>
      </w:r>
      <w:r>
        <w:rPr>
          <w:rFonts w:ascii="Verdana" w:eastAsia="Malgun Gothic" w:hAnsi="Verdana" w:cs="Arial"/>
          <w:sz w:val="18"/>
          <w:szCs w:val="18"/>
        </w:rPr>
        <w:t>53</w:t>
      </w:r>
      <w:r w:rsidRPr="009D09DA">
        <w:rPr>
          <w:rFonts w:ascii="Verdana" w:eastAsia="Malgun Gothic" w:hAnsi="Verdana" w:cs="Arial"/>
          <w:sz w:val="18"/>
          <w:szCs w:val="18"/>
        </w:rPr>
        <w:t xml:space="preserve">, </w:t>
      </w:r>
      <w:r w:rsidRPr="008C14B1">
        <w:rPr>
          <w:rFonts w:ascii="Verdana" w:eastAsia="Malgun Gothic" w:hAnsi="Verdana" w:cs="Arial"/>
          <w:sz w:val="18"/>
          <w:szCs w:val="18"/>
        </w:rPr>
        <w:t xml:space="preserve">Ηλ. </w:t>
      </w:r>
      <w:r>
        <w:rPr>
          <w:rFonts w:ascii="Verdana" w:eastAsia="Malgun Gothic" w:hAnsi="Verdana" w:cs="Arial"/>
          <w:sz w:val="18"/>
          <w:szCs w:val="18"/>
        </w:rPr>
        <w:t>Ταχ</w:t>
      </w:r>
      <w:r w:rsidR="00D4592E">
        <w:rPr>
          <w:rFonts w:ascii="Verdana" w:eastAsia="Malgun Gothic" w:hAnsi="Verdana" w:cs="Arial"/>
          <w:sz w:val="18"/>
          <w:szCs w:val="18"/>
        </w:rPr>
        <w:t>.</w:t>
      </w:r>
      <w:r w:rsidRPr="009D09DA">
        <w:rPr>
          <w:rFonts w:ascii="Verdana" w:eastAsia="Malgun Gothic" w:hAnsi="Verdana" w:cs="Arial"/>
          <w:sz w:val="18"/>
          <w:szCs w:val="18"/>
        </w:rPr>
        <w:t xml:space="preserve">: </w:t>
      </w:r>
      <w:hyperlink r:id="rId14" w:history="1">
        <w:r w:rsidRPr="00683FC9">
          <w:rPr>
            <w:rStyle w:val="Hyperlink"/>
            <w:rFonts w:ascii="Verdana" w:eastAsia="Malgun Gothic" w:hAnsi="Verdana" w:cs="Arial"/>
            <w:sz w:val="18"/>
            <w:szCs w:val="18"/>
            <w:lang w:val="en-GB"/>
          </w:rPr>
          <w:t>dpilavakis</w:t>
        </w:r>
        <w:r w:rsidRPr="00683FC9">
          <w:rPr>
            <w:rStyle w:val="Hyperlink"/>
            <w:rFonts w:ascii="Verdana" w:eastAsia="Malgun Gothic" w:hAnsi="Verdana" w:cs="Arial"/>
            <w:sz w:val="18"/>
            <w:szCs w:val="18"/>
          </w:rPr>
          <w:t>@cystat.mof.gov.cy</w:t>
        </w:r>
      </w:hyperlink>
    </w:p>
    <w:p w14:paraId="3C03475F" w14:textId="5BAAAF8C" w:rsidR="00405879" w:rsidRPr="004950F4" w:rsidRDefault="00405879" w:rsidP="00E25966">
      <w:pPr>
        <w:rPr>
          <w:sz w:val="20"/>
          <w:szCs w:val="20"/>
          <w:lang w:eastAsia="en-CY"/>
        </w:rPr>
      </w:pPr>
    </w:p>
    <w:sectPr w:rsidR="00405879" w:rsidRPr="004950F4" w:rsidSect="00F51E3B">
      <w:headerReference w:type="default" r:id="rId15"/>
      <w:footerReference w:type="default" r:id="rId16"/>
      <w:headerReference w:type="first" r:id="rId17"/>
      <w:footerReference w:type="first" r:id="rId18"/>
      <w:pgSz w:w="11907" w:h="16840" w:code="9"/>
      <w:pgMar w:top="811" w:right="1134" w:bottom="102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AD8B" w14:textId="77777777" w:rsidR="00E91163" w:rsidRPr="00127D16" w:rsidRDefault="00E91163" w:rsidP="00FB398F">
      <w:r w:rsidRPr="00127D16">
        <w:separator/>
      </w:r>
    </w:p>
  </w:endnote>
  <w:endnote w:type="continuationSeparator" w:id="0">
    <w:p w14:paraId="20E79028" w14:textId="77777777" w:rsidR="00E91163" w:rsidRPr="00127D16" w:rsidRDefault="00E91163" w:rsidP="00FB398F">
      <w:r w:rsidRPr="00127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8D1" w14:textId="77777777" w:rsidR="004E4F42" w:rsidRPr="00127D16" w:rsidRDefault="004E4F42" w:rsidP="00763722">
    <w:pPr>
      <w:pStyle w:val="Footer"/>
      <w:tabs>
        <w:tab w:val="left" w:pos="3375"/>
        <w:tab w:val="left" w:pos="4500"/>
        <w:tab w:val="center" w:pos="4723"/>
      </w:tabs>
    </w:pPr>
    <w:r w:rsidRPr="00127D16">
      <w:tab/>
    </w:r>
    <w:r w:rsidRPr="00127D16">
      <w:tab/>
    </w:r>
    <w:r w:rsidRPr="00127D16">
      <w:tab/>
    </w:r>
    <w:r w:rsidRPr="00127D16">
      <w:tab/>
    </w:r>
    <w:r w:rsidRPr="00127D16">
      <w:t>-</w:t>
    </w:r>
    <w:r w:rsidR="00D14CDF" w:rsidRPr="00127D16">
      <w:fldChar w:fldCharType="begin"/>
    </w:r>
    <w:r w:rsidR="004D4950" w:rsidRPr="00127D16">
      <w:instrText xml:space="preserve"> PAGE   \* MERGEFORMAT </w:instrText>
    </w:r>
    <w:r w:rsidR="00D14CDF" w:rsidRPr="00127D16">
      <w:fldChar w:fldCharType="separate"/>
    </w:r>
    <w:r w:rsidR="004E7EC8" w:rsidRPr="00127D16">
      <w:t>3</w:t>
    </w:r>
    <w:r w:rsidR="00D14CDF" w:rsidRPr="00127D16">
      <w:fldChar w:fldCharType="end"/>
    </w:r>
    <w:r w:rsidRPr="00127D1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BE11" w14:textId="484010E7" w:rsidR="004E4F42" w:rsidRPr="00127D16" w:rsidRDefault="004E4F42" w:rsidP="000932CF">
    <w:pPr>
      <w:pStyle w:val="Footer"/>
      <w:pBdr>
        <w:top w:val="single" w:sz="4" w:space="0" w:color="auto"/>
      </w:pBdr>
      <w:tabs>
        <w:tab w:val="left" w:pos="4500"/>
      </w:tabs>
      <w:jc w:val="center"/>
      <w:rPr>
        <w:rFonts w:ascii="Verdana" w:hAnsi="Verdana" w:cs="Arial"/>
        <w:sz w:val="16"/>
        <w:szCs w:val="16"/>
      </w:rPr>
    </w:pPr>
    <w:r w:rsidRPr="00127D16">
      <w:rPr>
        <w:rFonts w:ascii="Verdana" w:hAnsi="Verdana" w:cs="Arial"/>
        <w:sz w:val="16"/>
        <w:szCs w:val="16"/>
      </w:rPr>
      <w:t>Διεύθυνση: Μιχα</w:t>
    </w:r>
    <w:r w:rsidR="00FD5B5F" w:rsidRPr="00127D16">
      <w:rPr>
        <w:rFonts w:ascii="Verdana" w:hAnsi="Verdana" w:cs="Arial"/>
        <w:sz w:val="16"/>
        <w:szCs w:val="16"/>
      </w:rPr>
      <w:t>ήλ</w:t>
    </w:r>
    <w:r w:rsidRPr="00127D16">
      <w:rPr>
        <w:rFonts w:ascii="Verdana" w:hAnsi="Verdana" w:cs="Arial"/>
        <w:sz w:val="16"/>
        <w:szCs w:val="16"/>
      </w:rPr>
      <w:t xml:space="preserve"> Καραολή,</w:t>
    </w:r>
    <w:r w:rsidR="009C0C96" w:rsidRPr="00127D16">
      <w:rPr>
        <w:rFonts w:ascii="Verdana" w:hAnsi="Verdana" w:cs="Arial"/>
        <w:sz w:val="16"/>
        <w:szCs w:val="16"/>
      </w:rPr>
      <w:t xml:space="preserve"> </w:t>
    </w:r>
    <w:r w:rsidRPr="00127D16">
      <w:rPr>
        <w:rFonts w:ascii="Verdana" w:hAnsi="Verdana" w:cs="Arial"/>
        <w:sz w:val="16"/>
        <w:szCs w:val="16"/>
      </w:rPr>
      <w:t>1444 Λευκωσία, Κύπρος</w:t>
    </w:r>
  </w:p>
  <w:p w14:paraId="422C6C2A" w14:textId="3301E019" w:rsidR="004E4F42" w:rsidRPr="00127D16" w:rsidRDefault="00D67EF5" w:rsidP="000932CF">
    <w:pPr>
      <w:pStyle w:val="Footer"/>
      <w:tabs>
        <w:tab w:val="left" w:pos="4500"/>
      </w:tabs>
      <w:jc w:val="center"/>
      <w:rPr>
        <w:rFonts w:ascii="Verdana" w:hAnsi="Verdana" w:cs="Arial"/>
        <w:sz w:val="16"/>
        <w:szCs w:val="16"/>
      </w:rPr>
    </w:pPr>
    <w:r w:rsidRPr="00127D16">
      <w:rPr>
        <w:rFonts w:ascii="Verdana" w:hAnsi="Verdana" w:cs="Arial"/>
        <w:sz w:val="16"/>
        <w:szCs w:val="16"/>
      </w:rPr>
      <w:t>Τηλ.: 22 602129</w:t>
    </w:r>
    <w:r w:rsidR="004E4F42" w:rsidRPr="00127D16">
      <w:rPr>
        <w:rFonts w:ascii="Verdana" w:hAnsi="Verdana" w:cs="Arial"/>
        <w:sz w:val="16"/>
        <w:szCs w:val="16"/>
      </w:rPr>
      <w:t xml:space="preserve">, </w:t>
    </w:r>
    <w:r w:rsidR="00D87D96" w:rsidRPr="00127D16">
      <w:rPr>
        <w:rFonts w:ascii="Verdana" w:hAnsi="Verdana" w:cs="Arial"/>
        <w:sz w:val="16"/>
        <w:szCs w:val="16"/>
      </w:rPr>
      <w:t>Ηλ. Ταχ.</w:t>
    </w:r>
    <w:r w:rsidR="004E4F42" w:rsidRPr="00127D16">
      <w:rPr>
        <w:rFonts w:ascii="Verdana" w:hAnsi="Verdana" w:cs="Arial"/>
        <w:sz w:val="16"/>
        <w:szCs w:val="16"/>
      </w:rPr>
      <w:t xml:space="preserve">: </w:t>
    </w:r>
    <w:hyperlink r:id="rId1" w:history="1">
      <w:r w:rsidR="004E4F42" w:rsidRPr="00127D16">
        <w:rPr>
          <w:rStyle w:val="Hyperlink"/>
          <w:rFonts w:ascii="Verdana" w:hAnsi="Verdana" w:cs="Arial"/>
          <w:sz w:val="16"/>
          <w:szCs w:val="16"/>
        </w:rPr>
        <w:t>enquiries@cystat.mof.gov.cy</w:t>
      </w:r>
    </w:hyperlink>
    <w:r w:rsidR="004E4F42" w:rsidRPr="00127D16">
      <w:rPr>
        <w:rFonts w:ascii="Verdana" w:hAnsi="Verdana" w:cs="Arial"/>
        <w:sz w:val="16"/>
        <w:szCs w:val="16"/>
      </w:rPr>
      <w:t xml:space="preserve">  </w:t>
    </w:r>
  </w:p>
  <w:p w14:paraId="3D3E66DE" w14:textId="2B1FEBEA" w:rsidR="004E4F42" w:rsidRPr="00127D16" w:rsidRDefault="00D87D96" w:rsidP="000932CF">
    <w:pPr>
      <w:pStyle w:val="Footer"/>
      <w:tabs>
        <w:tab w:val="left" w:pos="4500"/>
      </w:tabs>
      <w:jc w:val="center"/>
      <w:rPr>
        <w:rFonts w:ascii="Verdana" w:hAnsi="Verdana" w:cs="Arial"/>
        <w:sz w:val="16"/>
        <w:szCs w:val="16"/>
      </w:rPr>
    </w:pPr>
    <w:r w:rsidRPr="00127D16">
      <w:rPr>
        <w:rFonts w:ascii="Verdana" w:hAnsi="Verdana" w:cs="Arial"/>
        <w:sz w:val="16"/>
        <w:szCs w:val="16"/>
      </w:rPr>
      <w:t>Διαδικτυακή Πύλη</w:t>
    </w:r>
    <w:r w:rsidR="004E4F42" w:rsidRPr="00127D16">
      <w:rPr>
        <w:rFonts w:ascii="Verdana" w:hAnsi="Verdana" w:cs="Arial"/>
        <w:sz w:val="16"/>
        <w:szCs w:val="16"/>
      </w:rPr>
      <w:t xml:space="preserve">: </w:t>
    </w:r>
    <w:hyperlink r:id="rId2" w:history="1">
      <w:r w:rsidR="004E4F42" w:rsidRPr="00127D16">
        <w:rPr>
          <w:rStyle w:val="Hyperlink"/>
          <w:rFonts w:ascii="Verdana" w:hAnsi="Verdana" w:cs="Arial"/>
          <w:sz w:val="16"/>
          <w:szCs w:val="16"/>
        </w:rPr>
        <w:t>http://www.cystat.gov.cy</w:t>
      </w:r>
    </w:hyperlink>
    <w:r w:rsidR="004E4F42" w:rsidRPr="00127D16">
      <w:rPr>
        <w:rFonts w:ascii="Verdana" w:hAnsi="Verdana"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1F1D" w14:textId="77777777" w:rsidR="00E91163" w:rsidRPr="00127D16" w:rsidRDefault="00E91163" w:rsidP="00FB398F">
      <w:r w:rsidRPr="00127D16">
        <w:separator/>
      </w:r>
    </w:p>
  </w:footnote>
  <w:footnote w:type="continuationSeparator" w:id="0">
    <w:p w14:paraId="7C83AD33" w14:textId="77777777" w:rsidR="00E91163" w:rsidRPr="00127D16" w:rsidRDefault="00E91163" w:rsidP="00FB398F">
      <w:r w:rsidRPr="00127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05B4" w14:textId="77777777" w:rsidR="004E4F42" w:rsidRPr="00127D16" w:rsidRDefault="004E4F42" w:rsidP="001C0681">
    <w:pPr>
      <w:pStyle w:val="Header"/>
      <w:tabs>
        <w:tab w:val="clear" w:pos="4153"/>
        <w:tab w:val="clear" w:pos="8306"/>
        <w:tab w:val="left" w:pos="2745"/>
      </w:tabs>
      <w:spacing w:line="360" w:lineRule="auto"/>
      <w:rPr>
        <w:rFonts w:ascii="Arial" w:hAnsi="Arial" w:cs="Arial"/>
        <w:bCs/>
        <w:sz w:val="20"/>
        <w:szCs w:val="20"/>
      </w:rPr>
    </w:pPr>
    <w:r w:rsidRPr="00127D16">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A437" w14:textId="77777777" w:rsidR="004E4F42" w:rsidRPr="00127D16" w:rsidRDefault="003F118C" w:rsidP="00D95CBE">
    <w:pPr>
      <w:pStyle w:val="Header"/>
      <w:tabs>
        <w:tab w:val="clear" w:pos="4153"/>
        <w:tab w:val="clear" w:pos="8306"/>
        <w:tab w:val="left" w:pos="4080"/>
      </w:tabs>
      <w:rPr>
        <w:rFonts w:ascii="Arial" w:hAnsi="Arial" w:cs="Arial"/>
        <w:bCs/>
        <w:sz w:val="18"/>
        <w:szCs w:val="18"/>
      </w:rPr>
    </w:pPr>
    <w:r w:rsidRPr="00127D16">
      <w:rPr>
        <w:rFonts w:ascii="Arial" w:hAnsi="Arial" w:cs="Arial"/>
        <w:b/>
        <w:bCs/>
        <w:sz w:val="20"/>
        <w:szCs w:val="20"/>
        <w:lang w:eastAsia="en-US"/>
      </w:rPr>
      <mc:AlternateContent>
        <mc:Choice Requires="wps">
          <w:drawing>
            <wp:anchor distT="0" distB="0" distL="114300" distR="114300" simplePos="0" relativeHeight="251658752" behindDoc="0" locked="0" layoutInCell="1" allowOverlap="1" wp14:anchorId="75CFC8B3" wp14:editId="1DE974DA">
              <wp:simplePos x="0" y="0"/>
              <wp:positionH relativeFrom="column">
                <wp:posOffset>4337685</wp:posOffset>
              </wp:positionH>
              <wp:positionV relativeFrom="paragraph">
                <wp:posOffset>932180</wp:posOffset>
              </wp:positionV>
              <wp:extent cx="1943100" cy="4381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FC8B3" id="_x0000_t202" coordsize="21600,21600" o:spt="202" path="m,l,21600r21600,l21600,xe">
              <v:stroke joinstyle="miter"/>
              <v:path gradientshapeok="t" o:connecttype="rect"/>
            </v:shapetype>
            <v:shape id="Text Box 16" o:spid="_x0000_s1026" type="#_x0000_t202" style="position:absolute;margin-left:341.55pt;margin-top:73.4pt;width:15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jx8wEAAMo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" stroked="f">
              <v:textbo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v:textbox>
            </v:shape>
          </w:pict>
        </mc:Fallback>
      </mc:AlternateContent>
    </w:r>
    <w:r w:rsidRPr="00127D16">
      <w:rPr>
        <w:rFonts w:ascii="Arial" w:hAnsi="Arial" w:cs="Arial"/>
        <w:bCs/>
        <w:sz w:val="18"/>
        <w:szCs w:val="18"/>
        <w:lang w:eastAsia="en-US"/>
      </w:rPr>
      <mc:AlternateContent>
        <mc:Choice Requires="wps">
          <w:drawing>
            <wp:anchor distT="0" distB="0" distL="114300" distR="114300" simplePos="0" relativeHeight="251657728" behindDoc="0" locked="0" layoutInCell="1" allowOverlap="1" wp14:anchorId="7E2A54F1" wp14:editId="39099F95">
              <wp:simplePos x="0" y="0"/>
              <wp:positionH relativeFrom="column">
                <wp:posOffset>4716780</wp:posOffset>
              </wp:positionH>
              <wp:positionV relativeFrom="paragraph">
                <wp:posOffset>26035</wp:posOffset>
              </wp:positionV>
              <wp:extent cx="1669415" cy="910590"/>
              <wp:effectExtent l="11430" t="6985" r="12700" b="1206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910590"/>
                      </a:xfrm>
                      <a:prstGeom prst="rect">
                        <a:avLst/>
                      </a:prstGeom>
                      <a:solidFill>
                        <a:srgbClr val="FFFFFF"/>
                      </a:solidFill>
                      <a:ln w="9525">
                        <a:solidFill>
                          <a:srgbClr val="FFFFFF"/>
                        </a:solidFill>
                        <a:miter lim="800000"/>
                        <a:headEnd/>
                        <a:tailEnd/>
                      </a:ln>
                    </wps:spPr>
                    <wps:txbx>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A54F1" id="Text Box 14" o:spid="_x0000_s1027" type="#_x0000_t202" style="position:absolute;margin-left:371.4pt;margin-top:2.05pt;width:131.45pt;height:7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" strokecolor="white">
              <v:textbox style="mso-fit-shape-to-text:t">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v:textbox>
            </v:shape>
          </w:pict>
        </mc:Fallback>
      </mc:AlternateContent>
    </w:r>
    <w:r w:rsidRPr="00127D16">
      <w:rPr>
        <w:rFonts w:ascii="Arial" w:hAnsi="Arial" w:cs="Arial"/>
        <w:bCs/>
        <w:sz w:val="18"/>
        <w:szCs w:val="18"/>
      </w:rPr>
      <w:drawing>
        <wp:anchor distT="0" distB="0" distL="114300" distR="114300" simplePos="0" relativeHeight="251656704" behindDoc="0" locked="0" layoutInCell="1" allowOverlap="1" wp14:anchorId="413BDEB0" wp14:editId="30DACB53">
          <wp:simplePos x="0" y="0"/>
          <wp:positionH relativeFrom="column">
            <wp:posOffset>523875</wp:posOffset>
          </wp:positionH>
          <wp:positionV relativeFrom="paragraph">
            <wp:posOffset>168910</wp:posOffset>
          </wp:positionV>
          <wp:extent cx="676275" cy="676275"/>
          <wp:effectExtent l="0" t="0" r="0" b="0"/>
          <wp:wrapNone/>
          <wp:docPr id="751448476"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CBE" w:rsidRPr="00127D16">
      <w:rPr>
        <w:rFonts w:ascii="Arial" w:hAnsi="Arial" w:cs="Arial"/>
        <w:bCs/>
        <w:sz w:val="18"/>
        <w:szCs w:val="18"/>
      </w:rPr>
      <w:t xml:space="preserve">                                                                                           </w:t>
    </w:r>
    <w:r w:rsidR="00C93716" w:rsidRPr="00127D16">
      <w:rPr>
        <w:rFonts w:ascii="Arial" w:hAnsi="Arial" w:cs="Arial"/>
        <w:bCs/>
        <w:sz w:val="18"/>
        <w:szCs w:val="18"/>
      </w:rPr>
      <w:t xml:space="preserve">     </w:t>
    </w:r>
    <w:r w:rsidR="00D95CBE" w:rsidRPr="00127D16">
      <w:rPr>
        <w:rFonts w:ascii="Arial" w:hAnsi="Arial" w:cs="Arial"/>
        <w:bCs/>
        <w:sz w:val="18"/>
        <w:szCs w:val="18"/>
      </w:rPr>
      <w:t xml:space="preserve">          </w:t>
    </w:r>
    <w:r w:rsidRPr="00127D16">
      <w:drawing>
        <wp:inline distT="0" distB="0" distL="0" distR="0" wp14:anchorId="54B6EA45" wp14:editId="08463EF9">
          <wp:extent cx="1543050" cy="942975"/>
          <wp:effectExtent l="0" t="0" r="0" b="0"/>
          <wp:docPr id="582652852" name="Picture 5826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r w:rsidR="003B60F5" w:rsidRPr="00127D16">
      <w:rPr>
        <w:rFonts w:ascii="Arial" w:hAnsi="Arial" w:cs="Arial"/>
        <w:bCs/>
        <w:sz w:val="18"/>
        <w:szCs w:val="18"/>
      </w:rPr>
      <w:tab/>
    </w:r>
  </w:p>
  <w:p w14:paraId="51EAC525" w14:textId="7D43BC9E" w:rsidR="004E4F42" w:rsidRPr="00127D16"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127D16">
      <w:rPr>
        <w:rFonts w:ascii="Arial" w:hAnsi="Arial" w:cs="Arial"/>
        <w:bCs/>
        <w:sz w:val="18"/>
        <w:szCs w:val="18"/>
      </w:rPr>
      <w:t xml:space="preserve">    </w:t>
    </w:r>
    <w:r w:rsidRPr="00127D16">
      <w:rPr>
        <w:rFonts w:ascii="Verdana" w:hAnsi="Verdana" w:cs="Arial"/>
        <w:bCs/>
        <w:sz w:val="20"/>
        <w:szCs w:val="20"/>
      </w:rPr>
      <w:t>ΚΥΠΡΙΑΚΗ ΔΗΜΟΚΡΑΤΙΑ</w:t>
    </w:r>
    <w:r w:rsidRPr="00127D16">
      <w:rPr>
        <w:rFonts w:ascii="Verdana" w:hAnsi="Verdana"/>
        <w:b/>
        <w:bCs/>
        <w:sz w:val="20"/>
        <w:szCs w:val="20"/>
      </w:rPr>
      <w:t xml:space="preserve"> </w:t>
    </w:r>
  </w:p>
  <w:p w14:paraId="3699FD53" w14:textId="5ED333ED" w:rsidR="004E4F42" w:rsidRPr="00127D16"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127D16">
      <w:rPr>
        <w:rFonts w:ascii="Arial" w:hAnsi="Arial" w:cs="Arial"/>
        <w:b/>
        <w:bCs/>
        <w:sz w:val="20"/>
        <w:szCs w:val="20"/>
      </w:rPr>
      <w:t xml:space="preserve">  </w:t>
    </w:r>
    <w:r w:rsidRPr="00127D16">
      <w:rPr>
        <w:rFonts w:ascii="Arial" w:hAnsi="Arial" w:cs="Arial"/>
        <w:b/>
        <w:bCs/>
        <w:sz w:val="22"/>
        <w:szCs w:val="22"/>
      </w:rPr>
      <w:tab/>
    </w:r>
    <w:r w:rsidRPr="00127D16">
      <w:rPr>
        <w:b/>
        <w:bCs/>
        <w:sz w:val="22"/>
        <w:szCs w:val="22"/>
      </w:rPr>
      <w:tab/>
    </w:r>
  </w:p>
  <w:p w14:paraId="4C982DAC" w14:textId="77777777" w:rsidR="004E4F42" w:rsidRPr="00127D16"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94064958">
    <w:abstractNumId w:val="5"/>
  </w:num>
  <w:num w:numId="2" w16cid:durableId="1187255236">
    <w:abstractNumId w:val="2"/>
  </w:num>
  <w:num w:numId="3" w16cid:durableId="1238712794">
    <w:abstractNumId w:val="3"/>
  </w:num>
  <w:num w:numId="4" w16cid:durableId="1960528035">
    <w:abstractNumId w:val="4"/>
  </w:num>
  <w:num w:numId="5" w16cid:durableId="1260721549">
    <w:abstractNumId w:val="1"/>
  </w:num>
  <w:num w:numId="6" w16cid:durableId="1977300591">
    <w:abstractNumId w:val="6"/>
  </w:num>
  <w:num w:numId="7" w16cid:durableId="13885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B46"/>
    <w:rsid w:val="00002458"/>
    <w:rsid w:val="00002D1E"/>
    <w:rsid w:val="00004E08"/>
    <w:rsid w:val="0000542E"/>
    <w:rsid w:val="000059B2"/>
    <w:rsid w:val="00007B44"/>
    <w:rsid w:val="00012EC9"/>
    <w:rsid w:val="00013E40"/>
    <w:rsid w:val="000148F1"/>
    <w:rsid w:val="000161B1"/>
    <w:rsid w:val="00017E99"/>
    <w:rsid w:val="00022E82"/>
    <w:rsid w:val="000233FC"/>
    <w:rsid w:val="00025A39"/>
    <w:rsid w:val="0002765A"/>
    <w:rsid w:val="00027853"/>
    <w:rsid w:val="00030E18"/>
    <w:rsid w:val="00031D32"/>
    <w:rsid w:val="0003371B"/>
    <w:rsid w:val="00034A14"/>
    <w:rsid w:val="0003603D"/>
    <w:rsid w:val="000365A4"/>
    <w:rsid w:val="00045088"/>
    <w:rsid w:val="00045390"/>
    <w:rsid w:val="00045A06"/>
    <w:rsid w:val="0004770A"/>
    <w:rsid w:val="00050391"/>
    <w:rsid w:val="00050EC8"/>
    <w:rsid w:val="00055291"/>
    <w:rsid w:val="00055BB9"/>
    <w:rsid w:val="000563D3"/>
    <w:rsid w:val="00057162"/>
    <w:rsid w:val="00057B1F"/>
    <w:rsid w:val="00057E44"/>
    <w:rsid w:val="00061299"/>
    <w:rsid w:val="00066FA8"/>
    <w:rsid w:val="000671E6"/>
    <w:rsid w:val="00070576"/>
    <w:rsid w:val="00072074"/>
    <w:rsid w:val="00073C3D"/>
    <w:rsid w:val="00074AF2"/>
    <w:rsid w:val="000752BB"/>
    <w:rsid w:val="00076C03"/>
    <w:rsid w:val="00081ADF"/>
    <w:rsid w:val="00082AE8"/>
    <w:rsid w:val="000839A4"/>
    <w:rsid w:val="00084A02"/>
    <w:rsid w:val="00084BF7"/>
    <w:rsid w:val="000869DB"/>
    <w:rsid w:val="000870E9"/>
    <w:rsid w:val="000906ED"/>
    <w:rsid w:val="00092DD6"/>
    <w:rsid w:val="000932CF"/>
    <w:rsid w:val="000942E5"/>
    <w:rsid w:val="00096ED8"/>
    <w:rsid w:val="000A0203"/>
    <w:rsid w:val="000A1A88"/>
    <w:rsid w:val="000A2B5C"/>
    <w:rsid w:val="000A32B3"/>
    <w:rsid w:val="000A3601"/>
    <w:rsid w:val="000A6FA8"/>
    <w:rsid w:val="000B0A64"/>
    <w:rsid w:val="000B2728"/>
    <w:rsid w:val="000B3367"/>
    <w:rsid w:val="000B40DB"/>
    <w:rsid w:val="000B4267"/>
    <w:rsid w:val="000B5492"/>
    <w:rsid w:val="000B579E"/>
    <w:rsid w:val="000B6A78"/>
    <w:rsid w:val="000B7A21"/>
    <w:rsid w:val="000C0A04"/>
    <w:rsid w:val="000C1070"/>
    <w:rsid w:val="000C122B"/>
    <w:rsid w:val="000C1B8D"/>
    <w:rsid w:val="000C2BF6"/>
    <w:rsid w:val="000C3B16"/>
    <w:rsid w:val="000C4E72"/>
    <w:rsid w:val="000D1E7A"/>
    <w:rsid w:val="000D3C4D"/>
    <w:rsid w:val="000E0400"/>
    <w:rsid w:val="000E24B1"/>
    <w:rsid w:val="000E2735"/>
    <w:rsid w:val="000E32D6"/>
    <w:rsid w:val="000E42D7"/>
    <w:rsid w:val="000E45D3"/>
    <w:rsid w:val="000E4B59"/>
    <w:rsid w:val="000E4D23"/>
    <w:rsid w:val="000E57F2"/>
    <w:rsid w:val="000E5E60"/>
    <w:rsid w:val="000E72A7"/>
    <w:rsid w:val="000F06B1"/>
    <w:rsid w:val="000F1162"/>
    <w:rsid w:val="000F3467"/>
    <w:rsid w:val="000F38DE"/>
    <w:rsid w:val="000F3C74"/>
    <w:rsid w:val="000F532A"/>
    <w:rsid w:val="000F5886"/>
    <w:rsid w:val="000F5D6C"/>
    <w:rsid w:val="000F6616"/>
    <w:rsid w:val="000F7308"/>
    <w:rsid w:val="000F762B"/>
    <w:rsid w:val="00103E27"/>
    <w:rsid w:val="0010462F"/>
    <w:rsid w:val="001046DA"/>
    <w:rsid w:val="00106852"/>
    <w:rsid w:val="00107DBB"/>
    <w:rsid w:val="00110F9D"/>
    <w:rsid w:val="00112576"/>
    <w:rsid w:val="00114A67"/>
    <w:rsid w:val="00114BC1"/>
    <w:rsid w:val="0011536F"/>
    <w:rsid w:val="00116D38"/>
    <w:rsid w:val="001248A2"/>
    <w:rsid w:val="00124E2E"/>
    <w:rsid w:val="00124E88"/>
    <w:rsid w:val="001253B6"/>
    <w:rsid w:val="001257BC"/>
    <w:rsid w:val="001262C3"/>
    <w:rsid w:val="00127320"/>
    <w:rsid w:val="00127456"/>
    <w:rsid w:val="00127D16"/>
    <w:rsid w:val="001312D8"/>
    <w:rsid w:val="0013137B"/>
    <w:rsid w:val="001353D3"/>
    <w:rsid w:val="00136365"/>
    <w:rsid w:val="00142848"/>
    <w:rsid w:val="00143ED6"/>
    <w:rsid w:val="00151124"/>
    <w:rsid w:val="0015118B"/>
    <w:rsid w:val="001519CE"/>
    <w:rsid w:val="001530A1"/>
    <w:rsid w:val="001540D4"/>
    <w:rsid w:val="001541D3"/>
    <w:rsid w:val="00156349"/>
    <w:rsid w:val="00161CF3"/>
    <w:rsid w:val="00161FE4"/>
    <w:rsid w:val="00162C00"/>
    <w:rsid w:val="00163319"/>
    <w:rsid w:val="001639EF"/>
    <w:rsid w:val="00163D46"/>
    <w:rsid w:val="001648A2"/>
    <w:rsid w:val="0016589F"/>
    <w:rsid w:val="001702EA"/>
    <w:rsid w:val="0017769A"/>
    <w:rsid w:val="00181155"/>
    <w:rsid w:val="0018250A"/>
    <w:rsid w:val="00182731"/>
    <w:rsid w:val="00183DFC"/>
    <w:rsid w:val="00184384"/>
    <w:rsid w:val="0018527E"/>
    <w:rsid w:val="0018595E"/>
    <w:rsid w:val="00186717"/>
    <w:rsid w:val="00187789"/>
    <w:rsid w:val="00187FFC"/>
    <w:rsid w:val="00190034"/>
    <w:rsid w:val="00192970"/>
    <w:rsid w:val="00194386"/>
    <w:rsid w:val="001959E3"/>
    <w:rsid w:val="00197DF0"/>
    <w:rsid w:val="00197FEA"/>
    <w:rsid w:val="001A1480"/>
    <w:rsid w:val="001A1A82"/>
    <w:rsid w:val="001A2018"/>
    <w:rsid w:val="001A2191"/>
    <w:rsid w:val="001A4860"/>
    <w:rsid w:val="001A4C47"/>
    <w:rsid w:val="001A58BF"/>
    <w:rsid w:val="001B08E9"/>
    <w:rsid w:val="001B1BD4"/>
    <w:rsid w:val="001B2C39"/>
    <w:rsid w:val="001B3675"/>
    <w:rsid w:val="001B5E10"/>
    <w:rsid w:val="001B6AB3"/>
    <w:rsid w:val="001B73D5"/>
    <w:rsid w:val="001B7F49"/>
    <w:rsid w:val="001C0681"/>
    <w:rsid w:val="001C22B4"/>
    <w:rsid w:val="001C4348"/>
    <w:rsid w:val="001C549B"/>
    <w:rsid w:val="001C62B3"/>
    <w:rsid w:val="001C6A58"/>
    <w:rsid w:val="001C6D54"/>
    <w:rsid w:val="001C7C8C"/>
    <w:rsid w:val="001D0D6A"/>
    <w:rsid w:val="001D0F04"/>
    <w:rsid w:val="001D20A4"/>
    <w:rsid w:val="001D378E"/>
    <w:rsid w:val="001D53A1"/>
    <w:rsid w:val="001E00D1"/>
    <w:rsid w:val="001E0E58"/>
    <w:rsid w:val="001E14F3"/>
    <w:rsid w:val="001E15ED"/>
    <w:rsid w:val="001E3856"/>
    <w:rsid w:val="001E47CD"/>
    <w:rsid w:val="001E585E"/>
    <w:rsid w:val="001E61AA"/>
    <w:rsid w:val="001E6783"/>
    <w:rsid w:val="001E748F"/>
    <w:rsid w:val="001E7658"/>
    <w:rsid w:val="001F5381"/>
    <w:rsid w:val="001F5498"/>
    <w:rsid w:val="001F7A6D"/>
    <w:rsid w:val="00201F28"/>
    <w:rsid w:val="0020309E"/>
    <w:rsid w:val="00205AAB"/>
    <w:rsid w:val="00206189"/>
    <w:rsid w:val="0021061B"/>
    <w:rsid w:val="00210B58"/>
    <w:rsid w:val="00210E84"/>
    <w:rsid w:val="00216B06"/>
    <w:rsid w:val="00222423"/>
    <w:rsid w:val="00225807"/>
    <w:rsid w:val="00225B28"/>
    <w:rsid w:val="0022606C"/>
    <w:rsid w:val="00226891"/>
    <w:rsid w:val="00230D9B"/>
    <w:rsid w:val="002313AC"/>
    <w:rsid w:val="002330B1"/>
    <w:rsid w:val="0023347D"/>
    <w:rsid w:val="002356C2"/>
    <w:rsid w:val="00235FB2"/>
    <w:rsid w:val="00236ECE"/>
    <w:rsid w:val="00237BC1"/>
    <w:rsid w:val="002430B4"/>
    <w:rsid w:val="002447D0"/>
    <w:rsid w:val="002454C5"/>
    <w:rsid w:val="00245E19"/>
    <w:rsid w:val="00246AEB"/>
    <w:rsid w:val="00247871"/>
    <w:rsid w:val="00250005"/>
    <w:rsid w:val="0025254F"/>
    <w:rsid w:val="0025566D"/>
    <w:rsid w:val="0025595C"/>
    <w:rsid w:val="00256E2A"/>
    <w:rsid w:val="00257149"/>
    <w:rsid w:val="002576E7"/>
    <w:rsid w:val="00260357"/>
    <w:rsid w:val="00261FC4"/>
    <w:rsid w:val="002620B5"/>
    <w:rsid w:val="00264637"/>
    <w:rsid w:val="00264F04"/>
    <w:rsid w:val="00267554"/>
    <w:rsid w:val="00267FC1"/>
    <w:rsid w:val="00273C8A"/>
    <w:rsid w:val="0027474C"/>
    <w:rsid w:val="00274E2B"/>
    <w:rsid w:val="0027564D"/>
    <w:rsid w:val="002818A5"/>
    <w:rsid w:val="00281B73"/>
    <w:rsid w:val="00281D55"/>
    <w:rsid w:val="0028338F"/>
    <w:rsid w:val="0028381B"/>
    <w:rsid w:val="002846E4"/>
    <w:rsid w:val="002915C4"/>
    <w:rsid w:val="0029215E"/>
    <w:rsid w:val="00292B36"/>
    <w:rsid w:val="00293BF0"/>
    <w:rsid w:val="00297E6B"/>
    <w:rsid w:val="002A1D1C"/>
    <w:rsid w:val="002A3E0D"/>
    <w:rsid w:val="002A3F4C"/>
    <w:rsid w:val="002A4D64"/>
    <w:rsid w:val="002A6200"/>
    <w:rsid w:val="002A67D9"/>
    <w:rsid w:val="002B4969"/>
    <w:rsid w:val="002B6554"/>
    <w:rsid w:val="002B6788"/>
    <w:rsid w:val="002B7DAA"/>
    <w:rsid w:val="002C3834"/>
    <w:rsid w:val="002C4662"/>
    <w:rsid w:val="002C6C73"/>
    <w:rsid w:val="002C7AF3"/>
    <w:rsid w:val="002D0045"/>
    <w:rsid w:val="002D05F0"/>
    <w:rsid w:val="002D2829"/>
    <w:rsid w:val="002D4064"/>
    <w:rsid w:val="002D7D4A"/>
    <w:rsid w:val="002E0EE8"/>
    <w:rsid w:val="002E28AD"/>
    <w:rsid w:val="002E3554"/>
    <w:rsid w:val="002E383B"/>
    <w:rsid w:val="002E3846"/>
    <w:rsid w:val="002E3F78"/>
    <w:rsid w:val="002F0273"/>
    <w:rsid w:val="002F400C"/>
    <w:rsid w:val="002F4D76"/>
    <w:rsid w:val="002F628D"/>
    <w:rsid w:val="002F6D26"/>
    <w:rsid w:val="002F75BE"/>
    <w:rsid w:val="0030231E"/>
    <w:rsid w:val="003042C4"/>
    <w:rsid w:val="00304CB4"/>
    <w:rsid w:val="00306B28"/>
    <w:rsid w:val="00312264"/>
    <w:rsid w:val="00312C52"/>
    <w:rsid w:val="00313F37"/>
    <w:rsid w:val="003141D0"/>
    <w:rsid w:val="003168C1"/>
    <w:rsid w:val="003202B5"/>
    <w:rsid w:val="00322FBE"/>
    <w:rsid w:val="00325280"/>
    <w:rsid w:val="00325570"/>
    <w:rsid w:val="00325632"/>
    <w:rsid w:val="003263AF"/>
    <w:rsid w:val="00326D09"/>
    <w:rsid w:val="00327549"/>
    <w:rsid w:val="003305E8"/>
    <w:rsid w:val="00330D91"/>
    <w:rsid w:val="003341A3"/>
    <w:rsid w:val="003342A5"/>
    <w:rsid w:val="00334616"/>
    <w:rsid w:val="0033516D"/>
    <w:rsid w:val="00336C36"/>
    <w:rsid w:val="00337486"/>
    <w:rsid w:val="003403B5"/>
    <w:rsid w:val="00343278"/>
    <w:rsid w:val="00343702"/>
    <w:rsid w:val="00343815"/>
    <w:rsid w:val="003443FD"/>
    <w:rsid w:val="0035178C"/>
    <w:rsid w:val="003522BB"/>
    <w:rsid w:val="00352F6C"/>
    <w:rsid w:val="00354298"/>
    <w:rsid w:val="003556EA"/>
    <w:rsid w:val="003640B7"/>
    <w:rsid w:val="00377170"/>
    <w:rsid w:val="00380751"/>
    <w:rsid w:val="0038153A"/>
    <w:rsid w:val="00383AC7"/>
    <w:rsid w:val="003862C3"/>
    <w:rsid w:val="00386FC7"/>
    <w:rsid w:val="00390A32"/>
    <w:rsid w:val="00393F2D"/>
    <w:rsid w:val="00396276"/>
    <w:rsid w:val="00397055"/>
    <w:rsid w:val="00397B6E"/>
    <w:rsid w:val="003A0859"/>
    <w:rsid w:val="003A1142"/>
    <w:rsid w:val="003A1E91"/>
    <w:rsid w:val="003A241F"/>
    <w:rsid w:val="003A2990"/>
    <w:rsid w:val="003A335F"/>
    <w:rsid w:val="003A40F2"/>
    <w:rsid w:val="003A43E9"/>
    <w:rsid w:val="003A50D1"/>
    <w:rsid w:val="003A667A"/>
    <w:rsid w:val="003B0DC2"/>
    <w:rsid w:val="003B0EF6"/>
    <w:rsid w:val="003B13F7"/>
    <w:rsid w:val="003B17BB"/>
    <w:rsid w:val="003B196D"/>
    <w:rsid w:val="003B2710"/>
    <w:rsid w:val="003B4608"/>
    <w:rsid w:val="003B5DC6"/>
    <w:rsid w:val="003B60F5"/>
    <w:rsid w:val="003B706F"/>
    <w:rsid w:val="003C2392"/>
    <w:rsid w:val="003C4AD2"/>
    <w:rsid w:val="003C5174"/>
    <w:rsid w:val="003C5240"/>
    <w:rsid w:val="003C76E6"/>
    <w:rsid w:val="003D14E0"/>
    <w:rsid w:val="003D1EA5"/>
    <w:rsid w:val="003D3348"/>
    <w:rsid w:val="003D3471"/>
    <w:rsid w:val="003D646B"/>
    <w:rsid w:val="003D6822"/>
    <w:rsid w:val="003D724C"/>
    <w:rsid w:val="003E0504"/>
    <w:rsid w:val="003E0CE2"/>
    <w:rsid w:val="003E2627"/>
    <w:rsid w:val="003E3E46"/>
    <w:rsid w:val="003E41A9"/>
    <w:rsid w:val="003E5AD1"/>
    <w:rsid w:val="003E6FF5"/>
    <w:rsid w:val="003F118C"/>
    <w:rsid w:val="003F1C6D"/>
    <w:rsid w:val="003F2CBC"/>
    <w:rsid w:val="003F45FC"/>
    <w:rsid w:val="003F49E4"/>
    <w:rsid w:val="003F4D2F"/>
    <w:rsid w:val="003F5E32"/>
    <w:rsid w:val="003F69B6"/>
    <w:rsid w:val="003F75F6"/>
    <w:rsid w:val="003F7F2C"/>
    <w:rsid w:val="004037A2"/>
    <w:rsid w:val="00403BB9"/>
    <w:rsid w:val="00404670"/>
    <w:rsid w:val="00404939"/>
    <w:rsid w:val="00405879"/>
    <w:rsid w:val="0040784F"/>
    <w:rsid w:val="00414B61"/>
    <w:rsid w:val="00414CA0"/>
    <w:rsid w:val="004217D5"/>
    <w:rsid w:val="00422F54"/>
    <w:rsid w:val="00425B2C"/>
    <w:rsid w:val="00431516"/>
    <w:rsid w:val="0043577B"/>
    <w:rsid w:val="004361B3"/>
    <w:rsid w:val="00436DD3"/>
    <w:rsid w:val="00440401"/>
    <w:rsid w:val="00440B9F"/>
    <w:rsid w:val="004423CD"/>
    <w:rsid w:val="0044249D"/>
    <w:rsid w:val="0044379F"/>
    <w:rsid w:val="004438DB"/>
    <w:rsid w:val="0044405C"/>
    <w:rsid w:val="00444FCC"/>
    <w:rsid w:val="00446FB1"/>
    <w:rsid w:val="0045145A"/>
    <w:rsid w:val="00452753"/>
    <w:rsid w:val="0045603D"/>
    <w:rsid w:val="0046078F"/>
    <w:rsid w:val="004608B8"/>
    <w:rsid w:val="004614E5"/>
    <w:rsid w:val="00463214"/>
    <w:rsid w:val="0046434D"/>
    <w:rsid w:val="00464F69"/>
    <w:rsid w:val="00464FEB"/>
    <w:rsid w:val="004656FA"/>
    <w:rsid w:val="004714A7"/>
    <w:rsid w:val="004714DD"/>
    <w:rsid w:val="00471C9C"/>
    <w:rsid w:val="00471D77"/>
    <w:rsid w:val="00475566"/>
    <w:rsid w:val="00475587"/>
    <w:rsid w:val="00476572"/>
    <w:rsid w:val="00480BC2"/>
    <w:rsid w:val="0049261A"/>
    <w:rsid w:val="004929C2"/>
    <w:rsid w:val="00493FDD"/>
    <w:rsid w:val="004950F4"/>
    <w:rsid w:val="00495727"/>
    <w:rsid w:val="0049586B"/>
    <w:rsid w:val="00495D7C"/>
    <w:rsid w:val="00497B3F"/>
    <w:rsid w:val="004A2A58"/>
    <w:rsid w:val="004A3E44"/>
    <w:rsid w:val="004B1F39"/>
    <w:rsid w:val="004B2018"/>
    <w:rsid w:val="004B20DE"/>
    <w:rsid w:val="004B2896"/>
    <w:rsid w:val="004B31D7"/>
    <w:rsid w:val="004B378C"/>
    <w:rsid w:val="004B38E9"/>
    <w:rsid w:val="004B3FBA"/>
    <w:rsid w:val="004B5B14"/>
    <w:rsid w:val="004B6408"/>
    <w:rsid w:val="004B6599"/>
    <w:rsid w:val="004B7F49"/>
    <w:rsid w:val="004C0966"/>
    <w:rsid w:val="004C2A4B"/>
    <w:rsid w:val="004C390D"/>
    <w:rsid w:val="004C394D"/>
    <w:rsid w:val="004C6340"/>
    <w:rsid w:val="004C6CA7"/>
    <w:rsid w:val="004D071F"/>
    <w:rsid w:val="004D2721"/>
    <w:rsid w:val="004D4357"/>
    <w:rsid w:val="004D4950"/>
    <w:rsid w:val="004D6896"/>
    <w:rsid w:val="004E2393"/>
    <w:rsid w:val="004E25AC"/>
    <w:rsid w:val="004E2605"/>
    <w:rsid w:val="004E288E"/>
    <w:rsid w:val="004E3745"/>
    <w:rsid w:val="004E42BE"/>
    <w:rsid w:val="004E4F42"/>
    <w:rsid w:val="004E5CEE"/>
    <w:rsid w:val="004E63D5"/>
    <w:rsid w:val="004E65F9"/>
    <w:rsid w:val="004E7EC8"/>
    <w:rsid w:val="004F03FD"/>
    <w:rsid w:val="004F25BE"/>
    <w:rsid w:val="004F2C9D"/>
    <w:rsid w:val="004F2DB2"/>
    <w:rsid w:val="004F46C5"/>
    <w:rsid w:val="004F52F0"/>
    <w:rsid w:val="004F6250"/>
    <w:rsid w:val="004F6542"/>
    <w:rsid w:val="004F677C"/>
    <w:rsid w:val="004F6D8F"/>
    <w:rsid w:val="00505503"/>
    <w:rsid w:val="005064E5"/>
    <w:rsid w:val="00507F2E"/>
    <w:rsid w:val="00510C81"/>
    <w:rsid w:val="0051107B"/>
    <w:rsid w:val="00512CE8"/>
    <w:rsid w:val="00512F9C"/>
    <w:rsid w:val="005132ED"/>
    <w:rsid w:val="005145E4"/>
    <w:rsid w:val="00514E41"/>
    <w:rsid w:val="00521DFE"/>
    <w:rsid w:val="00523C5A"/>
    <w:rsid w:val="00527CDB"/>
    <w:rsid w:val="00531E88"/>
    <w:rsid w:val="005335B9"/>
    <w:rsid w:val="005341C9"/>
    <w:rsid w:val="005354D2"/>
    <w:rsid w:val="005369CA"/>
    <w:rsid w:val="00536D0B"/>
    <w:rsid w:val="00536DE9"/>
    <w:rsid w:val="00536F27"/>
    <w:rsid w:val="00540703"/>
    <w:rsid w:val="00541E08"/>
    <w:rsid w:val="00542B81"/>
    <w:rsid w:val="00545330"/>
    <w:rsid w:val="0054539D"/>
    <w:rsid w:val="00545F21"/>
    <w:rsid w:val="00554FE0"/>
    <w:rsid w:val="00555107"/>
    <w:rsid w:val="00556AAC"/>
    <w:rsid w:val="005576DF"/>
    <w:rsid w:val="0055789A"/>
    <w:rsid w:val="00560952"/>
    <w:rsid w:val="005652D1"/>
    <w:rsid w:val="00565C31"/>
    <w:rsid w:val="005660A0"/>
    <w:rsid w:val="00566A4F"/>
    <w:rsid w:val="00567D64"/>
    <w:rsid w:val="00576024"/>
    <w:rsid w:val="005765CB"/>
    <w:rsid w:val="00583042"/>
    <w:rsid w:val="00591B64"/>
    <w:rsid w:val="005921AD"/>
    <w:rsid w:val="005978D4"/>
    <w:rsid w:val="00597A21"/>
    <w:rsid w:val="005A0D3D"/>
    <w:rsid w:val="005A1338"/>
    <w:rsid w:val="005A19B8"/>
    <w:rsid w:val="005A23FA"/>
    <w:rsid w:val="005A508C"/>
    <w:rsid w:val="005A61B3"/>
    <w:rsid w:val="005B0557"/>
    <w:rsid w:val="005B2A67"/>
    <w:rsid w:val="005B2F45"/>
    <w:rsid w:val="005B3DCD"/>
    <w:rsid w:val="005B4AD4"/>
    <w:rsid w:val="005B5473"/>
    <w:rsid w:val="005B5602"/>
    <w:rsid w:val="005B61F8"/>
    <w:rsid w:val="005B7655"/>
    <w:rsid w:val="005B790A"/>
    <w:rsid w:val="005C1FC3"/>
    <w:rsid w:val="005C2798"/>
    <w:rsid w:val="005C2BD5"/>
    <w:rsid w:val="005C36C3"/>
    <w:rsid w:val="005C520C"/>
    <w:rsid w:val="005C56DD"/>
    <w:rsid w:val="005C56EE"/>
    <w:rsid w:val="005D1714"/>
    <w:rsid w:val="005D2AED"/>
    <w:rsid w:val="005D6116"/>
    <w:rsid w:val="005D6F47"/>
    <w:rsid w:val="005D760E"/>
    <w:rsid w:val="005D7638"/>
    <w:rsid w:val="005E0CB5"/>
    <w:rsid w:val="005E10DD"/>
    <w:rsid w:val="005E5534"/>
    <w:rsid w:val="005E66E0"/>
    <w:rsid w:val="005E6A43"/>
    <w:rsid w:val="005F12F5"/>
    <w:rsid w:val="005F1EAE"/>
    <w:rsid w:val="005F483D"/>
    <w:rsid w:val="005F538F"/>
    <w:rsid w:val="005F5586"/>
    <w:rsid w:val="005F5696"/>
    <w:rsid w:val="005F7C7D"/>
    <w:rsid w:val="006007C7"/>
    <w:rsid w:val="0060290F"/>
    <w:rsid w:val="006044B7"/>
    <w:rsid w:val="006052E8"/>
    <w:rsid w:val="00605A10"/>
    <w:rsid w:val="006071CE"/>
    <w:rsid w:val="006075B5"/>
    <w:rsid w:val="0061018C"/>
    <w:rsid w:val="0061094E"/>
    <w:rsid w:val="00613440"/>
    <w:rsid w:val="00613BE3"/>
    <w:rsid w:val="00613D45"/>
    <w:rsid w:val="00613F84"/>
    <w:rsid w:val="00615E04"/>
    <w:rsid w:val="0062327B"/>
    <w:rsid w:val="00624B50"/>
    <w:rsid w:val="0062718D"/>
    <w:rsid w:val="00627ACA"/>
    <w:rsid w:val="00632777"/>
    <w:rsid w:val="00633750"/>
    <w:rsid w:val="00633A66"/>
    <w:rsid w:val="00634491"/>
    <w:rsid w:val="00634F6C"/>
    <w:rsid w:val="00635F6C"/>
    <w:rsid w:val="0063679C"/>
    <w:rsid w:val="00636CBA"/>
    <w:rsid w:val="00637055"/>
    <w:rsid w:val="006374B0"/>
    <w:rsid w:val="006413E2"/>
    <w:rsid w:val="00641826"/>
    <w:rsid w:val="00641D59"/>
    <w:rsid w:val="00642BD8"/>
    <w:rsid w:val="00643161"/>
    <w:rsid w:val="00644507"/>
    <w:rsid w:val="00646880"/>
    <w:rsid w:val="00647D2A"/>
    <w:rsid w:val="00650B46"/>
    <w:rsid w:val="00651C4C"/>
    <w:rsid w:val="006537BB"/>
    <w:rsid w:val="00653A57"/>
    <w:rsid w:val="00655DC1"/>
    <w:rsid w:val="0065643E"/>
    <w:rsid w:val="00660C23"/>
    <w:rsid w:val="0066405A"/>
    <w:rsid w:val="0066453F"/>
    <w:rsid w:val="00665974"/>
    <w:rsid w:val="006675FB"/>
    <w:rsid w:val="00667E07"/>
    <w:rsid w:val="00670DB4"/>
    <w:rsid w:val="00671785"/>
    <w:rsid w:val="00672BA9"/>
    <w:rsid w:val="00673005"/>
    <w:rsid w:val="00676AA8"/>
    <w:rsid w:val="006804BE"/>
    <w:rsid w:val="00682706"/>
    <w:rsid w:val="00682728"/>
    <w:rsid w:val="0068434A"/>
    <w:rsid w:val="006847CE"/>
    <w:rsid w:val="00685018"/>
    <w:rsid w:val="00687772"/>
    <w:rsid w:val="0069008E"/>
    <w:rsid w:val="0069087E"/>
    <w:rsid w:val="006925C4"/>
    <w:rsid w:val="00696D73"/>
    <w:rsid w:val="00696EE7"/>
    <w:rsid w:val="006A02B7"/>
    <w:rsid w:val="006A481C"/>
    <w:rsid w:val="006A6AD8"/>
    <w:rsid w:val="006A7019"/>
    <w:rsid w:val="006B46D5"/>
    <w:rsid w:val="006B46F4"/>
    <w:rsid w:val="006B4ABA"/>
    <w:rsid w:val="006B59F1"/>
    <w:rsid w:val="006C06F3"/>
    <w:rsid w:val="006C39BB"/>
    <w:rsid w:val="006C7AF3"/>
    <w:rsid w:val="006D0B9D"/>
    <w:rsid w:val="006D58AE"/>
    <w:rsid w:val="006D602A"/>
    <w:rsid w:val="006D6548"/>
    <w:rsid w:val="006E0E20"/>
    <w:rsid w:val="006E19F0"/>
    <w:rsid w:val="006E2689"/>
    <w:rsid w:val="006E30CA"/>
    <w:rsid w:val="006E4256"/>
    <w:rsid w:val="006E4BBA"/>
    <w:rsid w:val="006E5F43"/>
    <w:rsid w:val="006E60A6"/>
    <w:rsid w:val="006E79AC"/>
    <w:rsid w:val="006F0F69"/>
    <w:rsid w:val="006F116B"/>
    <w:rsid w:val="006F117F"/>
    <w:rsid w:val="006F13DF"/>
    <w:rsid w:val="006F2780"/>
    <w:rsid w:val="006F3809"/>
    <w:rsid w:val="006F4214"/>
    <w:rsid w:val="006F69FB"/>
    <w:rsid w:val="006F7283"/>
    <w:rsid w:val="00702F26"/>
    <w:rsid w:val="0070313E"/>
    <w:rsid w:val="00703799"/>
    <w:rsid w:val="00704D1D"/>
    <w:rsid w:val="00704DE1"/>
    <w:rsid w:val="00705C5C"/>
    <w:rsid w:val="00710C61"/>
    <w:rsid w:val="00711475"/>
    <w:rsid w:val="007116CE"/>
    <w:rsid w:val="00712158"/>
    <w:rsid w:val="00714893"/>
    <w:rsid w:val="00716401"/>
    <w:rsid w:val="00720A6A"/>
    <w:rsid w:val="00721BD0"/>
    <w:rsid w:val="007223BC"/>
    <w:rsid w:val="00723BF8"/>
    <w:rsid w:val="0072548A"/>
    <w:rsid w:val="007277A6"/>
    <w:rsid w:val="00731332"/>
    <w:rsid w:val="00731E89"/>
    <w:rsid w:val="00733A8C"/>
    <w:rsid w:val="0074028F"/>
    <w:rsid w:val="007437AB"/>
    <w:rsid w:val="00745425"/>
    <w:rsid w:val="007457DC"/>
    <w:rsid w:val="00747B6B"/>
    <w:rsid w:val="00747D04"/>
    <w:rsid w:val="007534F8"/>
    <w:rsid w:val="0075413E"/>
    <w:rsid w:val="007545AD"/>
    <w:rsid w:val="00757ADE"/>
    <w:rsid w:val="007605FE"/>
    <w:rsid w:val="00763722"/>
    <w:rsid w:val="00764081"/>
    <w:rsid w:val="00764BC1"/>
    <w:rsid w:val="0076604A"/>
    <w:rsid w:val="00770869"/>
    <w:rsid w:val="00770C2E"/>
    <w:rsid w:val="00772FE4"/>
    <w:rsid w:val="007738AA"/>
    <w:rsid w:val="0078022C"/>
    <w:rsid w:val="00780A62"/>
    <w:rsid w:val="00780D30"/>
    <w:rsid w:val="00783241"/>
    <w:rsid w:val="00784BDC"/>
    <w:rsid w:val="00785684"/>
    <w:rsid w:val="00786CF4"/>
    <w:rsid w:val="00787BEC"/>
    <w:rsid w:val="00790D18"/>
    <w:rsid w:val="007924A2"/>
    <w:rsid w:val="00792F28"/>
    <w:rsid w:val="007946A6"/>
    <w:rsid w:val="0079543F"/>
    <w:rsid w:val="00795880"/>
    <w:rsid w:val="007A1268"/>
    <w:rsid w:val="007A15D5"/>
    <w:rsid w:val="007A270B"/>
    <w:rsid w:val="007A4099"/>
    <w:rsid w:val="007A4367"/>
    <w:rsid w:val="007B0867"/>
    <w:rsid w:val="007B15EA"/>
    <w:rsid w:val="007B1AC1"/>
    <w:rsid w:val="007B4B39"/>
    <w:rsid w:val="007B4BFD"/>
    <w:rsid w:val="007B5A08"/>
    <w:rsid w:val="007B67BC"/>
    <w:rsid w:val="007B693D"/>
    <w:rsid w:val="007C1738"/>
    <w:rsid w:val="007C1EA2"/>
    <w:rsid w:val="007C4CDC"/>
    <w:rsid w:val="007C597A"/>
    <w:rsid w:val="007C6102"/>
    <w:rsid w:val="007C64E6"/>
    <w:rsid w:val="007D0380"/>
    <w:rsid w:val="007D0E8E"/>
    <w:rsid w:val="007D3269"/>
    <w:rsid w:val="007D602E"/>
    <w:rsid w:val="007E041B"/>
    <w:rsid w:val="007E0F3B"/>
    <w:rsid w:val="007E199A"/>
    <w:rsid w:val="007E20FC"/>
    <w:rsid w:val="007E2415"/>
    <w:rsid w:val="007E39F3"/>
    <w:rsid w:val="007E405E"/>
    <w:rsid w:val="007E58F3"/>
    <w:rsid w:val="007E68F4"/>
    <w:rsid w:val="007E6DE2"/>
    <w:rsid w:val="007F2A89"/>
    <w:rsid w:val="007F31BA"/>
    <w:rsid w:val="007F4078"/>
    <w:rsid w:val="007F43EF"/>
    <w:rsid w:val="007F7ED0"/>
    <w:rsid w:val="0080014B"/>
    <w:rsid w:val="008012F8"/>
    <w:rsid w:val="00801793"/>
    <w:rsid w:val="00801B82"/>
    <w:rsid w:val="00803642"/>
    <w:rsid w:val="00805A26"/>
    <w:rsid w:val="00805BA7"/>
    <w:rsid w:val="00806EA2"/>
    <w:rsid w:val="00810140"/>
    <w:rsid w:val="00810924"/>
    <w:rsid w:val="00812A2B"/>
    <w:rsid w:val="008143CC"/>
    <w:rsid w:val="00814A4C"/>
    <w:rsid w:val="00814BDA"/>
    <w:rsid w:val="00814E52"/>
    <w:rsid w:val="00815236"/>
    <w:rsid w:val="00815E51"/>
    <w:rsid w:val="00816BF0"/>
    <w:rsid w:val="0082356C"/>
    <w:rsid w:val="00825A92"/>
    <w:rsid w:val="008303F4"/>
    <w:rsid w:val="00831AAB"/>
    <w:rsid w:val="00832B22"/>
    <w:rsid w:val="00833BCD"/>
    <w:rsid w:val="00834287"/>
    <w:rsid w:val="00834B82"/>
    <w:rsid w:val="00834E38"/>
    <w:rsid w:val="0083574E"/>
    <w:rsid w:val="0083640C"/>
    <w:rsid w:val="008374E3"/>
    <w:rsid w:val="00837953"/>
    <w:rsid w:val="0084157B"/>
    <w:rsid w:val="00842BFB"/>
    <w:rsid w:val="00846B85"/>
    <w:rsid w:val="00847DC3"/>
    <w:rsid w:val="00847F49"/>
    <w:rsid w:val="00850A90"/>
    <w:rsid w:val="00850E1B"/>
    <w:rsid w:val="00850F10"/>
    <w:rsid w:val="00851807"/>
    <w:rsid w:val="00852630"/>
    <w:rsid w:val="008528B3"/>
    <w:rsid w:val="008535C5"/>
    <w:rsid w:val="00853765"/>
    <w:rsid w:val="00854660"/>
    <w:rsid w:val="0085516F"/>
    <w:rsid w:val="00856783"/>
    <w:rsid w:val="00856A94"/>
    <w:rsid w:val="0085757E"/>
    <w:rsid w:val="00860C57"/>
    <w:rsid w:val="00861DC0"/>
    <w:rsid w:val="00863FFB"/>
    <w:rsid w:val="00866CA5"/>
    <w:rsid w:val="00867186"/>
    <w:rsid w:val="008676FA"/>
    <w:rsid w:val="00867CBF"/>
    <w:rsid w:val="0087055B"/>
    <w:rsid w:val="00870AF6"/>
    <w:rsid w:val="00870CB3"/>
    <w:rsid w:val="00877452"/>
    <w:rsid w:val="00877BB5"/>
    <w:rsid w:val="00881268"/>
    <w:rsid w:val="00881D94"/>
    <w:rsid w:val="0088394A"/>
    <w:rsid w:val="00885D43"/>
    <w:rsid w:val="008860BD"/>
    <w:rsid w:val="00887399"/>
    <w:rsid w:val="0088779E"/>
    <w:rsid w:val="008912AF"/>
    <w:rsid w:val="00892114"/>
    <w:rsid w:val="00892CB9"/>
    <w:rsid w:val="008935CB"/>
    <w:rsid w:val="00894FE2"/>
    <w:rsid w:val="0089556E"/>
    <w:rsid w:val="00897F25"/>
    <w:rsid w:val="008A06DF"/>
    <w:rsid w:val="008A126B"/>
    <w:rsid w:val="008A2744"/>
    <w:rsid w:val="008A5918"/>
    <w:rsid w:val="008B0057"/>
    <w:rsid w:val="008B0E7E"/>
    <w:rsid w:val="008B1A54"/>
    <w:rsid w:val="008B29F0"/>
    <w:rsid w:val="008B3C0A"/>
    <w:rsid w:val="008B5D66"/>
    <w:rsid w:val="008B65BD"/>
    <w:rsid w:val="008B7900"/>
    <w:rsid w:val="008C2809"/>
    <w:rsid w:val="008C3CE6"/>
    <w:rsid w:val="008C71BF"/>
    <w:rsid w:val="008C7FE0"/>
    <w:rsid w:val="008D0A7A"/>
    <w:rsid w:val="008D4AC9"/>
    <w:rsid w:val="008D5717"/>
    <w:rsid w:val="008E018D"/>
    <w:rsid w:val="008E1922"/>
    <w:rsid w:val="008E3A27"/>
    <w:rsid w:val="008E415F"/>
    <w:rsid w:val="008E44A9"/>
    <w:rsid w:val="008E44F1"/>
    <w:rsid w:val="008E6362"/>
    <w:rsid w:val="008E66FB"/>
    <w:rsid w:val="008E6715"/>
    <w:rsid w:val="008E6B4D"/>
    <w:rsid w:val="008E6BFF"/>
    <w:rsid w:val="008E73B2"/>
    <w:rsid w:val="008F151B"/>
    <w:rsid w:val="008F21AF"/>
    <w:rsid w:val="008F2400"/>
    <w:rsid w:val="008F61BA"/>
    <w:rsid w:val="008F6E3C"/>
    <w:rsid w:val="008F7871"/>
    <w:rsid w:val="008F7C55"/>
    <w:rsid w:val="009018FC"/>
    <w:rsid w:val="009123FC"/>
    <w:rsid w:val="00913967"/>
    <w:rsid w:val="00914A23"/>
    <w:rsid w:val="00915D53"/>
    <w:rsid w:val="009215C0"/>
    <w:rsid w:val="00924E72"/>
    <w:rsid w:val="009265EC"/>
    <w:rsid w:val="00930754"/>
    <w:rsid w:val="00934F68"/>
    <w:rsid w:val="009355AC"/>
    <w:rsid w:val="00935F38"/>
    <w:rsid w:val="00936E21"/>
    <w:rsid w:val="00937586"/>
    <w:rsid w:val="00937A69"/>
    <w:rsid w:val="009405B0"/>
    <w:rsid w:val="00942294"/>
    <w:rsid w:val="00942750"/>
    <w:rsid w:val="00942B90"/>
    <w:rsid w:val="00946676"/>
    <w:rsid w:val="00947889"/>
    <w:rsid w:val="009478BD"/>
    <w:rsid w:val="0095600D"/>
    <w:rsid w:val="00960E98"/>
    <w:rsid w:val="009633B3"/>
    <w:rsid w:val="00963A82"/>
    <w:rsid w:val="00966366"/>
    <w:rsid w:val="00966A75"/>
    <w:rsid w:val="00972147"/>
    <w:rsid w:val="00972912"/>
    <w:rsid w:val="00973C6C"/>
    <w:rsid w:val="00976D1F"/>
    <w:rsid w:val="00980523"/>
    <w:rsid w:val="00981C81"/>
    <w:rsid w:val="00981FAD"/>
    <w:rsid w:val="0098234F"/>
    <w:rsid w:val="00982D65"/>
    <w:rsid w:val="00982F81"/>
    <w:rsid w:val="009869F2"/>
    <w:rsid w:val="00986A30"/>
    <w:rsid w:val="0098789B"/>
    <w:rsid w:val="009923AF"/>
    <w:rsid w:val="00992FB4"/>
    <w:rsid w:val="009963EE"/>
    <w:rsid w:val="009A09EF"/>
    <w:rsid w:val="009A2D24"/>
    <w:rsid w:val="009A456C"/>
    <w:rsid w:val="009A4A56"/>
    <w:rsid w:val="009A5E30"/>
    <w:rsid w:val="009A7B4F"/>
    <w:rsid w:val="009B00E0"/>
    <w:rsid w:val="009B292A"/>
    <w:rsid w:val="009B6A5F"/>
    <w:rsid w:val="009B6F56"/>
    <w:rsid w:val="009B76D5"/>
    <w:rsid w:val="009C0C96"/>
    <w:rsid w:val="009C0E86"/>
    <w:rsid w:val="009C165D"/>
    <w:rsid w:val="009C3C07"/>
    <w:rsid w:val="009C3CEA"/>
    <w:rsid w:val="009C583D"/>
    <w:rsid w:val="009C5962"/>
    <w:rsid w:val="009D2611"/>
    <w:rsid w:val="009D440E"/>
    <w:rsid w:val="009D77BF"/>
    <w:rsid w:val="009D79D2"/>
    <w:rsid w:val="009E02CA"/>
    <w:rsid w:val="009E19E1"/>
    <w:rsid w:val="009E247C"/>
    <w:rsid w:val="009E31BA"/>
    <w:rsid w:val="009F028E"/>
    <w:rsid w:val="009F0528"/>
    <w:rsid w:val="009F0806"/>
    <w:rsid w:val="009F233B"/>
    <w:rsid w:val="009F6337"/>
    <w:rsid w:val="00A004A0"/>
    <w:rsid w:val="00A01D5D"/>
    <w:rsid w:val="00A0297C"/>
    <w:rsid w:val="00A05D16"/>
    <w:rsid w:val="00A0644E"/>
    <w:rsid w:val="00A0659F"/>
    <w:rsid w:val="00A073F9"/>
    <w:rsid w:val="00A079BA"/>
    <w:rsid w:val="00A12CAA"/>
    <w:rsid w:val="00A12E81"/>
    <w:rsid w:val="00A14E8C"/>
    <w:rsid w:val="00A15BA2"/>
    <w:rsid w:val="00A1625B"/>
    <w:rsid w:val="00A162D6"/>
    <w:rsid w:val="00A20C70"/>
    <w:rsid w:val="00A2549E"/>
    <w:rsid w:val="00A25594"/>
    <w:rsid w:val="00A25711"/>
    <w:rsid w:val="00A268DD"/>
    <w:rsid w:val="00A27EB3"/>
    <w:rsid w:val="00A30AAF"/>
    <w:rsid w:val="00A31A49"/>
    <w:rsid w:val="00A33875"/>
    <w:rsid w:val="00A356E0"/>
    <w:rsid w:val="00A357D8"/>
    <w:rsid w:val="00A360A1"/>
    <w:rsid w:val="00A368E0"/>
    <w:rsid w:val="00A402B3"/>
    <w:rsid w:val="00A43CFB"/>
    <w:rsid w:val="00A44ED7"/>
    <w:rsid w:val="00A47C39"/>
    <w:rsid w:val="00A512B3"/>
    <w:rsid w:val="00A536E9"/>
    <w:rsid w:val="00A53C29"/>
    <w:rsid w:val="00A53E3F"/>
    <w:rsid w:val="00A544B7"/>
    <w:rsid w:val="00A55EF2"/>
    <w:rsid w:val="00A57FBF"/>
    <w:rsid w:val="00A60151"/>
    <w:rsid w:val="00A618CF"/>
    <w:rsid w:val="00A62770"/>
    <w:rsid w:val="00A62E6F"/>
    <w:rsid w:val="00A62EEB"/>
    <w:rsid w:val="00A63B52"/>
    <w:rsid w:val="00A660FF"/>
    <w:rsid w:val="00A718DF"/>
    <w:rsid w:val="00A73395"/>
    <w:rsid w:val="00A73CEE"/>
    <w:rsid w:val="00A76A05"/>
    <w:rsid w:val="00A76A8E"/>
    <w:rsid w:val="00A771E3"/>
    <w:rsid w:val="00A81E0F"/>
    <w:rsid w:val="00A8203D"/>
    <w:rsid w:val="00A82B4C"/>
    <w:rsid w:val="00A8539F"/>
    <w:rsid w:val="00A862DF"/>
    <w:rsid w:val="00A90238"/>
    <w:rsid w:val="00A91158"/>
    <w:rsid w:val="00A919AF"/>
    <w:rsid w:val="00A93A4C"/>
    <w:rsid w:val="00A94D5D"/>
    <w:rsid w:val="00A95C13"/>
    <w:rsid w:val="00A96C95"/>
    <w:rsid w:val="00AA1D9B"/>
    <w:rsid w:val="00AA2543"/>
    <w:rsid w:val="00AA2F69"/>
    <w:rsid w:val="00AA2FC2"/>
    <w:rsid w:val="00AA3804"/>
    <w:rsid w:val="00AA5464"/>
    <w:rsid w:val="00AA55C2"/>
    <w:rsid w:val="00AB0ACA"/>
    <w:rsid w:val="00AB0B31"/>
    <w:rsid w:val="00AB1D41"/>
    <w:rsid w:val="00AB2915"/>
    <w:rsid w:val="00AB2D2D"/>
    <w:rsid w:val="00AB4C5E"/>
    <w:rsid w:val="00AB6188"/>
    <w:rsid w:val="00AB714D"/>
    <w:rsid w:val="00AB7EFF"/>
    <w:rsid w:val="00AC1573"/>
    <w:rsid w:val="00AC1A3E"/>
    <w:rsid w:val="00AC1C80"/>
    <w:rsid w:val="00AC5706"/>
    <w:rsid w:val="00AC5E9A"/>
    <w:rsid w:val="00AC68E0"/>
    <w:rsid w:val="00AC704B"/>
    <w:rsid w:val="00AD04A1"/>
    <w:rsid w:val="00AD1654"/>
    <w:rsid w:val="00AD553E"/>
    <w:rsid w:val="00AD5848"/>
    <w:rsid w:val="00AD58B7"/>
    <w:rsid w:val="00AD61E7"/>
    <w:rsid w:val="00AD7F0A"/>
    <w:rsid w:val="00AE2EE0"/>
    <w:rsid w:val="00AE5ADA"/>
    <w:rsid w:val="00AF16D6"/>
    <w:rsid w:val="00AF2179"/>
    <w:rsid w:val="00AF246E"/>
    <w:rsid w:val="00AF6145"/>
    <w:rsid w:val="00B00BA4"/>
    <w:rsid w:val="00B01386"/>
    <w:rsid w:val="00B01BB5"/>
    <w:rsid w:val="00B026CC"/>
    <w:rsid w:val="00B03E3B"/>
    <w:rsid w:val="00B04256"/>
    <w:rsid w:val="00B04AF4"/>
    <w:rsid w:val="00B04F1E"/>
    <w:rsid w:val="00B05214"/>
    <w:rsid w:val="00B065C7"/>
    <w:rsid w:val="00B1003C"/>
    <w:rsid w:val="00B14D5D"/>
    <w:rsid w:val="00B16A87"/>
    <w:rsid w:val="00B20373"/>
    <w:rsid w:val="00B22CF2"/>
    <w:rsid w:val="00B23211"/>
    <w:rsid w:val="00B235E5"/>
    <w:rsid w:val="00B23ED0"/>
    <w:rsid w:val="00B26445"/>
    <w:rsid w:val="00B2730E"/>
    <w:rsid w:val="00B30D97"/>
    <w:rsid w:val="00B31074"/>
    <w:rsid w:val="00B3181A"/>
    <w:rsid w:val="00B35A7C"/>
    <w:rsid w:val="00B35F8B"/>
    <w:rsid w:val="00B417A9"/>
    <w:rsid w:val="00B43EB1"/>
    <w:rsid w:val="00B44A6C"/>
    <w:rsid w:val="00B44ECD"/>
    <w:rsid w:val="00B450D1"/>
    <w:rsid w:val="00B46C87"/>
    <w:rsid w:val="00B52E01"/>
    <w:rsid w:val="00B52FCA"/>
    <w:rsid w:val="00B53636"/>
    <w:rsid w:val="00B53D47"/>
    <w:rsid w:val="00B54A25"/>
    <w:rsid w:val="00B616AA"/>
    <w:rsid w:val="00B618C3"/>
    <w:rsid w:val="00B62A1A"/>
    <w:rsid w:val="00B62A89"/>
    <w:rsid w:val="00B63652"/>
    <w:rsid w:val="00B64667"/>
    <w:rsid w:val="00B668B0"/>
    <w:rsid w:val="00B66C47"/>
    <w:rsid w:val="00B67200"/>
    <w:rsid w:val="00B70F5C"/>
    <w:rsid w:val="00B7141D"/>
    <w:rsid w:val="00B71873"/>
    <w:rsid w:val="00B72B69"/>
    <w:rsid w:val="00B73980"/>
    <w:rsid w:val="00B73CD4"/>
    <w:rsid w:val="00B75AE5"/>
    <w:rsid w:val="00B760F0"/>
    <w:rsid w:val="00B778EF"/>
    <w:rsid w:val="00B800C0"/>
    <w:rsid w:val="00B8132B"/>
    <w:rsid w:val="00B816C5"/>
    <w:rsid w:val="00B8213A"/>
    <w:rsid w:val="00B82264"/>
    <w:rsid w:val="00B83B6D"/>
    <w:rsid w:val="00B84C5A"/>
    <w:rsid w:val="00B84E52"/>
    <w:rsid w:val="00B85379"/>
    <w:rsid w:val="00B85558"/>
    <w:rsid w:val="00B858F5"/>
    <w:rsid w:val="00B93668"/>
    <w:rsid w:val="00B93D3D"/>
    <w:rsid w:val="00B955CB"/>
    <w:rsid w:val="00B9718A"/>
    <w:rsid w:val="00BA151C"/>
    <w:rsid w:val="00BA2CC5"/>
    <w:rsid w:val="00BA34A0"/>
    <w:rsid w:val="00BA68C6"/>
    <w:rsid w:val="00BB12F1"/>
    <w:rsid w:val="00BB276E"/>
    <w:rsid w:val="00BB3FEE"/>
    <w:rsid w:val="00BB5EB0"/>
    <w:rsid w:val="00BB6216"/>
    <w:rsid w:val="00BC00EA"/>
    <w:rsid w:val="00BC0352"/>
    <w:rsid w:val="00BC0539"/>
    <w:rsid w:val="00BC245A"/>
    <w:rsid w:val="00BC5CAA"/>
    <w:rsid w:val="00BC6D0A"/>
    <w:rsid w:val="00BD0FFB"/>
    <w:rsid w:val="00BD16FA"/>
    <w:rsid w:val="00BD17D7"/>
    <w:rsid w:val="00BD41C3"/>
    <w:rsid w:val="00BD488B"/>
    <w:rsid w:val="00BD6616"/>
    <w:rsid w:val="00BD75A1"/>
    <w:rsid w:val="00BD7850"/>
    <w:rsid w:val="00BD7CCC"/>
    <w:rsid w:val="00BE002A"/>
    <w:rsid w:val="00BE0283"/>
    <w:rsid w:val="00BE1BC9"/>
    <w:rsid w:val="00BE46FC"/>
    <w:rsid w:val="00BE5CDA"/>
    <w:rsid w:val="00BE5CDF"/>
    <w:rsid w:val="00BE608F"/>
    <w:rsid w:val="00BE6876"/>
    <w:rsid w:val="00BF23BB"/>
    <w:rsid w:val="00BF2D24"/>
    <w:rsid w:val="00BF33DD"/>
    <w:rsid w:val="00BF52D2"/>
    <w:rsid w:val="00BF5755"/>
    <w:rsid w:val="00BF5895"/>
    <w:rsid w:val="00BF5BD2"/>
    <w:rsid w:val="00BF684B"/>
    <w:rsid w:val="00C00080"/>
    <w:rsid w:val="00C00A36"/>
    <w:rsid w:val="00C016F3"/>
    <w:rsid w:val="00C03F3F"/>
    <w:rsid w:val="00C07BFD"/>
    <w:rsid w:val="00C15193"/>
    <w:rsid w:val="00C15609"/>
    <w:rsid w:val="00C15F6A"/>
    <w:rsid w:val="00C16942"/>
    <w:rsid w:val="00C17C04"/>
    <w:rsid w:val="00C230B5"/>
    <w:rsid w:val="00C235CB"/>
    <w:rsid w:val="00C23EA7"/>
    <w:rsid w:val="00C2470F"/>
    <w:rsid w:val="00C254C3"/>
    <w:rsid w:val="00C256F3"/>
    <w:rsid w:val="00C270A2"/>
    <w:rsid w:val="00C315B5"/>
    <w:rsid w:val="00C3233C"/>
    <w:rsid w:val="00C35994"/>
    <w:rsid w:val="00C35E28"/>
    <w:rsid w:val="00C426AF"/>
    <w:rsid w:val="00C4568F"/>
    <w:rsid w:val="00C469C1"/>
    <w:rsid w:val="00C500CD"/>
    <w:rsid w:val="00C50659"/>
    <w:rsid w:val="00C519D6"/>
    <w:rsid w:val="00C51B39"/>
    <w:rsid w:val="00C5338A"/>
    <w:rsid w:val="00C54407"/>
    <w:rsid w:val="00C54EF9"/>
    <w:rsid w:val="00C556A8"/>
    <w:rsid w:val="00C56BBF"/>
    <w:rsid w:val="00C572AA"/>
    <w:rsid w:val="00C57A9A"/>
    <w:rsid w:val="00C6016A"/>
    <w:rsid w:val="00C60B3F"/>
    <w:rsid w:val="00C623EB"/>
    <w:rsid w:val="00C62F44"/>
    <w:rsid w:val="00C6300F"/>
    <w:rsid w:val="00C635A8"/>
    <w:rsid w:val="00C642A6"/>
    <w:rsid w:val="00C64C6B"/>
    <w:rsid w:val="00C64F74"/>
    <w:rsid w:val="00C6678E"/>
    <w:rsid w:val="00C66F2E"/>
    <w:rsid w:val="00C6785C"/>
    <w:rsid w:val="00C7002B"/>
    <w:rsid w:val="00C70E74"/>
    <w:rsid w:val="00C70FD1"/>
    <w:rsid w:val="00C72B76"/>
    <w:rsid w:val="00C7318E"/>
    <w:rsid w:val="00C733AA"/>
    <w:rsid w:val="00C7367A"/>
    <w:rsid w:val="00C74333"/>
    <w:rsid w:val="00C74E68"/>
    <w:rsid w:val="00C756F6"/>
    <w:rsid w:val="00C82E26"/>
    <w:rsid w:val="00C83027"/>
    <w:rsid w:val="00C8364C"/>
    <w:rsid w:val="00C84B8A"/>
    <w:rsid w:val="00C84FAF"/>
    <w:rsid w:val="00C85E65"/>
    <w:rsid w:val="00C87CA1"/>
    <w:rsid w:val="00C911B4"/>
    <w:rsid w:val="00C91550"/>
    <w:rsid w:val="00C91934"/>
    <w:rsid w:val="00C91B3B"/>
    <w:rsid w:val="00C92C30"/>
    <w:rsid w:val="00C93716"/>
    <w:rsid w:val="00C937CC"/>
    <w:rsid w:val="00C94262"/>
    <w:rsid w:val="00C96A74"/>
    <w:rsid w:val="00C976E1"/>
    <w:rsid w:val="00CA148E"/>
    <w:rsid w:val="00CA1D93"/>
    <w:rsid w:val="00CA3A9A"/>
    <w:rsid w:val="00CA5E9A"/>
    <w:rsid w:val="00CA709D"/>
    <w:rsid w:val="00CB5F7F"/>
    <w:rsid w:val="00CB6438"/>
    <w:rsid w:val="00CB6BC1"/>
    <w:rsid w:val="00CB7021"/>
    <w:rsid w:val="00CB710F"/>
    <w:rsid w:val="00CC7DBA"/>
    <w:rsid w:val="00CD3294"/>
    <w:rsid w:val="00CD4524"/>
    <w:rsid w:val="00CD5C6B"/>
    <w:rsid w:val="00CD6027"/>
    <w:rsid w:val="00CD784D"/>
    <w:rsid w:val="00CE1CD1"/>
    <w:rsid w:val="00CE29AF"/>
    <w:rsid w:val="00CE3D59"/>
    <w:rsid w:val="00CE50E9"/>
    <w:rsid w:val="00CE64B8"/>
    <w:rsid w:val="00CF025A"/>
    <w:rsid w:val="00CF0B80"/>
    <w:rsid w:val="00CF2355"/>
    <w:rsid w:val="00CF3A1C"/>
    <w:rsid w:val="00CF40F8"/>
    <w:rsid w:val="00D008DA"/>
    <w:rsid w:val="00D0152C"/>
    <w:rsid w:val="00D024B0"/>
    <w:rsid w:val="00D02859"/>
    <w:rsid w:val="00D0416F"/>
    <w:rsid w:val="00D04B73"/>
    <w:rsid w:val="00D04CA1"/>
    <w:rsid w:val="00D04CE0"/>
    <w:rsid w:val="00D04F74"/>
    <w:rsid w:val="00D05851"/>
    <w:rsid w:val="00D06632"/>
    <w:rsid w:val="00D07E29"/>
    <w:rsid w:val="00D10080"/>
    <w:rsid w:val="00D101B8"/>
    <w:rsid w:val="00D10980"/>
    <w:rsid w:val="00D10CBA"/>
    <w:rsid w:val="00D10FED"/>
    <w:rsid w:val="00D11736"/>
    <w:rsid w:val="00D12EE8"/>
    <w:rsid w:val="00D14CDF"/>
    <w:rsid w:val="00D15FF1"/>
    <w:rsid w:val="00D167F4"/>
    <w:rsid w:val="00D17323"/>
    <w:rsid w:val="00D1733F"/>
    <w:rsid w:val="00D2092A"/>
    <w:rsid w:val="00D2216D"/>
    <w:rsid w:val="00D2502F"/>
    <w:rsid w:val="00D255FD"/>
    <w:rsid w:val="00D31A6F"/>
    <w:rsid w:val="00D32DC3"/>
    <w:rsid w:val="00D33518"/>
    <w:rsid w:val="00D353D1"/>
    <w:rsid w:val="00D35F8D"/>
    <w:rsid w:val="00D367DB"/>
    <w:rsid w:val="00D36ACB"/>
    <w:rsid w:val="00D36E05"/>
    <w:rsid w:val="00D40B9E"/>
    <w:rsid w:val="00D44F27"/>
    <w:rsid w:val="00D45304"/>
    <w:rsid w:val="00D4592E"/>
    <w:rsid w:val="00D46165"/>
    <w:rsid w:val="00D461C7"/>
    <w:rsid w:val="00D476FC"/>
    <w:rsid w:val="00D502D8"/>
    <w:rsid w:val="00D50424"/>
    <w:rsid w:val="00D523D2"/>
    <w:rsid w:val="00D525C9"/>
    <w:rsid w:val="00D54047"/>
    <w:rsid w:val="00D543C3"/>
    <w:rsid w:val="00D57D3E"/>
    <w:rsid w:val="00D6146A"/>
    <w:rsid w:val="00D620FA"/>
    <w:rsid w:val="00D66E02"/>
    <w:rsid w:val="00D67EF5"/>
    <w:rsid w:val="00D71A61"/>
    <w:rsid w:val="00D71AF1"/>
    <w:rsid w:val="00D75917"/>
    <w:rsid w:val="00D76249"/>
    <w:rsid w:val="00D862D1"/>
    <w:rsid w:val="00D8733B"/>
    <w:rsid w:val="00D874E9"/>
    <w:rsid w:val="00D87D96"/>
    <w:rsid w:val="00D93C5B"/>
    <w:rsid w:val="00D95CBE"/>
    <w:rsid w:val="00D968F8"/>
    <w:rsid w:val="00D97526"/>
    <w:rsid w:val="00DA1B0F"/>
    <w:rsid w:val="00DA2526"/>
    <w:rsid w:val="00DA2913"/>
    <w:rsid w:val="00DA5C22"/>
    <w:rsid w:val="00DA7D12"/>
    <w:rsid w:val="00DB25ED"/>
    <w:rsid w:val="00DB48F0"/>
    <w:rsid w:val="00DB62B5"/>
    <w:rsid w:val="00DB6505"/>
    <w:rsid w:val="00DB6D58"/>
    <w:rsid w:val="00DB744B"/>
    <w:rsid w:val="00DC23CF"/>
    <w:rsid w:val="00DC6562"/>
    <w:rsid w:val="00DC6CB8"/>
    <w:rsid w:val="00DC7416"/>
    <w:rsid w:val="00DC78AE"/>
    <w:rsid w:val="00DD0069"/>
    <w:rsid w:val="00DD1944"/>
    <w:rsid w:val="00DD1A90"/>
    <w:rsid w:val="00DD1FAA"/>
    <w:rsid w:val="00DD2919"/>
    <w:rsid w:val="00DD298A"/>
    <w:rsid w:val="00DD7F94"/>
    <w:rsid w:val="00DE0339"/>
    <w:rsid w:val="00DE0825"/>
    <w:rsid w:val="00DE130D"/>
    <w:rsid w:val="00DE24CF"/>
    <w:rsid w:val="00DE2C41"/>
    <w:rsid w:val="00DE407C"/>
    <w:rsid w:val="00DE5D35"/>
    <w:rsid w:val="00DE7C7D"/>
    <w:rsid w:val="00DF2992"/>
    <w:rsid w:val="00DF2D0C"/>
    <w:rsid w:val="00DF6B5A"/>
    <w:rsid w:val="00DF7EEE"/>
    <w:rsid w:val="00E00058"/>
    <w:rsid w:val="00E01B9D"/>
    <w:rsid w:val="00E028DF"/>
    <w:rsid w:val="00E02F5D"/>
    <w:rsid w:val="00E0468F"/>
    <w:rsid w:val="00E04F5E"/>
    <w:rsid w:val="00E0522E"/>
    <w:rsid w:val="00E059A2"/>
    <w:rsid w:val="00E05C08"/>
    <w:rsid w:val="00E07046"/>
    <w:rsid w:val="00E07292"/>
    <w:rsid w:val="00E114E0"/>
    <w:rsid w:val="00E120F4"/>
    <w:rsid w:val="00E12625"/>
    <w:rsid w:val="00E14FDD"/>
    <w:rsid w:val="00E15CC9"/>
    <w:rsid w:val="00E1613D"/>
    <w:rsid w:val="00E1685D"/>
    <w:rsid w:val="00E17172"/>
    <w:rsid w:val="00E21366"/>
    <w:rsid w:val="00E21894"/>
    <w:rsid w:val="00E21E42"/>
    <w:rsid w:val="00E24DE3"/>
    <w:rsid w:val="00E25966"/>
    <w:rsid w:val="00E31365"/>
    <w:rsid w:val="00E3181C"/>
    <w:rsid w:val="00E3280A"/>
    <w:rsid w:val="00E33F73"/>
    <w:rsid w:val="00E3467C"/>
    <w:rsid w:val="00E372AF"/>
    <w:rsid w:val="00E37D68"/>
    <w:rsid w:val="00E40B4B"/>
    <w:rsid w:val="00E40EAE"/>
    <w:rsid w:val="00E42235"/>
    <w:rsid w:val="00E436AC"/>
    <w:rsid w:val="00E44F7A"/>
    <w:rsid w:val="00E44FF8"/>
    <w:rsid w:val="00E462A0"/>
    <w:rsid w:val="00E47656"/>
    <w:rsid w:val="00E478D6"/>
    <w:rsid w:val="00E5066A"/>
    <w:rsid w:val="00E51453"/>
    <w:rsid w:val="00E52CF9"/>
    <w:rsid w:val="00E54397"/>
    <w:rsid w:val="00E54950"/>
    <w:rsid w:val="00E55C0E"/>
    <w:rsid w:val="00E55FE3"/>
    <w:rsid w:val="00E57AF9"/>
    <w:rsid w:val="00E625E3"/>
    <w:rsid w:val="00E63111"/>
    <w:rsid w:val="00E63AD0"/>
    <w:rsid w:val="00E63F34"/>
    <w:rsid w:val="00E63FEA"/>
    <w:rsid w:val="00E660A4"/>
    <w:rsid w:val="00E66C30"/>
    <w:rsid w:val="00E6715A"/>
    <w:rsid w:val="00E74974"/>
    <w:rsid w:val="00E749E5"/>
    <w:rsid w:val="00E75DC9"/>
    <w:rsid w:val="00E764C0"/>
    <w:rsid w:val="00E76BD2"/>
    <w:rsid w:val="00E76FC5"/>
    <w:rsid w:val="00E81610"/>
    <w:rsid w:val="00E8199E"/>
    <w:rsid w:val="00E81CAB"/>
    <w:rsid w:val="00E841B3"/>
    <w:rsid w:val="00E84910"/>
    <w:rsid w:val="00E85B28"/>
    <w:rsid w:val="00E87F0B"/>
    <w:rsid w:val="00E90E07"/>
    <w:rsid w:val="00E91163"/>
    <w:rsid w:val="00E91976"/>
    <w:rsid w:val="00E947A6"/>
    <w:rsid w:val="00E97FC7"/>
    <w:rsid w:val="00EA05C2"/>
    <w:rsid w:val="00EA0690"/>
    <w:rsid w:val="00EA3956"/>
    <w:rsid w:val="00EA4FD8"/>
    <w:rsid w:val="00EA5404"/>
    <w:rsid w:val="00EA545E"/>
    <w:rsid w:val="00EA7012"/>
    <w:rsid w:val="00EA7136"/>
    <w:rsid w:val="00EA7CA9"/>
    <w:rsid w:val="00EB26FA"/>
    <w:rsid w:val="00EB3048"/>
    <w:rsid w:val="00EB325A"/>
    <w:rsid w:val="00EB4F0B"/>
    <w:rsid w:val="00EC02A5"/>
    <w:rsid w:val="00EC0ABC"/>
    <w:rsid w:val="00EC176B"/>
    <w:rsid w:val="00EC33CD"/>
    <w:rsid w:val="00EC5BE5"/>
    <w:rsid w:val="00EC7BB1"/>
    <w:rsid w:val="00ED2650"/>
    <w:rsid w:val="00ED721A"/>
    <w:rsid w:val="00EE165B"/>
    <w:rsid w:val="00EE279B"/>
    <w:rsid w:val="00EE2A99"/>
    <w:rsid w:val="00EE3110"/>
    <w:rsid w:val="00EE393D"/>
    <w:rsid w:val="00EE3C03"/>
    <w:rsid w:val="00EE5B08"/>
    <w:rsid w:val="00EE742D"/>
    <w:rsid w:val="00EE7BBC"/>
    <w:rsid w:val="00EF01CF"/>
    <w:rsid w:val="00EF201A"/>
    <w:rsid w:val="00EF285F"/>
    <w:rsid w:val="00EF5941"/>
    <w:rsid w:val="00EF64F1"/>
    <w:rsid w:val="00EF6A47"/>
    <w:rsid w:val="00EF7AF9"/>
    <w:rsid w:val="00F00952"/>
    <w:rsid w:val="00F00E74"/>
    <w:rsid w:val="00F01495"/>
    <w:rsid w:val="00F02C55"/>
    <w:rsid w:val="00F02DBE"/>
    <w:rsid w:val="00F03433"/>
    <w:rsid w:val="00F06335"/>
    <w:rsid w:val="00F06A09"/>
    <w:rsid w:val="00F07DDB"/>
    <w:rsid w:val="00F100C8"/>
    <w:rsid w:val="00F10138"/>
    <w:rsid w:val="00F13DBA"/>
    <w:rsid w:val="00F13F92"/>
    <w:rsid w:val="00F1487D"/>
    <w:rsid w:val="00F15134"/>
    <w:rsid w:val="00F17988"/>
    <w:rsid w:val="00F22ECA"/>
    <w:rsid w:val="00F23348"/>
    <w:rsid w:val="00F240E8"/>
    <w:rsid w:val="00F243A8"/>
    <w:rsid w:val="00F244FA"/>
    <w:rsid w:val="00F366A2"/>
    <w:rsid w:val="00F42B2B"/>
    <w:rsid w:val="00F42B8F"/>
    <w:rsid w:val="00F44F43"/>
    <w:rsid w:val="00F450E1"/>
    <w:rsid w:val="00F455DA"/>
    <w:rsid w:val="00F46406"/>
    <w:rsid w:val="00F4748E"/>
    <w:rsid w:val="00F50DF4"/>
    <w:rsid w:val="00F512D7"/>
    <w:rsid w:val="00F51E3B"/>
    <w:rsid w:val="00F557DF"/>
    <w:rsid w:val="00F56ADA"/>
    <w:rsid w:val="00F57AFE"/>
    <w:rsid w:val="00F6278E"/>
    <w:rsid w:val="00F62D75"/>
    <w:rsid w:val="00F63C41"/>
    <w:rsid w:val="00F63E96"/>
    <w:rsid w:val="00F6421C"/>
    <w:rsid w:val="00F6426A"/>
    <w:rsid w:val="00F6563A"/>
    <w:rsid w:val="00F701E3"/>
    <w:rsid w:val="00F71008"/>
    <w:rsid w:val="00F71F8C"/>
    <w:rsid w:val="00F74222"/>
    <w:rsid w:val="00F7702D"/>
    <w:rsid w:val="00F86AD4"/>
    <w:rsid w:val="00F87D45"/>
    <w:rsid w:val="00F929F1"/>
    <w:rsid w:val="00F93135"/>
    <w:rsid w:val="00F97BBF"/>
    <w:rsid w:val="00F97F28"/>
    <w:rsid w:val="00FA0113"/>
    <w:rsid w:val="00FA0431"/>
    <w:rsid w:val="00FA12B2"/>
    <w:rsid w:val="00FA23CE"/>
    <w:rsid w:val="00FA3964"/>
    <w:rsid w:val="00FA7610"/>
    <w:rsid w:val="00FA7716"/>
    <w:rsid w:val="00FB02BD"/>
    <w:rsid w:val="00FB37AA"/>
    <w:rsid w:val="00FB37D1"/>
    <w:rsid w:val="00FB37ED"/>
    <w:rsid w:val="00FB398F"/>
    <w:rsid w:val="00FB4EF8"/>
    <w:rsid w:val="00FB54AE"/>
    <w:rsid w:val="00FB55A5"/>
    <w:rsid w:val="00FB6CBC"/>
    <w:rsid w:val="00FB6DA6"/>
    <w:rsid w:val="00FB709A"/>
    <w:rsid w:val="00FB78DD"/>
    <w:rsid w:val="00FC0F40"/>
    <w:rsid w:val="00FC3EF3"/>
    <w:rsid w:val="00FC5D35"/>
    <w:rsid w:val="00FC6994"/>
    <w:rsid w:val="00FC6D82"/>
    <w:rsid w:val="00FC7560"/>
    <w:rsid w:val="00FD0547"/>
    <w:rsid w:val="00FD2049"/>
    <w:rsid w:val="00FD2140"/>
    <w:rsid w:val="00FD3D04"/>
    <w:rsid w:val="00FD43A9"/>
    <w:rsid w:val="00FD5B5F"/>
    <w:rsid w:val="00FD5BDE"/>
    <w:rsid w:val="00FD68EC"/>
    <w:rsid w:val="00FD79FA"/>
    <w:rsid w:val="00FE07B6"/>
    <w:rsid w:val="00FE24A5"/>
    <w:rsid w:val="00FE31E5"/>
    <w:rsid w:val="00FE4292"/>
    <w:rsid w:val="00FE466D"/>
    <w:rsid w:val="00FE53DC"/>
    <w:rsid w:val="00FE631A"/>
    <w:rsid w:val="00FF19AD"/>
    <w:rsid w:val="00FF1EB5"/>
    <w:rsid w:val="00FF292D"/>
    <w:rsid w:val="00FF298D"/>
    <w:rsid w:val="00FF4B55"/>
    <w:rsid w:val="00FF6287"/>
    <w:rsid w:val="00FF6A74"/>
    <w:rsid w:val="00FF6D2D"/>
    <w:rsid w:val="00FF73FB"/>
    <w:rsid w:val="00FF7578"/>
    <w:rsid w:val="00FF76BA"/>
    <w:rsid w:val="00FF7FF4"/>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E7FCD"/>
  <w15:chartTrackingRefBased/>
  <w15:docId w15:val="{507735FF-94EF-4B6C-A455-45C11B6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6D"/>
    <w:rPr>
      <w:noProof/>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styleId="UnresolvedMention">
    <w:name w:val="Unresolved Mention"/>
    <w:uiPriority w:val="99"/>
    <w:semiHidden/>
    <w:unhideWhenUsed/>
    <w:rsid w:val="001C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09">
      <w:bodyDiv w:val="1"/>
      <w:marLeft w:val="0"/>
      <w:marRight w:val="0"/>
      <w:marTop w:val="0"/>
      <w:marBottom w:val="0"/>
      <w:divBdr>
        <w:top w:val="none" w:sz="0" w:space="0" w:color="auto"/>
        <w:left w:val="none" w:sz="0" w:space="0" w:color="auto"/>
        <w:bottom w:val="none" w:sz="0" w:space="0" w:color="auto"/>
        <w:right w:val="none" w:sz="0" w:space="0" w:color="auto"/>
      </w:divBdr>
    </w:div>
    <w:div w:id="7677979">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2830">
      <w:bodyDiv w:val="1"/>
      <w:marLeft w:val="0"/>
      <w:marRight w:val="0"/>
      <w:marTop w:val="0"/>
      <w:marBottom w:val="0"/>
      <w:divBdr>
        <w:top w:val="none" w:sz="0" w:space="0" w:color="auto"/>
        <w:left w:val="none" w:sz="0" w:space="0" w:color="auto"/>
        <w:bottom w:val="none" w:sz="0" w:space="0" w:color="auto"/>
        <w:right w:val="none" w:sz="0" w:space="0" w:color="auto"/>
      </w:divBdr>
    </w:div>
    <w:div w:id="246695538">
      <w:bodyDiv w:val="1"/>
      <w:marLeft w:val="0"/>
      <w:marRight w:val="0"/>
      <w:marTop w:val="0"/>
      <w:marBottom w:val="0"/>
      <w:divBdr>
        <w:top w:val="none" w:sz="0" w:space="0" w:color="auto"/>
        <w:left w:val="none" w:sz="0" w:space="0" w:color="auto"/>
        <w:bottom w:val="none" w:sz="0" w:space="0" w:color="auto"/>
        <w:right w:val="none" w:sz="0" w:space="0" w:color="auto"/>
      </w:divBdr>
    </w:div>
    <w:div w:id="308091812">
      <w:bodyDiv w:val="1"/>
      <w:marLeft w:val="0"/>
      <w:marRight w:val="0"/>
      <w:marTop w:val="0"/>
      <w:marBottom w:val="0"/>
      <w:divBdr>
        <w:top w:val="none" w:sz="0" w:space="0" w:color="auto"/>
        <w:left w:val="none" w:sz="0" w:space="0" w:color="auto"/>
        <w:bottom w:val="none" w:sz="0" w:space="0" w:color="auto"/>
        <w:right w:val="none" w:sz="0" w:space="0" w:color="auto"/>
      </w:divBdr>
    </w:div>
    <w:div w:id="31714740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41999721">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7330660">
      <w:bodyDiv w:val="1"/>
      <w:marLeft w:val="0"/>
      <w:marRight w:val="0"/>
      <w:marTop w:val="0"/>
      <w:marBottom w:val="0"/>
      <w:divBdr>
        <w:top w:val="none" w:sz="0" w:space="0" w:color="auto"/>
        <w:left w:val="none" w:sz="0" w:space="0" w:color="auto"/>
        <w:bottom w:val="none" w:sz="0" w:space="0" w:color="auto"/>
        <w:right w:val="none" w:sz="0" w:space="0" w:color="auto"/>
      </w:divBdr>
    </w:div>
    <w:div w:id="559367176">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4115686">
      <w:bodyDiv w:val="1"/>
      <w:marLeft w:val="0"/>
      <w:marRight w:val="0"/>
      <w:marTop w:val="0"/>
      <w:marBottom w:val="0"/>
      <w:divBdr>
        <w:top w:val="none" w:sz="0" w:space="0" w:color="auto"/>
        <w:left w:val="none" w:sz="0" w:space="0" w:color="auto"/>
        <w:bottom w:val="none" w:sz="0" w:space="0" w:color="auto"/>
        <w:right w:val="none" w:sz="0" w:space="0" w:color="auto"/>
      </w:divBdr>
    </w:div>
    <w:div w:id="789519302">
      <w:bodyDiv w:val="1"/>
      <w:marLeft w:val="0"/>
      <w:marRight w:val="0"/>
      <w:marTop w:val="0"/>
      <w:marBottom w:val="0"/>
      <w:divBdr>
        <w:top w:val="none" w:sz="0" w:space="0" w:color="auto"/>
        <w:left w:val="none" w:sz="0" w:space="0" w:color="auto"/>
        <w:bottom w:val="none" w:sz="0" w:space="0" w:color="auto"/>
        <w:right w:val="none" w:sz="0" w:space="0" w:color="auto"/>
      </w:divBdr>
    </w:div>
    <w:div w:id="807864638">
      <w:bodyDiv w:val="1"/>
      <w:marLeft w:val="0"/>
      <w:marRight w:val="0"/>
      <w:marTop w:val="0"/>
      <w:marBottom w:val="0"/>
      <w:divBdr>
        <w:top w:val="none" w:sz="0" w:space="0" w:color="auto"/>
        <w:left w:val="none" w:sz="0" w:space="0" w:color="auto"/>
        <w:bottom w:val="none" w:sz="0" w:space="0" w:color="auto"/>
        <w:right w:val="none" w:sz="0" w:space="0" w:color="auto"/>
      </w:divBdr>
    </w:div>
    <w:div w:id="855966814">
      <w:bodyDiv w:val="1"/>
      <w:marLeft w:val="0"/>
      <w:marRight w:val="0"/>
      <w:marTop w:val="0"/>
      <w:marBottom w:val="0"/>
      <w:divBdr>
        <w:top w:val="none" w:sz="0" w:space="0" w:color="auto"/>
        <w:left w:val="none" w:sz="0" w:space="0" w:color="auto"/>
        <w:bottom w:val="none" w:sz="0" w:space="0" w:color="auto"/>
        <w:right w:val="none" w:sz="0" w:space="0" w:color="auto"/>
      </w:divBdr>
    </w:div>
    <w:div w:id="871380383">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183074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3223714">
      <w:bodyDiv w:val="1"/>
      <w:marLeft w:val="0"/>
      <w:marRight w:val="0"/>
      <w:marTop w:val="0"/>
      <w:marBottom w:val="0"/>
      <w:divBdr>
        <w:top w:val="none" w:sz="0" w:space="0" w:color="auto"/>
        <w:left w:val="none" w:sz="0" w:space="0" w:color="auto"/>
        <w:bottom w:val="none" w:sz="0" w:space="0" w:color="auto"/>
        <w:right w:val="none" w:sz="0" w:space="0" w:color="auto"/>
      </w:divBdr>
    </w:div>
    <w:div w:id="1196121231">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6676918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2252456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51075711">
      <w:bodyDiv w:val="1"/>
      <w:marLeft w:val="0"/>
      <w:marRight w:val="0"/>
      <w:marTop w:val="0"/>
      <w:marBottom w:val="0"/>
      <w:divBdr>
        <w:top w:val="none" w:sz="0" w:space="0" w:color="auto"/>
        <w:left w:val="none" w:sz="0" w:space="0" w:color="auto"/>
        <w:bottom w:val="none" w:sz="0" w:space="0" w:color="auto"/>
        <w:right w:val="none" w:sz="0" w:space="0" w:color="auto"/>
      </w:divBdr>
    </w:div>
    <w:div w:id="19931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1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Energy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4"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379-493A-4569-9FFA-3ADEA8F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4615</CharactersWithSpaces>
  <SharedDoc>false</SharedDoc>
  <HLinks>
    <vt:vector size="42" baseType="variant">
      <vt:variant>
        <vt:i4>5177462</vt:i4>
      </vt:variant>
      <vt:variant>
        <vt:i4>12</vt:i4>
      </vt:variant>
      <vt:variant>
        <vt:i4>0</vt:i4>
      </vt:variant>
      <vt:variant>
        <vt:i4>5</vt:i4>
      </vt:variant>
      <vt:variant>
        <vt:lpwstr>mailto:napostolou@cystat.mof.gov.cy</vt:lpwstr>
      </vt:variant>
      <vt:variant>
        <vt:lpwstr/>
      </vt:variant>
      <vt:variant>
        <vt:i4>1179739</vt:i4>
      </vt:variant>
      <vt:variant>
        <vt:i4>9</vt:i4>
      </vt:variant>
      <vt:variant>
        <vt:i4>0</vt:i4>
      </vt:variant>
      <vt:variant>
        <vt:i4>5</vt:i4>
      </vt:variant>
      <vt:variant>
        <vt:lpwstr>https://www.cystat.gov.cy/el/MethodologicalDetails?m=2195</vt:lpwstr>
      </vt:variant>
      <vt:variant>
        <vt:lpwstr/>
      </vt:variant>
      <vt:variant>
        <vt:i4>4325461</vt:i4>
      </vt:variant>
      <vt:variant>
        <vt:i4>6</vt:i4>
      </vt:variant>
      <vt:variant>
        <vt:i4>0</vt:i4>
      </vt:variant>
      <vt:variant>
        <vt:i4>5</vt:i4>
      </vt:variant>
      <vt:variant>
        <vt:lpwstr>https://www.cystat.gov.cy/el/KeyFiguresList?s=34</vt:lpwstr>
      </vt:variant>
      <vt:variant>
        <vt:lpwstr/>
      </vt:variant>
      <vt:variant>
        <vt:i4>655419</vt:i4>
      </vt:variant>
      <vt:variant>
        <vt:i4>3</vt:i4>
      </vt:variant>
      <vt:variant>
        <vt:i4>0</vt:i4>
      </vt:variant>
      <vt:variant>
        <vt:i4>5</vt:i4>
      </vt:variant>
      <vt:variant>
        <vt:lpwstr>https://cystatdb.cystat.gov.cy/pxweb/el/8.CYSTAT-DB/8.CYSTAT-DB__Energy__</vt:lpwstr>
      </vt:variant>
      <vt:variant>
        <vt:lpwstr/>
      </vt:variant>
      <vt:variant>
        <vt:i4>5111877</vt:i4>
      </vt:variant>
      <vt:variant>
        <vt:i4>0</vt:i4>
      </vt:variant>
      <vt:variant>
        <vt:i4>0</vt:i4>
      </vt:variant>
      <vt:variant>
        <vt:i4>5</vt:i4>
      </vt:variant>
      <vt:variant>
        <vt:lpwstr>https://www.cystat.gov.cy/el/SubthemeStatistics?s=34</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86</cp:revision>
  <cp:lastPrinted>2025-10-27T09:43:00Z</cp:lastPrinted>
  <dcterms:created xsi:type="dcterms:W3CDTF">2025-06-24T10:26:00Z</dcterms:created>
  <dcterms:modified xsi:type="dcterms:W3CDTF">2025-10-27T09:46:00Z</dcterms:modified>
</cp:coreProperties>
</file>