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4078" w14:textId="77777777" w:rsidR="003D3ED7" w:rsidRPr="00970856" w:rsidRDefault="003D3ED7" w:rsidP="002146EB">
      <w:pPr>
        <w:jc w:val="right"/>
        <w:rPr>
          <w:rFonts w:ascii="Verdana" w:hAnsi="Verdana"/>
          <w:sz w:val="18"/>
          <w:szCs w:val="18"/>
          <w:shd w:val="clear" w:color="auto" w:fill="FFFFFF"/>
        </w:rPr>
      </w:pPr>
    </w:p>
    <w:p w14:paraId="5425EF7B" w14:textId="77777777" w:rsidR="003D3ED7" w:rsidRDefault="003D3ED7" w:rsidP="003D3ED7">
      <w:pPr>
        <w:ind w:left="-142"/>
        <w:jc w:val="right"/>
        <w:rPr>
          <w:rFonts w:ascii="Verdana" w:hAnsi="Verdana" w:cs="Arial"/>
          <w:sz w:val="18"/>
          <w:szCs w:val="18"/>
          <w:lang w:val="el-GR"/>
        </w:rPr>
      </w:pPr>
    </w:p>
    <w:p w14:paraId="4E612680" w14:textId="0B1C2FC1" w:rsidR="003D3ED7" w:rsidRPr="00941F6D" w:rsidRDefault="00D64CB6" w:rsidP="003D3ED7">
      <w:pPr>
        <w:ind w:left="-142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27 June,</w:t>
      </w:r>
      <w:r w:rsidR="003D3ED7" w:rsidRPr="00A45F77">
        <w:rPr>
          <w:rFonts w:ascii="Verdana" w:hAnsi="Verdana" w:cs="Arial"/>
          <w:sz w:val="18"/>
          <w:szCs w:val="18"/>
        </w:rPr>
        <w:t xml:space="preserve"> 20</w:t>
      </w:r>
      <w:r w:rsidR="003D3ED7">
        <w:rPr>
          <w:rFonts w:ascii="Verdana" w:hAnsi="Verdana" w:cs="Arial"/>
          <w:sz w:val="18"/>
          <w:szCs w:val="18"/>
        </w:rPr>
        <w:t>2</w:t>
      </w:r>
      <w:r w:rsidR="00842D7F">
        <w:rPr>
          <w:rFonts w:ascii="Verdana" w:hAnsi="Verdana" w:cs="Arial"/>
          <w:sz w:val="18"/>
          <w:szCs w:val="18"/>
        </w:rPr>
        <w:t>4</w:t>
      </w:r>
    </w:p>
    <w:p w14:paraId="000ED25F" w14:textId="77777777" w:rsidR="003D3ED7" w:rsidRDefault="003D3ED7" w:rsidP="002146EB">
      <w:pPr>
        <w:spacing w:line="276" w:lineRule="auto"/>
        <w:rPr>
          <w:rFonts w:ascii="Verdana" w:eastAsia="Malgun Gothic" w:hAnsi="Verdana" w:cs="Arial"/>
          <w:sz w:val="18"/>
          <w:szCs w:val="18"/>
        </w:rPr>
      </w:pPr>
    </w:p>
    <w:p w14:paraId="53A94021" w14:textId="77777777" w:rsidR="002146EB" w:rsidRPr="00A45F77" w:rsidRDefault="002146EB" w:rsidP="002146EB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1F0E25FB" w14:textId="77777777" w:rsidR="003D3ED7" w:rsidRPr="002E3F76" w:rsidRDefault="003D3ED7" w:rsidP="003D3ED7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PRESS RELEASE</w:t>
      </w:r>
    </w:p>
    <w:p w14:paraId="7CD3D630" w14:textId="77777777" w:rsidR="003D3ED7" w:rsidRDefault="003D3ED7" w:rsidP="003D3ED7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65CCDEA1" w14:textId="77777777" w:rsidR="003D3ED7" w:rsidRPr="002E3F76" w:rsidRDefault="003D3ED7" w:rsidP="003D3ED7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7F85B59A" w14:textId="002BA886" w:rsidR="003D3ED7" w:rsidRDefault="003D3ED7" w:rsidP="003D3ED7">
      <w:pPr>
        <w:spacing w:line="276" w:lineRule="auto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u w:val="single"/>
        </w:rPr>
        <w:t>INDUSTRIAL PRODUCTION INDEX</w:t>
      </w:r>
      <w:r w:rsidRPr="002E3F76">
        <w:rPr>
          <w:rFonts w:ascii="Verdana" w:hAnsi="Verdana" w:cs="Arial"/>
          <w:u w:val="single"/>
        </w:rPr>
        <w:t xml:space="preserve">: </w:t>
      </w:r>
      <w:r w:rsidR="00D64CB6">
        <w:rPr>
          <w:rFonts w:ascii="Verdana" w:hAnsi="Verdana" w:cs="Arial"/>
          <w:b/>
          <w:u w:val="single"/>
        </w:rPr>
        <w:t>APRIL</w:t>
      </w:r>
      <w:r w:rsidR="003D4B71">
        <w:rPr>
          <w:rFonts w:ascii="Verdana" w:hAnsi="Verdana" w:cs="Arial"/>
          <w:b/>
          <w:u w:val="single"/>
        </w:rPr>
        <w:t xml:space="preserve"> 2024</w:t>
      </w:r>
    </w:p>
    <w:p w14:paraId="4794E375" w14:textId="77777777" w:rsidR="003D3ED7" w:rsidRPr="00764F69" w:rsidRDefault="003D3ED7" w:rsidP="003D3ED7">
      <w:pPr>
        <w:spacing w:line="276" w:lineRule="auto"/>
        <w:rPr>
          <w:rFonts w:ascii="Verdana" w:hAnsi="Verdana" w:cs="Arial"/>
          <w:sz w:val="18"/>
          <w:szCs w:val="18"/>
          <w:u w:val="single"/>
        </w:rPr>
      </w:pPr>
    </w:p>
    <w:p w14:paraId="35E6EBED" w14:textId="510F286E" w:rsidR="003D3ED7" w:rsidRPr="002E3F76" w:rsidRDefault="003D3ED7" w:rsidP="003D3ED7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Annual Change</w:t>
      </w:r>
      <w:r w:rsidRPr="002E3F76">
        <w:rPr>
          <w:rFonts w:ascii="Verdana" w:hAnsi="Verdana" w:cs="Arial"/>
          <w:b/>
          <w:color w:val="000000"/>
        </w:rPr>
        <w:t xml:space="preserve"> </w:t>
      </w:r>
      <w:r w:rsidR="00941F6D">
        <w:rPr>
          <w:rFonts w:ascii="Verdana" w:hAnsi="Verdana" w:cs="Arial"/>
          <w:b/>
          <w:color w:val="000000"/>
        </w:rPr>
        <w:t>+</w:t>
      </w:r>
      <w:r w:rsidR="00D64CB6">
        <w:rPr>
          <w:rFonts w:ascii="Verdana" w:hAnsi="Verdana" w:cs="Arial"/>
          <w:b/>
          <w:color w:val="000000"/>
        </w:rPr>
        <w:t>8,</w:t>
      </w:r>
      <w:r w:rsidR="00C736EC" w:rsidRPr="00C736EC">
        <w:rPr>
          <w:rFonts w:ascii="Verdana" w:hAnsi="Verdana" w:cs="Arial"/>
          <w:b/>
          <w:color w:val="000000"/>
        </w:rPr>
        <w:t>2</w:t>
      </w:r>
      <w:r w:rsidRPr="002E3F76">
        <w:rPr>
          <w:rFonts w:ascii="Verdana" w:hAnsi="Verdana" w:cs="Arial"/>
          <w:b/>
          <w:color w:val="000000"/>
        </w:rPr>
        <w:t>%</w:t>
      </w:r>
    </w:p>
    <w:p w14:paraId="76F5B691" w14:textId="77777777" w:rsidR="003D3ED7" w:rsidRDefault="003D3ED7" w:rsidP="003D3ED7">
      <w:pPr>
        <w:jc w:val="both"/>
        <w:rPr>
          <w:rFonts w:ascii="Verdana" w:hAnsi="Verdana" w:cs="Arial"/>
          <w:sz w:val="18"/>
          <w:szCs w:val="18"/>
        </w:rPr>
      </w:pPr>
    </w:p>
    <w:p w14:paraId="32F1ECAE" w14:textId="15C4A2CD" w:rsidR="003D3ED7" w:rsidRDefault="003D3ED7" w:rsidP="003D4B71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</w:t>
      </w:r>
      <w:r w:rsidR="00D64CB6">
        <w:rPr>
          <w:rFonts w:ascii="Verdana" w:hAnsi="Verdana" w:cs="Arial"/>
          <w:sz w:val="18"/>
          <w:szCs w:val="18"/>
        </w:rPr>
        <w:t>April</w:t>
      </w:r>
      <w:r>
        <w:rPr>
          <w:rFonts w:ascii="Verdana" w:hAnsi="Verdana" w:cs="Arial"/>
          <w:sz w:val="18"/>
          <w:szCs w:val="18"/>
        </w:rPr>
        <w:t xml:space="preserve"> </w:t>
      </w:r>
      <w:r w:rsidR="00076547">
        <w:rPr>
          <w:rFonts w:ascii="Verdana" w:hAnsi="Verdana" w:cs="Arial"/>
          <w:sz w:val="18"/>
          <w:szCs w:val="18"/>
        </w:rPr>
        <w:t>202</w:t>
      </w:r>
      <w:r w:rsidR="003D4B71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 xml:space="preserve">, the Industrial Production Index reached </w:t>
      </w:r>
      <w:r w:rsidR="00D64CB6">
        <w:rPr>
          <w:rFonts w:ascii="Verdana" w:hAnsi="Verdana" w:cs="Arial"/>
          <w:sz w:val="18"/>
          <w:szCs w:val="18"/>
        </w:rPr>
        <w:t>106,</w:t>
      </w:r>
      <w:r w:rsidR="00C736EC" w:rsidRPr="00C736EC">
        <w:rPr>
          <w:rFonts w:ascii="Verdana" w:hAnsi="Verdana" w:cs="Arial"/>
          <w:sz w:val="18"/>
          <w:szCs w:val="18"/>
        </w:rPr>
        <w:t>8</w:t>
      </w:r>
      <w:r>
        <w:rPr>
          <w:rFonts w:ascii="Verdana" w:hAnsi="Verdana" w:cs="Arial"/>
          <w:sz w:val="18"/>
          <w:szCs w:val="18"/>
        </w:rPr>
        <w:t xml:space="preserve"> units (base </w:t>
      </w:r>
      <w:r w:rsidRPr="002D2E19">
        <w:rPr>
          <w:rFonts w:ascii="Verdana" w:hAnsi="Verdana" w:cs="Arial"/>
          <w:sz w:val="18"/>
          <w:szCs w:val="18"/>
        </w:rPr>
        <w:t>20</w:t>
      </w:r>
      <w:r w:rsidR="003D4B71">
        <w:rPr>
          <w:rFonts w:ascii="Verdana" w:hAnsi="Verdana" w:cs="Arial"/>
          <w:sz w:val="18"/>
          <w:szCs w:val="18"/>
        </w:rPr>
        <w:t>21</w:t>
      </w:r>
      <w:r w:rsidRPr="002D2E19">
        <w:rPr>
          <w:rFonts w:ascii="Verdana" w:hAnsi="Verdana" w:cs="Arial"/>
          <w:sz w:val="18"/>
          <w:szCs w:val="18"/>
        </w:rPr>
        <w:t>=100</w:t>
      </w:r>
      <w:r>
        <w:rPr>
          <w:rFonts w:ascii="Verdana" w:hAnsi="Verdana" w:cs="Arial"/>
          <w:sz w:val="18"/>
          <w:szCs w:val="18"/>
        </w:rPr>
        <w:t xml:space="preserve">), recording </w:t>
      </w:r>
      <w:r w:rsidR="00941F6D">
        <w:rPr>
          <w:rFonts w:ascii="Verdana" w:hAnsi="Verdana" w:cs="Arial"/>
          <w:sz w:val="18"/>
          <w:szCs w:val="18"/>
        </w:rPr>
        <w:t>an increase</w:t>
      </w:r>
      <w:r>
        <w:rPr>
          <w:rFonts w:ascii="Verdana" w:hAnsi="Verdana" w:cs="Arial"/>
          <w:sz w:val="18"/>
          <w:szCs w:val="18"/>
        </w:rPr>
        <w:t xml:space="preserve"> of </w:t>
      </w:r>
      <w:r w:rsidR="00D64CB6">
        <w:rPr>
          <w:rFonts w:ascii="Verdana" w:hAnsi="Verdana" w:cs="Arial"/>
          <w:sz w:val="18"/>
          <w:szCs w:val="18"/>
        </w:rPr>
        <w:t>8,</w:t>
      </w:r>
      <w:r w:rsidR="00C736EC" w:rsidRPr="00C736EC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 xml:space="preserve">% compared to </w:t>
      </w:r>
      <w:r w:rsidR="00D64CB6">
        <w:rPr>
          <w:rFonts w:ascii="Verdana" w:hAnsi="Verdana" w:cs="Arial"/>
          <w:sz w:val="18"/>
          <w:szCs w:val="18"/>
        </w:rPr>
        <w:t>April</w:t>
      </w:r>
      <w:r>
        <w:rPr>
          <w:rFonts w:ascii="Verdana" w:hAnsi="Verdana" w:cs="Arial"/>
          <w:sz w:val="18"/>
          <w:szCs w:val="18"/>
        </w:rPr>
        <w:t xml:space="preserve"> </w:t>
      </w:r>
      <w:r w:rsidR="00076547">
        <w:rPr>
          <w:rFonts w:ascii="Verdana" w:hAnsi="Verdana" w:cs="Arial"/>
          <w:sz w:val="18"/>
          <w:szCs w:val="18"/>
        </w:rPr>
        <w:t>202</w:t>
      </w:r>
      <w:r w:rsidR="003D4B71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.</w:t>
      </w:r>
      <w:r w:rsidRPr="00764F69">
        <w:rPr>
          <w:rFonts w:ascii="Verdana" w:hAnsi="Verdana" w:cs="Arial"/>
          <w:sz w:val="18"/>
          <w:szCs w:val="18"/>
        </w:rPr>
        <w:t xml:space="preserve"> </w:t>
      </w:r>
      <w:r w:rsidR="00D2617F">
        <w:rPr>
          <w:rFonts w:ascii="Verdana" w:hAnsi="Verdana" w:cs="Arial"/>
          <w:sz w:val="18"/>
          <w:szCs w:val="18"/>
        </w:rPr>
        <w:t xml:space="preserve">For the period January – </w:t>
      </w:r>
      <w:r w:rsidR="00D64CB6">
        <w:rPr>
          <w:rFonts w:ascii="Verdana" w:hAnsi="Verdana" w:cs="Arial"/>
          <w:sz w:val="18"/>
          <w:szCs w:val="18"/>
        </w:rPr>
        <w:t>April</w:t>
      </w:r>
      <w:r w:rsidR="00D2617F">
        <w:rPr>
          <w:rFonts w:ascii="Verdana" w:hAnsi="Verdana" w:cs="Arial"/>
          <w:sz w:val="18"/>
          <w:szCs w:val="18"/>
        </w:rPr>
        <w:t xml:space="preserve"> 2024, the index recorded an increase of </w:t>
      </w:r>
      <w:r w:rsidR="00D64CB6">
        <w:rPr>
          <w:rFonts w:ascii="Verdana" w:hAnsi="Verdana" w:cs="Arial"/>
          <w:sz w:val="18"/>
          <w:szCs w:val="18"/>
        </w:rPr>
        <w:t>5,9</w:t>
      </w:r>
      <w:r w:rsidR="00D2617F">
        <w:rPr>
          <w:rFonts w:ascii="Verdana" w:hAnsi="Verdana" w:cs="Arial"/>
          <w:sz w:val="18"/>
          <w:szCs w:val="18"/>
        </w:rPr>
        <w:t>% compared to the corresponding period of the previous year.</w:t>
      </w:r>
    </w:p>
    <w:p w14:paraId="3481CFDF" w14:textId="77777777" w:rsidR="003D4B71" w:rsidRPr="002146EB" w:rsidRDefault="003D4B71" w:rsidP="003D4B71">
      <w:pPr>
        <w:jc w:val="both"/>
        <w:rPr>
          <w:rFonts w:ascii="Verdana" w:hAnsi="Verdana" w:cs="Arial"/>
        </w:rPr>
      </w:pPr>
    </w:p>
    <w:p w14:paraId="0611AAED" w14:textId="192A4365" w:rsidR="003D3ED7" w:rsidRDefault="00C736EC" w:rsidP="00534CCE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4CD0F5B2" wp14:editId="5E205358">
            <wp:extent cx="6066155" cy="4395470"/>
            <wp:effectExtent l="0" t="0" r="0" b="5080"/>
            <wp:docPr id="13663017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70629" w14:textId="77777777" w:rsidR="003D3ED7" w:rsidRDefault="003D3ED7" w:rsidP="003D3ED7">
      <w:pPr>
        <w:jc w:val="both"/>
        <w:rPr>
          <w:rFonts w:ascii="Verdana" w:hAnsi="Verdana" w:cs="Arial"/>
          <w:sz w:val="18"/>
          <w:szCs w:val="18"/>
        </w:rPr>
      </w:pPr>
    </w:p>
    <w:p w14:paraId="4A143859" w14:textId="77777777" w:rsidR="002146EB" w:rsidRDefault="002146EB" w:rsidP="003D3ED7">
      <w:pPr>
        <w:jc w:val="both"/>
        <w:rPr>
          <w:rFonts w:ascii="Verdana" w:hAnsi="Verdana" w:cs="Arial"/>
          <w:sz w:val="18"/>
          <w:szCs w:val="18"/>
        </w:rPr>
      </w:pPr>
    </w:p>
    <w:p w14:paraId="1D6CD871" w14:textId="07A5474A" w:rsidR="004C7321" w:rsidRPr="001743F5" w:rsidRDefault="00E34A6C" w:rsidP="00D64CB6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The</w:t>
      </w:r>
      <w:r w:rsidRPr="00445179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manufacturing sector registered a</w:t>
      </w:r>
      <w:r w:rsidR="00ED48E0">
        <w:rPr>
          <w:rFonts w:ascii="Verdana" w:hAnsi="Verdana" w:cs="Arial"/>
          <w:sz w:val="18"/>
          <w:szCs w:val="18"/>
        </w:rPr>
        <w:t>n</w:t>
      </w:r>
      <w:r w:rsidR="00F04B2A">
        <w:rPr>
          <w:rFonts w:ascii="Verdana" w:hAnsi="Verdana" w:cs="Arial"/>
          <w:sz w:val="18"/>
          <w:szCs w:val="18"/>
        </w:rPr>
        <w:t xml:space="preserve"> </w:t>
      </w:r>
      <w:r w:rsidR="00ED48E0">
        <w:rPr>
          <w:rFonts w:ascii="Verdana" w:hAnsi="Verdana" w:cs="Arial"/>
          <w:sz w:val="18"/>
          <w:szCs w:val="18"/>
        </w:rPr>
        <w:t>increase</w:t>
      </w:r>
      <w:r w:rsidR="00F04B2A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of </w:t>
      </w:r>
      <w:r w:rsidR="00D64CB6">
        <w:rPr>
          <w:rFonts w:ascii="Verdana" w:hAnsi="Verdana" w:cs="Arial"/>
          <w:sz w:val="18"/>
          <w:szCs w:val="18"/>
        </w:rPr>
        <w:t>7,</w:t>
      </w:r>
      <w:r w:rsidR="00C736EC" w:rsidRPr="00C736EC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 xml:space="preserve">% compared to </w:t>
      </w:r>
      <w:r w:rsidR="00D64CB6">
        <w:rPr>
          <w:rFonts w:ascii="Verdana" w:hAnsi="Verdana" w:cs="Arial"/>
          <w:sz w:val="18"/>
          <w:szCs w:val="18"/>
        </w:rPr>
        <w:t>April</w:t>
      </w:r>
      <w:r>
        <w:rPr>
          <w:rFonts w:ascii="Verdana" w:hAnsi="Verdana" w:cs="Arial"/>
          <w:sz w:val="18"/>
          <w:szCs w:val="18"/>
        </w:rPr>
        <w:t xml:space="preserve"> </w:t>
      </w:r>
      <w:r w:rsidR="00076547">
        <w:rPr>
          <w:rFonts w:ascii="Verdana" w:hAnsi="Verdana" w:cs="Arial"/>
          <w:sz w:val="18"/>
          <w:szCs w:val="18"/>
        </w:rPr>
        <w:t>202</w:t>
      </w:r>
      <w:r w:rsidR="003D4B71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 xml:space="preserve">. </w:t>
      </w:r>
      <w:r w:rsidR="004C7321">
        <w:rPr>
          <w:rFonts w:ascii="Verdana" w:hAnsi="Verdana" w:cs="Arial"/>
          <w:sz w:val="18"/>
          <w:szCs w:val="18"/>
        </w:rPr>
        <w:t xml:space="preserve">An increase was also observed in the sectors of </w:t>
      </w:r>
      <w:r w:rsidR="00D64CB6">
        <w:rPr>
          <w:rFonts w:ascii="Verdana" w:hAnsi="Verdana" w:cs="Arial"/>
          <w:sz w:val="18"/>
          <w:szCs w:val="18"/>
        </w:rPr>
        <w:t xml:space="preserve">mining and quarrying (+36,9%), </w:t>
      </w:r>
      <w:r w:rsidR="004C7321" w:rsidRPr="00F04B2A">
        <w:rPr>
          <w:rFonts w:ascii="Verdana" w:hAnsi="Verdana" w:cs="Arial"/>
          <w:sz w:val="18"/>
          <w:szCs w:val="18"/>
        </w:rPr>
        <w:t>water supply and materials recovery</w:t>
      </w:r>
      <w:r w:rsidR="004C7321">
        <w:rPr>
          <w:rFonts w:ascii="Verdana" w:hAnsi="Verdana" w:cs="Arial"/>
          <w:sz w:val="18"/>
          <w:szCs w:val="18"/>
        </w:rPr>
        <w:t xml:space="preserve"> (+</w:t>
      </w:r>
      <w:r w:rsidR="00D64CB6">
        <w:rPr>
          <w:rFonts w:ascii="Verdana" w:hAnsi="Verdana" w:cs="Arial"/>
          <w:sz w:val="18"/>
          <w:szCs w:val="18"/>
        </w:rPr>
        <w:t>31,2</w:t>
      </w:r>
      <w:r w:rsidR="004C7321">
        <w:rPr>
          <w:rFonts w:ascii="Verdana" w:hAnsi="Verdana" w:cs="Arial"/>
          <w:sz w:val="18"/>
          <w:szCs w:val="18"/>
        </w:rPr>
        <w:t>%)</w:t>
      </w:r>
      <w:r w:rsidR="00D64CB6">
        <w:rPr>
          <w:rFonts w:ascii="Verdana" w:hAnsi="Verdana" w:cs="Arial"/>
          <w:sz w:val="18"/>
          <w:szCs w:val="18"/>
        </w:rPr>
        <w:t xml:space="preserve"> and</w:t>
      </w:r>
      <w:r w:rsidR="004C7321">
        <w:rPr>
          <w:rFonts w:ascii="Verdana" w:hAnsi="Verdana" w:cs="Arial"/>
          <w:sz w:val="18"/>
          <w:szCs w:val="18"/>
        </w:rPr>
        <w:t xml:space="preserve"> </w:t>
      </w:r>
      <w:r w:rsidR="004C7321" w:rsidRPr="00D87FB0">
        <w:rPr>
          <w:rFonts w:ascii="Verdana" w:hAnsi="Verdana" w:cs="Arial"/>
          <w:sz w:val="18"/>
          <w:szCs w:val="18"/>
        </w:rPr>
        <w:t>electricity supply</w:t>
      </w:r>
      <w:r w:rsidR="004C7321">
        <w:rPr>
          <w:rFonts w:ascii="Verdana" w:hAnsi="Verdana" w:cs="Arial"/>
          <w:sz w:val="18"/>
          <w:szCs w:val="18"/>
        </w:rPr>
        <w:t xml:space="preserve"> (+</w:t>
      </w:r>
      <w:r w:rsidR="00D64CB6">
        <w:rPr>
          <w:rFonts w:ascii="Verdana" w:hAnsi="Verdana" w:cs="Arial"/>
          <w:sz w:val="18"/>
          <w:szCs w:val="18"/>
        </w:rPr>
        <w:t>2,1</w:t>
      </w:r>
      <w:r w:rsidR="004C7321">
        <w:rPr>
          <w:rFonts w:ascii="Verdana" w:hAnsi="Verdana" w:cs="Arial"/>
          <w:sz w:val="18"/>
          <w:szCs w:val="18"/>
        </w:rPr>
        <w:t xml:space="preserve">%). </w:t>
      </w:r>
    </w:p>
    <w:p w14:paraId="459928F1" w14:textId="73B82C6E" w:rsidR="00D2617F" w:rsidRDefault="00D2617F" w:rsidP="00D2617F">
      <w:pPr>
        <w:jc w:val="both"/>
        <w:rPr>
          <w:rFonts w:ascii="Verdana" w:hAnsi="Verdana" w:cs="Arial"/>
          <w:sz w:val="18"/>
          <w:szCs w:val="18"/>
        </w:rPr>
      </w:pPr>
    </w:p>
    <w:p w14:paraId="23C2192A" w14:textId="1FC478A6" w:rsidR="00DB4CB8" w:rsidRDefault="00DB4CB8" w:rsidP="00DB4CB8">
      <w:pPr>
        <w:jc w:val="both"/>
        <w:rPr>
          <w:rFonts w:ascii="Verdana" w:hAnsi="Verdana" w:cs="Arial"/>
          <w:sz w:val="18"/>
          <w:szCs w:val="18"/>
        </w:rPr>
      </w:pPr>
    </w:p>
    <w:p w14:paraId="7DD90BF4" w14:textId="2C1CBAA3" w:rsidR="00D64CB6" w:rsidRDefault="003D3ED7" w:rsidP="00F04B2A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In</w:t>
      </w:r>
      <w:r w:rsidRPr="001A7CE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the</w:t>
      </w:r>
      <w:r w:rsidRPr="001A7CE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manufacturing</w:t>
      </w:r>
      <w:r w:rsidRPr="001A7CE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sector</w:t>
      </w:r>
      <w:r w:rsidRPr="001A7CE6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 xml:space="preserve">the most significant positive changes compared to </w:t>
      </w:r>
      <w:r w:rsidR="00D64CB6">
        <w:rPr>
          <w:rFonts w:ascii="Verdana" w:hAnsi="Verdana" w:cs="Arial"/>
          <w:sz w:val="18"/>
          <w:szCs w:val="18"/>
        </w:rPr>
        <w:t>April</w:t>
      </w:r>
      <w:r>
        <w:rPr>
          <w:rFonts w:ascii="Verdana" w:hAnsi="Verdana" w:cs="Arial"/>
          <w:sz w:val="18"/>
          <w:szCs w:val="18"/>
        </w:rPr>
        <w:t xml:space="preserve"> </w:t>
      </w:r>
      <w:r w:rsidR="00076547">
        <w:rPr>
          <w:rFonts w:ascii="Verdana" w:hAnsi="Verdana" w:cs="Arial"/>
          <w:sz w:val="18"/>
          <w:szCs w:val="18"/>
        </w:rPr>
        <w:t>202</w:t>
      </w:r>
      <w:r w:rsidR="003D4B71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 xml:space="preserve"> were observed in the manufacturing</w:t>
      </w:r>
      <w:r w:rsidR="009C1FA9">
        <w:rPr>
          <w:rFonts w:ascii="Verdana" w:hAnsi="Verdana" w:cs="Arial"/>
          <w:sz w:val="18"/>
          <w:szCs w:val="18"/>
        </w:rPr>
        <w:t xml:space="preserve"> of</w:t>
      </w:r>
      <w:r w:rsidR="00D64CB6" w:rsidRPr="00D64CB6">
        <w:rPr>
          <w:rFonts w:ascii="Verdana" w:hAnsi="Verdana" w:cs="Arial"/>
          <w:sz w:val="18"/>
          <w:szCs w:val="18"/>
        </w:rPr>
        <w:t xml:space="preserve"> </w:t>
      </w:r>
      <w:r w:rsidR="00D64CB6">
        <w:rPr>
          <w:rFonts w:ascii="Verdana" w:hAnsi="Verdana" w:cs="Arial"/>
          <w:sz w:val="18"/>
          <w:szCs w:val="18"/>
        </w:rPr>
        <w:t>e</w:t>
      </w:r>
      <w:r w:rsidR="00D64CB6" w:rsidRPr="009C1FA9">
        <w:rPr>
          <w:rFonts w:ascii="Verdana" w:hAnsi="Verdana" w:cs="Arial"/>
          <w:sz w:val="18"/>
          <w:szCs w:val="18"/>
        </w:rPr>
        <w:t xml:space="preserve">lectronic and </w:t>
      </w:r>
      <w:r w:rsidR="00D64CB6">
        <w:rPr>
          <w:rFonts w:ascii="Verdana" w:hAnsi="Verdana" w:cs="Arial"/>
          <w:sz w:val="18"/>
          <w:szCs w:val="18"/>
        </w:rPr>
        <w:t>o</w:t>
      </w:r>
      <w:r w:rsidR="00D64CB6" w:rsidRPr="009C1FA9">
        <w:rPr>
          <w:rFonts w:ascii="Verdana" w:hAnsi="Verdana" w:cs="Arial"/>
          <w:sz w:val="18"/>
          <w:szCs w:val="18"/>
        </w:rPr>
        <w:t xml:space="preserve">ptical </w:t>
      </w:r>
      <w:r w:rsidR="00D64CB6">
        <w:rPr>
          <w:rFonts w:ascii="Verdana" w:hAnsi="Verdana" w:cs="Arial"/>
          <w:sz w:val="18"/>
          <w:szCs w:val="18"/>
        </w:rPr>
        <w:t>p</w:t>
      </w:r>
      <w:r w:rsidR="00D64CB6" w:rsidRPr="009C1FA9">
        <w:rPr>
          <w:rFonts w:ascii="Verdana" w:hAnsi="Verdana" w:cs="Arial"/>
          <w:sz w:val="18"/>
          <w:szCs w:val="18"/>
        </w:rPr>
        <w:t xml:space="preserve">roducts and </w:t>
      </w:r>
      <w:r w:rsidR="00D64CB6">
        <w:rPr>
          <w:rFonts w:ascii="Verdana" w:hAnsi="Verdana" w:cs="Arial"/>
          <w:sz w:val="18"/>
          <w:szCs w:val="18"/>
        </w:rPr>
        <w:t>e</w:t>
      </w:r>
      <w:r w:rsidR="00D64CB6" w:rsidRPr="009C1FA9">
        <w:rPr>
          <w:rFonts w:ascii="Verdana" w:hAnsi="Verdana" w:cs="Arial"/>
          <w:sz w:val="18"/>
          <w:szCs w:val="18"/>
        </w:rPr>
        <w:t xml:space="preserve">lectrical </w:t>
      </w:r>
      <w:r w:rsidR="00D64CB6">
        <w:rPr>
          <w:rFonts w:ascii="Verdana" w:hAnsi="Verdana" w:cs="Arial"/>
          <w:sz w:val="18"/>
          <w:szCs w:val="18"/>
        </w:rPr>
        <w:t>e</w:t>
      </w:r>
      <w:r w:rsidR="00D64CB6" w:rsidRPr="009C1FA9">
        <w:rPr>
          <w:rFonts w:ascii="Verdana" w:hAnsi="Verdana" w:cs="Arial"/>
          <w:sz w:val="18"/>
          <w:szCs w:val="18"/>
        </w:rPr>
        <w:t>quipment</w:t>
      </w:r>
      <w:r w:rsidR="00D64CB6">
        <w:rPr>
          <w:rFonts w:ascii="Verdana" w:hAnsi="Verdana" w:cs="Arial"/>
          <w:sz w:val="18"/>
          <w:szCs w:val="18"/>
        </w:rPr>
        <w:t xml:space="preserve"> (+21,3%), m</w:t>
      </w:r>
      <w:r w:rsidR="00D64CB6" w:rsidRPr="00D64CB6">
        <w:rPr>
          <w:rFonts w:ascii="Verdana" w:hAnsi="Verdana" w:cs="Arial"/>
          <w:sz w:val="18"/>
          <w:szCs w:val="18"/>
        </w:rPr>
        <w:t xml:space="preserve">achinery and </w:t>
      </w:r>
      <w:r w:rsidR="00D64CB6">
        <w:rPr>
          <w:rFonts w:ascii="Verdana" w:hAnsi="Verdana" w:cs="Arial"/>
          <w:sz w:val="18"/>
          <w:szCs w:val="18"/>
        </w:rPr>
        <w:t>e</w:t>
      </w:r>
      <w:r w:rsidR="00D64CB6" w:rsidRPr="00D64CB6">
        <w:rPr>
          <w:rFonts w:ascii="Verdana" w:hAnsi="Verdana" w:cs="Arial"/>
          <w:sz w:val="18"/>
          <w:szCs w:val="18"/>
        </w:rPr>
        <w:t xml:space="preserve">quipment, </w:t>
      </w:r>
      <w:r w:rsidR="00D64CB6">
        <w:rPr>
          <w:rFonts w:ascii="Verdana" w:hAnsi="Verdana" w:cs="Arial"/>
          <w:sz w:val="18"/>
          <w:szCs w:val="18"/>
        </w:rPr>
        <w:t>m</w:t>
      </w:r>
      <w:r w:rsidR="00D64CB6" w:rsidRPr="00D64CB6">
        <w:rPr>
          <w:rFonts w:ascii="Verdana" w:hAnsi="Verdana" w:cs="Arial"/>
          <w:sz w:val="18"/>
          <w:szCs w:val="18"/>
        </w:rPr>
        <w:t xml:space="preserve">otor </w:t>
      </w:r>
      <w:r w:rsidR="00D64CB6">
        <w:rPr>
          <w:rFonts w:ascii="Verdana" w:hAnsi="Verdana" w:cs="Arial"/>
          <w:sz w:val="18"/>
          <w:szCs w:val="18"/>
        </w:rPr>
        <w:t>v</w:t>
      </w:r>
      <w:r w:rsidR="00D64CB6" w:rsidRPr="00D64CB6">
        <w:rPr>
          <w:rFonts w:ascii="Verdana" w:hAnsi="Verdana" w:cs="Arial"/>
          <w:sz w:val="18"/>
          <w:szCs w:val="18"/>
        </w:rPr>
        <w:t xml:space="preserve">ehicles and </w:t>
      </w:r>
      <w:r w:rsidR="00D64CB6">
        <w:rPr>
          <w:rFonts w:ascii="Verdana" w:hAnsi="Verdana" w:cs="Arial"/>
          <w:sz w:val="18"/>
          <w:szCs w:val="18"/>
        </w:rPr>
        <w:t>o</w:t>
      </w:r>
      <w:r w:rsidR="00D64CB6" w:rsidRPr="00D64CB6">
        <w:rPr>
          <w:rFonts w:ascii="Verdana" w:hAnsi="Verdana" w:cs="Arial"/>
          <w:sz w:val="18"/>
          <w:szCs w:val="18"/>
        </w:rPr>
        <w:t xml:space="preserve">ther </w:t>
      </w:r>
      <w:r w:rsidR="00D64CB6">
        <w:rPr>
          <w:rFonts w:ascii="Verdana" w:hAnsi="Verdana" w:cs="Arial"/>
          <w:sz w:val="18"/>
          <w:szCs w:val="18"/>
        </w:rPr>
        <w:t>t</w:t>
      </w:r>
      <w:r w:rsidR="00D64CB6" w:rsidRPr="00D64CB6">
        <w:rPr>
          <w:rFonts w:ascii="Verdana" w:hAnsi="Verdana" w:cs="Arial"/>
          <w:sz w:val="18"/>
          <w:szCs w:val="18"/>
        </w:rPr>
        <w:t xml:space="preserve">ransport </w:t>
      </w:r>
      <w:r w:rsidR="00D64CB6">
        <w:rPr>
          <w:rFonts w:ascii="Verdana" w:hAnsi="Verdana" w:cs="Arial"/>
          <w:sz w:val="18"/>
          <w:szCs w:val="18"/>
        </w:rPr>
        <w:t>e</w:t>
      </w:r>
      <w:r w:rsidR="00D64CB6" w:rsidRPr="00D64CB6">
        <w:rPr>
          <w:rFonts w:ascii="Verdana" w:hAnsi="Verdana" w:cs="Arial"/>
          <w:sz w:val="18"/>
          <w:szCs w:val="18"/>
        </w:rPr>
        <w:t>quipment</w:t>
      </w:r>
      <w:r w:rsidR="00D64CB6">
        <w:rPr>
          <w:rFonts w:ascii="Verdana" w:hAnsi="Verdana" w:cs="Arial"/>
          <w:sz w:val="18"/>
          <w:szCs w:val="18"/>
        </w:rPr>
        <w:t xml:space="preserve"> (+19,1%),</w:t>
      </w:r>
      <w:r w:rsidR="00D64CB6" w:rsidRPr="00D64CB6">
        <w:rPr>
          <w:rFonts w:ascii="Verdana" w:hAnsi="Verdana" w:cs="Arial"/>
          <w:sz w:val="18"/>
          <w:szCs w:val="18"/>
        </w:rPr>
        <w:t xml:space="preserve"> </w:t>
      </w:r>
      <w:r w:rsidR="00D64CB6">
        <w:rPr>
          <w:rFonts w:ascii="Verdana" w:hAnsi="Verdana" w:cs="Arial"/>
          <w:sz w:val="18"/>
          <w:szCs w:val="18"/>
        </w:rPr>
        <w:t>basic</w:t>
      </w:r>
      <w:r w:rsidR="00D64CB6" w:rsidRPr="003D4B71">
        <w:rPr>
          <w:rFonts w:ascii="Verdana" w:hAnsi="Verdana" w:cs="Arial"/>
          <w:sz w:val="18"/>
          <w:szCs w:val="18"/>
        </w:rPr>
        <w:t xml:space="preserve"> </w:t>
      </w:r>
      <w:r w:rsidR="00D64CB6">
        <w:rPr>
          <w:rFonts w:ascii="Verdana" w:hAnsi="Verdana" w:cs="Arial"/>
          <w:sz w:val="18"/>
          <w:szCs w:val="18"/>
        </w:rPr>
        <w:t>m</w:t>
      </w:r>
      <w:r w:rsidR="00D64CB6" w:rsidRPr="003D4B71">
        <w:rPr>
          <w:rFonts w:ascii="Verdana" w:hAnsi="Verdana" w:cs="Arial"/>
          <w:sz w:val="18"/>
          <w:szCs w:val="18"/>
        </w:rPr>
        <w:t xml:space="preserve">etals and </w:t>
      </w:r>
      <w:r w:rsidR="00D64CB6">
        <w:rPr>
          <w:rFonts w:ascii="Verdana" w:hAnsi="Verdana" w:cs="Arial"/>
          <w:sz w:val="18"/>
          <w:szCs w:val="18"/>
        </w:rPr>
        <w:t>f</w:t>
      </w:r>
      <w:r w:rsidR="00D64CB6" w:rsidRPr="003D4B71">
        <w:rPr>
          <w:rFonts w:ascii="Verdana" w:hAnsi="Verdana" w:cs="Arial"/>
          <w:sz w:val="18"/>
          <w:szCs w:val="18"/>
        </w:rPr>
        <w:t xml:space="preserve">abricated </w:t>
      </w:r>
      <w:r w:rsidR="00D64CB6">
        <w:rPr>
          <w:rFonts w:ascii="Verdana" w:hAnsi="Verdana" w:cs="Arial"/>
          <w:sz w:val="18"/>
          <w:szCs w:val="18"/>
        </w:rPr>
        <w:t>m</w:t>
      </w:r>
      <w:r w:rsidR="00D64CB6" w:rsidRPr="003D4B71">
        <w:rPr>
          <w:rFonts w:ascii="Verdana" w:hAnsi="Verdana" w:cs="Arial"/>
          <w:sz w:val="18"/>
          <w:szCs w:val="18"/>
        </w:rPr>
        <w:t xml:space="preserve">etal </w:t>
      </w:r>
      <w:r w:rsidR="00D64CB6">
        <w:rPr>
          <w:rFonts w:ascii="Verdana" w:hAnsi="Verdana" w:cs="Arial"/>
          <w:sz w:val="18"/>
          <w:szCs w:val="18"/>
        </w:rPr>
        <w:t>p</w:t>
      </w:r>
      <w:r w:rsidR="00D64CB6" w:rsidRPr="003D4B71">
        <w:rPr>
          <w:rFonts w:ascii="Verdana" w:hAnsi="Verdana" w:cs="Arial"/>
          <w:sz w:val="18"/>
          <w:szCs w:val="18"/>
        </w:rPr>
        <w:t>roducts</w:t>
      </w:r>
      <w:r w:rsidR="00D64CB6">
        <w:rPr>
          <w:rFonts w:ascii="Verdana" w:hAnsi="Verdana" w:cs="Arial"/>
          <w:sz w:val="18"/>
          <w:szCs w:val="18"/>
        </w:rPr>
        <w:t xml:space="preserve"> (+16,6%),</w:t>
      </w:r>
      <w:r w:rsidR="00D64CB6" w:rsidRPr="00D64CB6">
        <w:rPr>
          <w:rFonts w:ascii="Verdana" w:hAnsi="Verdana" w:cs="Arial"/>
          <w:sz w:val="18"/>
          <w:szCs w:val="18"/>
        </w:rPr>
        <w:t xml:space="preserve"> </w:t>
      </w:r>
      <w:r w:rsidR="00D64CB6" w:rsidRPr="00D2617F">
        <w:rPr>
          <w:rFonts w:ascii="Verdana" w:hAnsi="Verdana" w:cs="Arial"/>
          <w:sz w:val="18"/>
          <w:szCs w:val="18"/>
        </w:rPr>
        <w:t>furniture and repair/installation of machinery and equipment</w:t>
      </w:r>
      <w:r w:rsidR="00D64CB6">
        <w:rPr>
          <w:rFonts w:ascii="Verdana" w:hAnsi="Verdana" w:cs="Arial"/>
          <w:sz w:val="18"/>
          <w:szCs w:val="18"/>
        </w:rPr>
        <w:t xml:space="preserve"> (+13,3%), r</w:t>
      </w:r>
      <w:r w:rsidR="00D64CB6" w:rsidRPr="00D64CB6">
        <w:rPr>
          <w:rFonts w:ascii="Verdana" w:hAnsi="Verdana" w:cs="Arial"/>
          <w:sz w:val="18"/>
          <w:szCs w:val="18"/>
        </w:rPr>
        <w:t xml:space="preserve">ubber and </w:t>
      </w:r>
      <w:r w:rsidR="00D64CB6">
        <w:rPr>
          <w:rFonts w:ascii="Verdana" w:hAnsi="Verdana" w:cs="Arial"/>
          <w:sz w:val="18"/>
          <w:szCs w:val="18"/>
        </w:rPr>
        <w:t>p</w:t>
      </w:r>
      <w:r w:rsidR="00D64CB6" w:rsidRPr="00D64CB6">
        <w:rPr>
          <w:rFonts w:ascii="Verdana" w:hAnsi="Verdana" w:cs="Arial"/>
          <w:sz w:val="18"/>
          <w:szCs w:val="18"/>
        </w:rPr>
        <w:t xml:space="preserve">lastic </w:t>
      </w:r>
      <w:r w:rsidR="00D64CB6">
        <w:rPr>
          <w:rFonts w:ascii="Verdana" w:hAnsi="Verdana" w:cs="Arial"/>
          <w:sz w:val="18"/>
          <w:szCs w:val="18"/>
        </w:rPr>
        <w:t>p</w:t>
      </w:r>
      <w:r w:rsidR="00D64CB6" w:rsidRPr="00D64CB6">
        <w:rPr>
          <w:rFonts w:ascii="Verdana" w:hAnsi="Verdana" w:cs="Arial"/>
          <w:sz w:val="18"/>
          <w:szCs w:val="18"/>
        </w:rPr>
        <w:t>roducts</w:t>
      </w:r>
      <w:r w:rsidR="00D64CB6">
        <w:rPr>
          <w:rFonts w:ascii="Verdana" w:hAnsi="Verdana" w:cs="Arial"/>
          <w:sz w:val="18"/>
          <w:szCs w:val="18"/>
        </w:rPr>
        <w:t xml:space="preserve"> (+8,0%) and w</w:t>
      </w:r>
      <w:r w:rsidR="00D64CB6" w:rsidRPr="00D64CB6">
        <w:rPr>
          <w:rFonts w:ascii="Verdana" w:hAnsi="Verdana" w:cs="Arial"/>
          <w:sz w:val="18"/>
          <w:szCs w:val="18"/>
        </w:rPr>
        <w:t xml:space="preserve">ood and </w:t>
      </w:r>
      <w:r w:rsidR="00D64CB6">
        <w:rPr>
          <w:rFonts w:ascii="Verdana" w:hAnsi="Verdana" w:cs="Arial"/>
          <w:sz w:val="18"/>
          <w:szCs w:val="18"/>
        </w:rPr>
        <w:t>p</w:t>
      </w:r>
      <w:r w:rsidR="00D64CB6" w:rsidRPr="00D64CB6">
        <w:rPr>
          <w:rFonts w:ascii="Verdana" w:hAnsi="Verdana" w:cs="Arial"/>
          <w:sz w:val="18"/>
          <w:szCs w:val="18"/>
        </w:rPr>
        <w:t xml:space="preserve">roducts of </w:t>
      </w:r>
      <w:r w:rsidR="00D64CB6">
        <w:rPr>
          <w:rFonts w:ascii="Verdana" w:hAnsi="Verdana" w:cs="Arial"/>
          <w:sz w:val="18"/>
          <w:szCs w:val="18"/>
        </w:rPr>
        <w:t>w</w:t>
      </w:r>
      <w:r w:rsidR="00D64CB6" w:rsidRPr="00D64CB6">
        <w:rPr>
          <w:rFonts w:ascii="Verdana" w:hAnsi="Verdana" w:cs="Arial"/>
          <w:sz w:val="18"/>
          <w:szCs w:val="18"/>
        </w:rPr>
        <w:t xml:space="preserve">ood and </w:t>
      </w:r>
      <w:r w:rsidR="00D64CB6">
        <w:rPr>
          <w:rFonts w:ascii="Verdana" w:hAnsi="Verdana" w:cs="Arial"/>
          <w:sz w:val="18"/>
          <w:szCs w:val="18"/>
        </w:rPr>
        <w:t>c</w:t>
      </w:r>
      <w:r w:rsidR="00D64CB6" w:rsidRPr="00D64CB6">
        <w:rPr>
          <w:rFonts w:ascii="Verdana" w:hAnsi="Verdana" w:cs="Arial"/>
          <w:sz w:val="18"/>
          <w:szCs w:val="18"/>
        </w:rPr>
        <w:t xml:space="preserve">ork, except </w:t>
      </w:r>
      <w:r w:rsidR="00D64CB6">
        <w:rPr>
          <w:rFonts w:ascii="Verdana" w:hAnsi="Verdana" w:cs="Arial"/>
          <w:sz w:val="18"/>
          <w:szCs w:val="18"/>
        </w:rPr>
        <w:t>f</w:t>
      </w:r>
      <w:r w:rsidR="00D64CB6" w:rsidRPr="00D64CB6">
        <w:rPr>
          <w:rFonts w:ascii="Verdana" w:hAnsi="Verdana" w:cs="Arial"/>
          <w:sz w:val="18"/>
          <w:szCs w:val="18"/>
        </w:rPr>
        <w:t>urniture</w:t>
      </w:r>
      <w:r w:rsidR="00D64CB6">
        <w:rPr>
          <w:rFonts w:ascii="Verdana" w:hAnsi="Verdana" w:cs="Arial"/>
          <w:sz w:val="18"/>
          <w:szCs w:val="18"/>
        </w:rPr>
        <w:t xml:space="preserve"> (+7,8%).</w:t>
      </w:r>
    </w:p>
    <w:p w14:paraId="1ABDB048" w14:textId="77777777" w:rsidR="00D64CB6" w:rsidRDefault="00D64CB6" w:rsidP="00F04B2A">
      <w:pPr>
        <w:jc w:val="both"/>
        <w:rPr>
          <w:rFonts w:ascii="Verdana" w:hAnsi="Verdana" w:cs="Arial"/>
          <w:sz w:val="18"/>
          <w:szCs w:val="18"/>
        </w:rPr>
      </w:pPr>
    </w:p>
    <w:p w14:paraId="17ED07C7" w14:textId="77777777" w:rsidR="00527D9B" w:rsidRDefault="00527D9B" w:rsidP="00F04B2A">
      <w:pPr>
        <w:jc w:val="both"/>
        <w:rPr>
          <w:rFonts w:ascii="Verdana" w:hAnsi="Verdana" w:cs="Arial"/>
          <w:sz w:val="18"/>
          <w:szCs w:val="18"/>
        </w:rPr>
      </w:pPr>
    </w:p>
    <w:p w14:paraId="66568F96" w14:textId="77777777" w:rsidR="00DB4CB8" w:rsidRPr="007407B5" w:rsidRDefault="00DB4CB8" w:rsidP="00F04B2A">
      <w:pPr>
        <w:jc w:val="both"/>
        <w:rPr>
          <w:rFonts w:ascii="Verdana" w:hAnsi="Verdana" w:cs="Arial"/>
          <w:sz w:val="18"/>
          <w:szCs w:val="18"/>
        </w:rPr>
      </w:pPr>
    </w:p>
    <w:p w14:paraId="0A0D1039" w14:textId="56382C7F" w:rsidR="003D3ED7" w:rsidRDefault="00C736EC" w:rsidP="00906152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0405F971" wp14:editId="5970C4BB">
            <wp:extent cx="6090285" cy="7395210"/>
            <wp:effectExtent l="0" t="0" r="5715" b="0"/>
            <wp:docPr id="972671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739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AB686" w14:textId="77777777" w:rsidR="007967F7" w:rsidRDefault="007967F7" w:rsidP="001459CA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8B00A3" w14:textId="77777777" w:rsidR="00D44FAF" w:rsidRDefault="00D44FAF" w:rsidP="001459CA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82B00BD" w14:textId="528146AB" w:rsidR="00D64CB6" w:rsidRPr="00D64CB6" w:rsidRDefault="00054D12" w:rsidP="00054D12">
      <w:pPr>
        <w:jc w:val="both"/>
        <w:rPr>
          <w:rFonts w:ascii="Verdana" w:eastAsia="Malgun Gothic" w:hAnsi="Verdana" w:cs="Arial"/>
          <w:b/>
          <w:bCs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C</w:t>
      </w:r>
      <w:r w:rsidRPr="001F7890">
        <w:rPr>
          <w:rFonts w:ascii="Verdana" w:eastAsia="Malgun Gothic" w:hAnsi="Verdana" w:cs="Arial"/>
          <w:sz w:val="18"/>
          <w:szCs w:val="18"/>
        </w:rPr>
        <w:t xml:space="preserve">omparing the rates of change for the period January – </w:t>
      </w:r>
      <w:r w:rsidR="00D64CB6">
        <w:rPr>
          <w:rFonts w:ascii="Verdana" w:eastAsia="Malgun Gothic" w:hAnsi="Verdana" w:cs="Arial"/>
          <w:sz w:val="18"/>
          <w:szCs w:val="18"/>
        </w:rPr>
        <w:t>April</w:t>
      </w:r>
      <w:r w:rsidRPr="001F7890">
        <w:rPr>
          <w:rFonts w:ascii="Verdana" w:eastAsia="Malgun Gothic" w:hAnsi="Verdana" w:cs="Arial"/>
          <w:sz w:val="18"/>
          <w:szCs w:val="18"/>
        </w:rPr>
        <w:t xml:space="preserve"> 202</w:t>
      </w:r>
      <w:r>
        <w:rPr>
          <w:rFonts w:ascii="Verdana" w:eastAsia="Malgun Gothic" w:hAnsi="Verdana" w:cs="Arial"/>
          <w:sz w:val="18"/>
          <w:szCs w:val="18"/>
        </w:rPr>
        <w:t>4</w:t>
      </w:r>
      <w:r w:rsidRPr="001F7890">
        <w:rPr>
          <w:rFonts w:ascii="Verdana" w:eastAsia="Malgun Gothic" w:hAnsi="Verdana" w:cs="Arial"/>
          <w:sz w:val="18"/>
          <w:szCs w:val="18"/>
        </w:rPr>
        <w:t xml:space="preserve"> against the corresponding period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1F7890">
        <w:rPr>
          <w:rFonts w:ascii="Verdana" w:eastAsia="Malgun Gothic" w:hAnsi="Verdana" w:cs="Arial"/>
          <w:sz w:val="18"/>
          <w:szCs w:val="18"/>
        </w:rPr>
        <w:t xml:space="preserve">of the previous year, the most significant </w:t>
      </w:r>
      <w:r>
        <w:rPr>
          <w:rFonts w:ascii="Verdana" w:eastAsia="Malgun Gothic" w:hAnsi="Verdana" w:cs="Arial"/>
          <w:sz w:val="18"/>
          <w:szCs w:val="18"/>
        </w:rPr>
        <w:t>positive changes were observed in water collection, treatment and supply (+</w:t>
      </w:r>
      <w:r w:rsidR="00D64CB6">
        <w:rPr>
          <w:rFonts w:ascii="Verdana" w:eastAsia="Malgun Gothic" w:hAnsi="Verdana" w:cs="Arial"/>
          <w:sz w:val="18"/>
          <w:szCs w:val="18"/>
        </w:rPr>
        <w:t>47,6</w:t>
      </w:r>
      <w:r>
        <w:rPr>
          <w:rFonts w:ascii="Verdana" w:eastAsia="Malgun Gothic" w:hAnsi="Verdana" w:cs="Arial"/>
          <w:sz w:val="18"/>
          <w:szCs w:val="18"/>
        </w:rPr>
        <w:t>%),</w:t>
      </w:r>
      <w:r w:rsidR="00D64CB6" w:rsidRPr="00D64CB6">
        <w:rPr>
          <w:rFonts w:ascii="Verdana" w:eastAsia="Malgun Gothic" w:hAnsi="Verdana" w:cs="Arial"/>
          <w:sz w:val="18"/>
          <w:szCs w:val="18"/>
        </w:rPr>
        <w:t xml:space="preserve"> </w:t>
      </w:r>
      <w:r w:rsidR="00D64CB6">
        <w:rPr>
          <w:rFonts w:ascii="Verdana" w:eastAsia="Malgun Gothic" w:hAnsi="Verdana" w:cs="Arial"/>
          <w:sz w:val="18"/>
          <w:szCs w:val="18"/>
        </w:rPr>
        <w:t>mining and quarrying (+19,1%),</w:t>
      </w:r>
      <w:r w:rsidR="00D64CB6" w:rsidRPr="00D64CB6">
        <w:rPr>
          <w:rFonts w:ascii="Verdana" w:eastAsia="Malgun Gothic" w:hAnsi="Verdana" w:cs="Arial"/>
          <w:sz w:val="18"/>
          <w:szCs w:val="18"/>
        </w:rPr>
        <w:t xml:space="preserve"> </w:t>
      </w:r>
      <w:r w:rsidR="00D64CB6">
        <w:rPr>
          <w:rFonts w:ascii="Verdana" w:eastAsia="Malgun Gothic" w:hAnsi="Verdana" w:cs="Arial"/>
          <w:sz w:val="18"/>
          <w:szCs w:val="18"/>
        </w:rPr>
        <w:t xml:space="preserve">the manufacturing of </w:t>
      </w:r>
      <w:r w:rsidR="00D64CB6">
        <w:rPr>
          <w:rFonts w:ascii="Verdana" w:hAnsi="Verdana" w:cs="Arial"/>
          <w:sz w:val="18"/>
          <w:szCs w:val="18"/>
        </w:rPr>
        <w:t>e</w:t>
      </w:r>
      <w:r w:rsidR="00D64CB6" w:rsidRPr="009C1FA9">
        <w:rPr>
          <w:rFonts w:ascii="Verdana" w:hAnsi="Verdana" w:cs="Arial"/>
          <w:sz w:val="18"/>
          <w:szCs w:val="18"/>
        </w:rPr>
        <w:t xml:space="preserve">lectronic and </w:t>
      </w:r>
      <w:r w:rsidR="00D64CB6">
        <w:rPr>
          <w:rFonts w:ascii="Verdana" w:hAnsi="Verdana" w:cs="Arial"/>
          <w:sz w:val="18"/>
          <w:szCs w:val="18"/>
        </w:rPr>
        <w:t>o</w:t>
      </w:r>
      <w:r w:rsidR="00D64CB6" w:rsidRPr="009C1FA9">
        <w:rPr>
          <w:rFonts w:ascii="Verdana" w:hAnsi="Verdana" w:cs="Arial"/>
          <w:sz w:val="18"/>
          <w:szCs w:val="18"/>
        </w:rPr>
        <w:t xml:space="preserve">ptical </w:t>
      </w:r>
      <w:r w:rsidR="00D64CB6">
        <w:rPr>
          <w:rFonts w:ascii="Verdana" w:hAnsi="Verdana" w:cs="Arial"/>
          <w:sz w:val="18"/>
          <w:szCs w:val="18"/>
        </w:rPr>
        <w:t>p</w:t>
      </w:r>
      <w:r w:rsidR="00D64CB6" w:rsidRPr="009C1FA9">
        <w:rPr>
          <w:rFonts w:ascii="Verdana" w:hAnsi="Verdana" w:cs="Arial"/>
          <w:sz w:val="18"/>
          <w:szCs w:val="18"/>
        </w:rPr>
        <w:t xml:space="preserve">roducts and </w:t>
      </w:r>
      <w:r w:rsidR="00D64CB6">
        <w:rPr>
          <w:rFonts w:ascii="Verdana" w:hAnsi="Verdana" w:cs="Arial"/>
          <w:sz w:val="18"/>
          <w:szCs w:val="18"/>
        </w:rPr>
        <w:t>e</w:t>
      </w:r>
      <w:r w:rsidR="00D64CB6" w:rsidRPr="009C1FA9">
        <w:rPr>
          <w:rFonts w:ascii="Verdana" w:hAnsi="Verdana" w:cs="Arial"/>
          <w:sz w:val="18"/>
          <w:szCs w:val="18"/>
        </w:rPr>
        <w:t xml:space="preserve">lectrical </w:t>
      </w:r>
      <w:r w:rsidR="00D64CB6">
        <w:rPr>
          <w:rFonts w:ascii="Verdana" w:hAnsi="Verdana" w:cs="Arial"/>
          <w:sz w:val="18"/>
          <w:szCs w:val="18"/>
        </w:rPr>
        <w:t>e</w:t>
      </w:r>
      <w:r w:rsidR="00D64CB6" w:rsidRPr="009C1FA9">
        <w:rPr>
          <w:rFonts w:ascii="Verdana" w:hAnsi="Verdana" w:cs="Arial"/>
          <w:sz w:val="18"/>
          <w:szCs w:val="18"/>
        </w:rPr>
        <w:t>quipment</w:t>
      </w:r>
      <w:r w:rsidR="00D64CB6">
        <w:rPr>
          <w:rFonts w:ascii="Verdana" w:hAnsi="Verdana" w:cs="Arial"/>
          <w:sz w:val="18"/>
          <w:szCs w:val="18"/>
        </w:rPr>
        <w:t xml:space="preserve"> (+17,7%),</w:t>
      </w:r>
      <w:r w:rsidR="00D64CB6" w:rsidRPr="00D64CB6">
        <w:rPr>
          <w:rFonts w:ascii="Verdana" w:eastAsia="Malgun Gothic" w:hAnsi="Verdana" w:cs="Arial"/>
          <w:sz w:val="18"/>
          <w:szCs w:val="18"/>
        </w:rPr>
        <w:t xml:space="preserve"> </w:t>
      </w:r>
      <w:r w:rsidR="00D64CB6">
        <w:rPr>
          <w:rFonts w:ascii="Verdana" w:eastAsia="Malgun Gothic" w:hAnsi="Verdana" w:cs="Arial"/>
          <w:sz w:val="18"/>
          <w:szCs w:val="18"/>
        </w:rPr>
        <w:t>materials recovery (+16,7%),</w:t>
      </w:r>
      <w:r w:rsidR="00D64CB6" w:rsidRPr="00D64CB6">
        <w:rPr>
          <w:rFonts w:ascii="Verdana" w:eastAsia="Malgun Gothic" w:hAnsi="Verdana" w:cs="Arial"/>
          <w:sz w:val="18"/>
          <w:szCs w:val="18"/>
        </w:rPr>
        <w:t xml:space="preserve"> </w:t>
      </w:r>
      <w:r w:rsidR="00D64CB6">
        <w:rPr>
          <w:rFonts w:ascii="Verdana" w:eastAsia="Malgun Gothic" w:hAnsi="Verdana" w:cs="Arial"/>
          <w:sz w:val="18"/>
          <w:szCs w:val="18"/>
        </w:rPr>
        <w:t>the manufacturing of b</w:t>
      </w:r>
      <w:r w:rsidR="00D64CB6" w:rsidRPr="003E31C7">
        <w:rPr>
          <w:rFonts w:ascii="Verdana" w:eastAsia="Malgun Gothic" w:hAnsi="Verdana" w:cs="Arial"/>
          <w:sz w:val="18"/>
          <w:szCs w:val="18"/>
        </w:rPr>
        <w:t xml:space="preserve">asic </w:t>
      </w:r>
      <w:r w:rsidR="00D64CB6">
        <w:rPr>
          <w:rFonts w:ascii="Verdana" w:eastAsia="Malgun Gothic" w:hAnsi="Verdana" w:cs="Arial"/>
          <w:sz w:val="18"/>
          <w:szCs w:val="18"/>
        </w:rPr>
        <w:t>m</w:t>
      </w:r>
      <w:r w:rsidR="00D64CB6" w:rsidRPr="003E31C7">
        <w:rPr>
          <w:rFonts w:ascii="Verdana" w:eastAsia="Malgun Gothic" w:hAnsi="Verdana" w:cs="Arial"/>
          <w:sz w:val="18"/>
          <w:szCs w:val="18"/>
        </w:rPr>
        <w:t xml:space="preserve">etals and </w:t>
      </w:r>
      <w:r w:rsidR="00D64CB6">
        <w:rPr>
          <w:rFonts w:ascii="Verdana" w:eastAsia="Malgun Gothic" w:hAnsi="Verdana" w:cs="Arial"/>
          <w:sz w:val="18"/>
          <w:szCs w:val="18"/>
        </w:rPr>
        <w:t>f</w:t>
      </w:r>
      <w:r w:rsidR="00D64CB6" w:rsidRPr="003E31C7">
        <w:rPr>
          <w:rFonts w:ascii="Verdana" w:eastAsia="Malgun Gothic" w:hAnsi="Verdana" w:cs="Arial"/>
          <w:sz w:val="18"/>
          <w:szCs w:val="18"/>
        </w:rPr>
        <w:t xml:space="preserve">abricated </w:t>
      </w:r>
      <w:r w:rsidR="00D64CB6">
        <w:rPr>
          <w:rFonts w:ascii="Verdana" w:eastAsia="Malgun Gothic" w:hAnsi="Verdana" w:cs="Arial"/>
          <w:sz w:val="18"/>
          <w:szCs w:val="18"/>
        </w:rPr>
        <w:t>m</w:t>
      </w:r>
      <w:r w:rsidR="00D64CB6" w:rsidRPr="003E31C7">
        <w:rPr>
          <w:rFonts w:ascii="Verdana" w:eastAsia="Malgun Gothic" w:hAnsi="Verdana" w:cs="Arial"/>
          <w:sz w:val="18"/>
          <w:szCs w:val="18"/>
        </w:rPr>
        <w:t xml:space="preserve">etal </w:t>
      </w:r>
      <w:r w:rsidR="00D64CB6">
        <w:rPr>
          <w:rFonts w:ascii="Verdana" w:eastAsia="Malgun Gothic" w:hAnsi="Verdana" w:cs="Arial"/>
          <w:sz w:val="18"/>
          <w:szCs w:val="18"/>
        </w:rPr>
        <w:t>p</w:t>
      </w:r>
      <w:r w:rsidR="00D64CB6" w:rsidRPr="003E31C7">
        <w:rPr>
          <w:rFonts w:ascii="Verdana" w:eastAsia="Malgun Gothic" w:hAnsi="Verdana" w:cs="Arial"/>
          <w:sz w:val="18"/>
          <w:szCs w:val="18"/>
        </w:rPr>
        <w:t>roducts</w:t>
      </w:r>
      <w:r w:rsidR="00D64CB6">
        <w:rPr>
          <w:rFonts w:ascii="Verdana" w:eastAsia="Malgun Gothic" w:hAnsi="Verdana" w:cs="Arial"/>
          <w:sz w:val="18"/>
          <w:szCs w:val="18"/>
        </w:rPr>
        <w:t xml:space="preserve"> (+15,8%), </w:t>
      </w:r>
      <w:r w:rsidR="000F7EBB">
        <w:rPr>
          <w:rFonts w:ascii="Verdana" w:eastAsia="Malgun Gothic" w:hAnsi="Verdana" w:cs="Arial"/>
          <w:sz w:val="18"/>
          <w:szCs w:val="18"/>
        </w:rPr>
        <w:t xml:space="preserve">the manufacturing of </w:t>
      </w:r>
      <w:r w:rsidR="00D64CB6">
        <w:rPr>
          <w:rFonts w:ascii="Verdana" w:hAnsi="Verdana" w:cs="Arial"/>
          <w:sz w:val="18"/>
          <w:szCs w:val="18"/>
        </w:rPr>
        <w:t>m</w:t>
      </w:r>
      <w:r w:rsidR="00D64CB6" w:rsidRPr="00D64CB6">
        <w:rPr>
          <w:rFonts w:ascii="Verdana" w:hAnsi="Verdana" w:cs="Arial"/>
          <w:sz w:val="18"/>
          <w:szCs w:val="18"/>
        </w:rPr>
        <w:t xml:space="preserve">achinery and </w:t>
      </w:r>
      <w:r w:rsidR="00D64CB6">
        <w:rPr>
          <w:rFonts w:ascii="Verdana" w:hAnsi="Verdana" w:cs="Arial"/>
          <w:sz w:val="18"/>
          <w:szCs w:val="18"/>
        </w:rPr>
        <w:t>e</w:t>
      </w:r>
      <w:r w:rsidR="00D64CB6" w:rsidRPr="00D64CB6">
        <w:rPr>
          <w:rFonts w:ascii="Verdana" w:hAnsi="Verdana" w:cs="Arial"/>
          <w:sz w:val="18"/>
          <w:szCs w:val="18"/>
        </w:rPr>
        <w:t xml:space="preserve">quipment, </w:t>
      </w:r>
      <w:r w:rsidR="00D64CB6">
        <w:rPr>
          <w:rFonts w:ascii="Verdana" w:hAnsi="Verdana" w:cs="Arial"/>
          <w:sz w:val="18"/>
          <w:szCs w:val="18"/>
        </w:rPr>
        <w:t>m</w:t>
      </w:r>
      <w:r w:rsidR="00D64CB6" w:rsidRPr="00D64CB6">
        <w:rPr>
          <w:rFonts w:ascii="Verdana" w:hAnsi="Verdana" w:cs="Arial"/>
          <w:sz w:val="18"/>
          <w:szCs w:val="18"/>
        </w:rPr>
        <w:t xml:space="preserve">otor </w:t>
      </w:r>
      <w:r w:rsidR="00D64CB6">
        <w:rPr>
          <w:rFonts w:ascii="Verdana" w:hAnsi="Verdana" w:cs="Arial"/>
          <w:sz w:val="18"/>
          <w:szCs w:val="18"/>
        </w:rPr>
        <w:t>v</w:t>
      </w:r>
      <w:r w:rsidR="00D64CB6" w:rsidRPr="00D64CB6">
        <w:rPr>
          <w:rFonts w:ascii="Verdana" w:hAnsi="Verdana" w:cs="Arial"/>
          <w:sz w:val="18"/>
          <w:szCs w:val="18"/>
        </w:rPr>
        <w:t xml:space="preserve">ehicles and </w:t>
      </w:r>
      <w:r w:rsidR="00D64CB6">
        <w:rPr>
          <w:rFonts w:ascii="Verdana" w:hAnsi="Verdana" w:cs="Arial"/>
          <w:sz w:val="18"/>
          <w:szCs w:val="18"/>
        </w:rPr>
        <w:lastRenderedPageBreak/>
        <w:t>o</w:t>
      </w:r>
      <w:r w:rsidR="00D64CB6" w:rsidRPr="00D64CB6">
        <w:rPr>
          <w:rFonts w:ascii="Verdana" w:hAnsi="Verdana" w:cs="Arial"/>
          <w:sz w:val="18"/>
          <w:szCs w:val="18"/>
        </w:rPr>
        <w:t xml:space="preserve">ther </w:t>
      </w:r>
      <w:r w:rsidR="00D64CB6">
        <w:rPr>
          <w:rFonts w:ascii="Verdana" w:hAnsi="Verdana" w:cs="Arial"/>
          <w:sz w:val="18"/>
          <w:szCs w:val="18"/>
        </w:rPr>
        <w:t>t</w:t>
      </w:r>
      <w:r w:rsidR="00D64CB6" w:rsidRPr="00D64CB6">
        <w:rPr>
          <w:rFonts w:ascii="Verdana" w:hAnsi="Verdana" w:cs="Arial"/>
          <w:sz w:val="18"/>
          <w:szCs w:val="18"/>
        </w:rPr>
        <w:t xml:space="preserve">ransport </w:t>
      </w:r>
      <w:r w:rsidR="00D64CB6">
        <w:rPr>
          <w:rFonts w:ascii="Verdana" w:hAnsi="Verdana" w:cs="Arial"/>
          <w:sz w:val="18"/>
          <w:szCs w:val="18"/>
        </w:rPr>
        <w:t>e</w:t>
      </w:r>
      <w:r w:rsidR="00D64CB6" w:rsidRPr="00D64CB6">
        <w:rPr>
          <w:rFonts w:ascii="Verdana" w:hAnsi="Verdana" w:cs="Arial"/>
          <w:sz w:val="18"/>
          <w:szCs w:val="18"/>
        </w:rPr>
        <w:t>quipment</w:t>
      </w:r>
      <w:r w:rsidR="00D64CB6">
        <w:rPr>
          <w:rFonts w:ascii="Verdana" w:hAnsi="Verdana" w:cs="Arial"/>
          <w:sz w:val="18"/>
          <w:szCs w:val="18"/>
        </w:rPr>
        <w:t xml:space="preserve"> (+11,9%) and </w:t>
      </w:r>
      <w:r w:rsidR="00D64CB6" w:rsidRPr="00E77385">
        <w:rPr>
          <w:rFonts w:ascii="Verdana" w:eastAsia="Malgun Gothic" w:hAnsi="Verdana" w:cs="Arial"/>
          <w:sz w:val="18"/>
          <w:szCs w:val="18"/>
        </w:rPr>
        <w:t>the manufacturing of</w:t>
      </w:r>
      <w:r w:rsidR="00D64CB6">
        <w:rPr>
          <w:rFonts w:ascii="Verdana" w:eastAsia="Malgun Gothic" w:hAnsi="Verdana" w:cs="Arial"/>
          <w:sz w:val="18"/>
          <w:szCs w:val="18"/>
        </w:rPr>
        <w:t xml:space="preserve"> </w:t>
      </w:r>
      <w:r w:rsidR="00D64CB6" w:rsidRPr="00224021">
        <w:rPr>
          <w:rFonts w:ascii="Verdana" w:hAnsi="Verdana" w:cs="Arial"/>
          <w:sz w:val="18"/>
          <w:szCs w:val="18"/>
        </w:rPr>
        <w:t>furniture and repair/installation of machinery and equipment</w:t>
      </w:r>
      <w:r w:rsidR="00D64CB6">
        <w:rPr>
          <w:rFonts w:ascii="Verdana" w:hAnsi="Verdana" w:cs="Arial"/>
          <w:sz w:val="18"/>
          <w:szCs w:val="18"/>
        </w:rPr>
        <w:t xml:space="preserve"> (+11,6%). </w:t>
      </w:r>
      <w:r w:rsidR="00B97BD3" w:rsidRPr="00E77385">
        <w:rPr>
          <w:rFonts w:ascii="Verdana" w:eastAsia="Malgun Gothic" w:hAnsi="Verdana" w:cs="Arial"/>
          <w:sz w:val="18"/>
          <w:szCs w:val="18"/>
        </w:rPr>
        <w:t xml:space="preserve">The </w:t>
      </w:r>
      <w:r w:rsidR="00B97BD3">
        <w:rPr>
          <w:rFonts w:ascii="Verdana" w:eastAsia="Malgun Gothic" w:hAnsi="Verdana" w:cs="Arial"/>
          <w:sz w:val="18"/>
          <w:szCs w:val="18"/>
        </w:rPr>
        <w:t xml:space="preserve">only activities where </w:t>
      </w:r>
      <w:r w:rsidR="00B97BD3" w:rsidRPr="00E77385">
        <w:rPr>
          <w:rFonts w:ascii="Verdana" w:eastAsia="Malgun Gothic" w:hAnsi="Verdana" w:cs="Arial"/>
          <w:sz w:val="18"/>
          <w:szCs w:val="18"/>
        </w:rPr>
        <w:t>negative changes in production w</w:t>
      </w:r>
      <w:r w:rsidR="00B97BD3">
        <w:rPr>
          <w:rFonts w:ascii="Verdana" w:eastAsia="Malgun Gothic" w:hAnsi="Verdana" w:cs="Arial"/>
          <w:sz w:val="18"/>
          <w:szCs w:val="18"/>
        </w:rPr>
        <w:t xml:space="preserve">ere registered </w:t>
      </w:r>
      <w:r w:rsidR="00B97BD3" w:rsidRPr="00E77385">
        <w:rPr>
          <w:rFonts w:ascii="Verdana" w:eastAsia="Malgun Gothic" w:hAnsi="Verdana" w:cs="Arial"/>
          <w:sz w:val="18"/>
          <w:szCs w:val="18"/>
        </w:rPr>
        <w:t>were those relating t</w:t>
      </w:r>
      <w:r w:rsidR="00B97BD3">
        <w:rPr>
          <w:rFonts w:ascii="Verdana" w:eastAsia="Malgun Gothic" w:hAnsi="Verdana" w:cs="Arial"/>
          <w:sz w:val="18"/>
          <w:szCs w:val="18"/>
        </w:rPr>
        <w:t xml:space="preserve">o </w:t>
      </w:r>
      <w:r w:rsidR="00B97BD3" w:rsidRPr="007E2D4F">
        <w:rPr>
          <w:rFonts w:ascii="Verdana" w:hAnsi="Verdana" w:cs="Arial"/>
          <w:sz w:val="18"/>
          <w:szCs w:val="18"/>
        </w:rPr>
        <w:t>the manufacturing of</w:t>
      </w:r>
      <w:r w:rsidR="00B97BD3" w:rsidRPr="00527D9B">
        <w:rPr>
          <w:rFonts w:ascii="Verdana" w:hAnsi="Verdana" w:cs="Arial"/>
          <w:sz w:val="18"/>
          <w:szCs w:val="18"/>
        </w:rPr>
        <w:t xml:space="preserve"> </w:t>
      </w:r>
      <w:r w:rsidR="00B97BD3">
        <w:rPr>
          <w:rFonts w:ascii="Verdana" w:hAnsi="Verdana" w:cs="Arial"/>
          <w:sz w:val="18"/>
          <w:szCs w:val="18"/>
        </w:rPr>
        <w:t>p</w:t>
      </w:r>
      <w:r w:rsidR="00B97BD3" w:rsidRPr="00D2617F">
        <w:rPr>
          <w:rFonts w:ascii="Verdana" w:hAnsi="Verdana" w:cs="Arial"/>
          <w:sz w:val="18"/>
          <w:szCs w:val="18"/>
        </w:rPr>
        <w:t xml:space="preserve">aper and </w:t>
      </w:r>
      <w:r w:rsidR="00B97BD3">
        <w:rPr>
          <w:rFonts w:ascii="Verdana" w:hAnsi="Verdana" w:cs="Arial"/>
          <w:sz w:val="18"/>
          <w:szCs w:val="18"/>
        </w:rPr>
        <w:t>p</w:t>
      </w:r>
      <w:r w:rsidR="00B97BD3" w:rsidRPr="00D2617F">
        <w:rPr>
          <w:rFonts w:ascii="Verdana" w:hAnsi="Verdana" w:cs="Arial"/>
          <w:sz w:val="18"/>
          <w:szCs w:val="18"/>
        </w:rPr>
        <w:t xml:space="preserve">aper </w:t>
      </w:r>
      <w:r w:rsidR="00B97BD3">
        <w:rPr>
          <w:rFonts w:ascii="Verdana" w:hAnsi="Verdana" w:cs="Arial"/>
          <w:sz w:val="18"/>
          <w:szCs w:val="18"/>
        </w:rPr>
        <w:t>p</w:t>
      </w:r>
      <w:r w:rsidR="00B97BD3" w:rsidRPr="00D2617F">
        <w:rPr>
          <w:rFonts w:ascii="Verdana" w:hAnsi="Verdana" w:cs="Arial"/>
          <w:sz w:val="18"/>
          <w:szCs w:val="18"/>
        </w:rPr>
        <w:t xml:space="preserve">roducts and </w:t>
      </w:r>
      <w:r w:rsidR="00B97BD3">
        <w:rPr>
          <w:rFonts w:ascii="Verdana" w:hAnsi="Verdana" w:cs="Arial"/>
          <w:sz w:val="18"/>
          <w:szCs w:val="18"/>
        </w:rPr>
        <w:t>p</w:t>
      </w:r>
      <w:r w:rsidR="00B97BD3" w:rsidRPr="00D2617F">
        <w:rPr>
          <w:rFonts w:ascii="Verdana" w:hAnsi="Verdana" w:cs="Arial"/>
          <w:sz w:val="18"/>
          <w:szCs w:val="18"/>
        </w:rPr>
        <w:t>rinting</w:t>
      </w:r>
      <w:r w:rsidR="00B97BD3">
        <w:rPr>
          <w:rFonts w:ascii="Verdana" w:hAnsi="Verdana" w:cs="Arial"/>
          <w:sz w:val="18"/>
          <w:szCs w:val="18"/>
        </w:rPr>
        <w:t xml:space="preserve"> (-3,1%),</w:t>
      </w:r>
      <w:r w:rsidR="00B97BD3" w:rsidRPr="00B97BD3">
        <w:rPr>
          <w:rFonts w:ascii="Verdana" w:eastAsia="Malgun Gothic" w:hAnsi="Verdana" w:cs="Arial"/>
          <w:sz w:val="18"/>
          <w:szCs w:val="18"/>
        </w:rPr>
        <w:t xml:space="preserve"> </w:t>
      </w:r>
      <w:r w:rsidR="00B97BD3">
        <w:rPr>
          <w:rFonts w:ascii="Verdana" w:eastAsia="Malgun Gothic" w:hAnsi="Verdana" w:cs="Arial"/>
          <w:sz w:val="18"/>
          <w:szCs w:val="18"/>
        </w:rPr>
        <w:t>the manufacturing of r</w:t>
      </w:r>
      <w:r w:rsidR="00B97BD3" w:rsidRPr="007A3499">
        <w:rPr>
          <w:rFonts w:ascii="Verdana" w:eastAsia="Malgun Gothic" w:hAnsi="Verdana" w:cs="Arial"/>
          <w:sz w:val="18"/>
          <w:szCs w:val="18"/>
        </w:rPr>
        <w:t xml:space="preserve">efined </w:t>
      </w:r>
      <w:r w:rsidR="00B97BD3">
        <w:rPr>
          <w:rFonts w:ascii="Verdana" w:eastAsia="Malgun Gothic" w:hAnsi="Verdana" w:cs="Arial"/>
          <w:sz w:val="18"/>
          <w:szCs w:val="18"/>
        </w:rPr>
        <w:t>p</w:t>
      </w:r>
      <w:r w:rsidR="00B97BD3" w:rsidRPr="007A3499">
        <w:rPr>
          <w:rFonts w:ascii="Verdana" w:eastAsia="Malgun Gothic" w:hAnsi="Verdana" w:cs="Arial"/>
          <w:sz w:val="18"/>
          <w:szCs w:val="18"/>
        </w:rPr>
        <w:t xml:space="preserve">etroleum </w:t>
      </w:r>
      <w:r w:rsidR="00B97BD3">
        <w:rPr>
          <w:rFonts w:ascii="Verdana" w:eastAsia="Malgun Gothic" w:hAnsi="Verdana" w:cs="Arial"/>
          <w:sz w:val="18"/>
          <w:szCs w:val="18"/>
        </w:rPr>
        <w:t>p</w:t>
      </w:r>
      <w:r w:rsidR="00B97BD3" w:rsidRPr="007A3499">
        <w:rPr>
          <w:rFonts w:ascii="Verdana" w:eastAsia="Malgun Gothic" w:hAnsi="Verdana" w:cs="Arial"/>
          <w:sz w:val="18"/>
          <w:szCs w:val="18"/>
        </w:rPr>
        <w:t xml:space="preserve">roducts, </w:t>
      </w:r>
      <w:r w:rsidR="00B97BD3">
        <w:rPr>
          <w:rFonts w:ascii="Verdana" w:eastAsia="Malgun Gothic" w:hAnsi="Verdana" w:cs="Arial"/>
          <w:sz w:val="18"/>
          <w:szCs w:val="18"/>
        </w:rPr>
        <w:t>c</w:t>
      </w:r>
      <w:r w:rsidR="00B97BD3" w:rsidRPr="007A3499">
        <w:rPr>
          <w:rFonts w:ascii="Verdana" w:eastAsia="Malgun Gothic" w:hAnsi="Verdana" w:cs="Arial"/>
          <w:sz w:val="18"/>
          <w:szCs w:val="18"/>
        </w:rPr>
        <w:t>hemicals and</w:t>
      </w:r>
      <w:r w:rsidR="00B97BD3">
        <w:rPr>
          <w:rFonts w:ascii="Verdana" w:eastAsia="Malgun Gothic" w:hAnsi="Verdana" w:cs="Arial"/>
          <w:sz w:val="18"/>
          <w:szCs w:val="18"/>
        </w:rPr>
        <w:t xml:space="preserve"> c</w:t>
      </w:r>
      <w:r w:rsidR="00B97BD3" w:rsidRPr="007A3499">
        <w:rPr>
          <w:rFonts w:ascii="Verdana" w:eastAsia="Malgun Gothic" w:hAnsi="Verdana" w:cs="Arial"/>
          <w:sz w:val="18"/>
          <w:szCs w:val="18"/>
        </w:rPr>
        <w:t xml:space="preserve">hemical </w:t>
      </w:r>
      <w:r w:rsidR="00B97BD3">
        <w:rPr>
          <w:rFonts w:ascii="Verdana" w:eastAsia="Malgun Gothic" w:hAnsi="Verdana" w:cs="Arial"/>
          <w:sz w:val="18"/>
          <w:szCs w:val="18"/>
        </w:rPr>
        <w:t>p</w:t>
      </w:r>
      <w:r w:rsidR="00B97BD3" w:rsidRPr="007A3499">
        <w:rPr>
          <w:rFonts w:ascii="Verdana" w:eastAsia="Malgun Gothic" w:hAnsi="Verdana" w:cs="Arial"/>
          <w:sz w:val="18"/>
          <w:szCs w:val="18"/>
        </w:rPr>
        <w:t xml:space="preserve">roducts and </w:t>
      </w:r>
      <w:r w:rsidR="00B97BD3">
        <w:rPr>
          <w:rFonts w:ascii="Verdana" w:eastAsia="Malgun Gothic" w:hAnsi="Verdana" w:cs="Arial"/>
          <w:sz w:val="18"/>
          <w:szCs w:val="18"/>
        </w:rPr>
        <w:t>p</w:t>
      </w:r>
      <w:r w:rsidR="00B97BD3" w:rsidRPr="007A3499">
        <w:rPr>
          <w:rFonts w:ascii="Verdana" w:eastAsia="Malgun Gothic" w:hAnsi="Verdana" w:cs="Arial"/>
          <w:sz w:val="18"/>
          <w:szCs w:val="18"/>
        </w:rPr>
        <w:t xml:space="preserve">harmaceutical </w:t>
      </w:r>
      <w:r w:rsidR="00B97BD3">
        <w:rPr>
          <w:rFonts w:ascii="Verdana" w:eastAsia="Malgun Gothic" w:hAnsi="Verdana" w:cs="Arial"/>
          <w:sz w:val="18"/>
          <w:szCs w:val="18"/>
        </w:rPr>
        <w:t>p</w:t>
      </w:r>
      <w:r w:rsidR="00B97BD3" w:rsidRPr="007A3499">
        <w:rPr>
          <w:rFonts w:ascii="Verdana" w:eastAsia="Malgun Gothic" w:hAnsi="Verdana" w:cs="Arial"/>
          <w:sz w:val="18"/>
          <w:szCs w:val="18"/>
        </w:rPr>
        <w:t xml:space="preserve">roducts and </w:t>
      </w:r>
      <w:r w:rsidR="00B97BD3">
        <w:rPr>
          <w:rFonts w:ascii="Verdana" w:eastAsia="Malgun Gothic" w:hAnsi="Verdana" w:cs="Arial"/>
          <w:sz w:val="18"/>
          <w:szCs w:val="18"/>
        </w:rPr>
        <w:t>p</w:t>
      </w:r>
      <w:r w:rsidR="00B97BD3" w:rsidRPr="007A3499">
        <w:rPr>
          <w:rFonts w:ascii="Verdana" w:eastAsia="Malgun Gothic" w:hAnsi="Verdana" w:cs="Arial"/>
          <w:sz w:val="18"/>
          <w:szCs w:val="18"/>
        </w:rPr>
        <w:t>reparations</w:t>
      </w:r>
      <w:r w:rsidR="00B97BD3">
        <w:rPr>
          <w:rFonts w:ascii="Verdana" w:eastAsia="Malgun Gothic" w:hAnsi="Verdana" w:cs="Arial"/>
          <w:sz w:val="18"/>
          <w:szCs w:val="18"/>
        </w:rPr>
        <w:t xml:space="preserve"> (-1,9%) and electricity supply (-0,9%).</w:t>
      </w:r>
    </w:p>
    <w:p w14:paraId="7EDE767A" w14:textId="77777777" w:rsidR="00D64CB6" w:rsidRDefault="00D64CB6" w:rsidP="00054D1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79E0D7E" w14:textId="77777777" w:rsidR="007407B5" w:rsidRPr="001471A1" w:rsidRDefault="007407B5" w:rsidP="00054D12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4020"/>
        <w:gridCol w:w="1480"/>
        <w:gridCol w:w="227"/>
        <w:gridCol w:w="1288"/>
        <w:gridCol w:w="1683"/>
      </w:tblGrid>
      <w:tr w:rsidR="003D3ED7" w:rsidRPr="00482D00" w14:paraId="3DBFA304" w14:textId="77777777" w:rsidTr="00FF4103">
        <w:trPr>
          <w:trHeight w:val="284"/>
          <w:jc w:val="center"/>
        </w:trPr>
        <w:tc>
          <w:tcPr>
            <w:tcW w:w="122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C2DF833" w14:textId="216A5D64" w:rsidR="003D3ED7" w:rsidRPr="00275C09" w:rsidRDefault="002146EB" w:rsidP="00FF4103">
            <w:pPr>
              <w:ind w:left="-142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sz w:val="18"/>
                <w:szCs w:val="18"/>
              </w:rPr>
              <w:br w:type="page"/>
            </w:r>
            <w:r w:rsidR="003D3ED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Table</w:t>
            </w:r>
            <w:r w:rsidR="003D3ED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</w:tcPr>
          <w:p w14:paraId="5A977240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</w:tcPr>
          <w:p w14:paraId="7F06E427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</w:tcPr>
          <w:p w14:paraId="466BA361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</w:tcPr>
          <w:p w14:paraId="2A6799C7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</w:tcPr>
          <w:p w14:paraId="63834374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</w:tr>
      <w:tr w:rsidR="003D3ED7" w:rsidRPr="00482D00" w14:paraId="412F1209" w14:textId="77777777" w:rsidTr="00FF4103">
        <w:trPr>
          <w:trHeight w:val="454"/>
          <w:jc w:val="center"/>
        </w:trPr>
        <w:tc>
          <w:tcPr>
            <w:tcW w:w="1225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7BDD9D2D" w14:textId="77777777" w:rsidR="003D3ED7" w:rsidRPr="00F422B2" w:rsidRDefault="003D3ED7" w:rsidP="00FF4103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Code</w:t>
            </w:r>
          </w:p>
          <w:p w14:paraId="7FE3C78C" w14:textId="77777777" w:rsidR="003D3ED7" w:rsidRPr="00482D00" w:rsidRDefault="003D3ED7" w:rsidP="00FF4103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(</w:t>
            </w:r>
            <w:r w:rsidRPr="00482D0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NACE </w:t>
            </w:r>
          </w:p>
          <w:p w14:paraId="606B3DF8" w14:textId="77777777" w:rsidR="003D3ED7" w:rsidRPr="005C2E6D" w:rsidRDefault="003D3ED7" w:rsidP="00FF4103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482D0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. 2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)</w:t>
            </w:r>
          </w:p>
        </w:tc>
        <w:tc>
          <w:tcPr>
            <w:tcW w:w="4020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D353388" w14:textId="77777777" w:rsidR="003D3ED7" w:rsidRPr="00F422B2" w:rsidRDefault="003D3ED7" w:rsidP="00FF4103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148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4D06931D" w14:textId="77777777" w:rsidR="003D3ED7" w:rsidRPr="00F422B2" w:rsidRDefault="003D3ED7" w:rsidP="00FF4103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Index</w:t>
            </w:r>
          </w:p>
          <w:p w14:paraId="1046ADE8" w14:textId="1DAAA21C" w:rsidR="003D3ED7" w:rsidRPr="00482D00" w:rsidRDefault="003D3ED7" w:rsidP="00FF4103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 w:rsidRPr="00482D0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(20</w:t>
            </w:r>
            <w:r w:rsidR="007728F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21</w:t>
            </w:r>
            <w:r w:rsidRPr="00482D0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27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</w:tcPr>
          <w:p w14:paraId="028A661E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27C2F4B" w14:textId="77777777" w:rsidR="003D3ED7" w:rsidRPr="00482D00" w:rsidRDefault="003D3ED7" w:rsidP="00FF4103">
            <w:pPr>
              <w:ind w:left="-14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Percentage Change</w:t>
            </w:r>
            <w:r w:rsidRPr="00482D0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(%)</w:t>
            </w:r>
          </w:p>
        </w:tc>
      </w:tr>
      <w:tr w:rsidR="003D3ED7" w:rsidRPr="00482D00" w14:paraId="096120C0" w14:textId="77777777" w:rsidTr="00FF4103">
        <w:trPr>
          <w:trHeight w:val="510"/>
          <w:jc w:val="center"/>
        </w:trPr>
        <w:tc>
          <w:tcPr>
            <w:tcW w:w="1225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</w:tcPr>
          <w:p w14:paraId="45D3C02E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402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</w:tcPr>
          <w:p w14:paraId="6780878A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48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6002C886" w14:textId="7B8541B8" w:rsidR="008345D4" w:rsidRDefault="00B97BD3" w:rsidP="00FF4103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Apr</w:t>
            </w:r>
          </w:p>
          <w:p w14:paraId="48DCA960" w14:textId="7D19E95C" w:rsidR="003D3ED7" w:rsidRPr="007728F1" w:rsidRDefault="00076547" w:rsidP="00FF4103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202</w:t>
            </w:r>
            <w:r w:rsidR="007728F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</w:tcPr>
          <w:p w14:paraId="545AA576" w14:textId="77777777" w:rsidR="003D3ED7" w:rsidRPr="00482D00" w:rsidRDefault="003D3ED7" w:rsidP="00FF4103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CEBC57D" w14:textId="1A56E243" w:rsidR="00BE2C64" w:rsidRDefault="00B97BD3" w:rsidP="00BE2C64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Apr</w:t>
            </w:r>
          </w:p>
          <w:p w14:paraId="3EAB4F17" w14:textId="7773372D" w:rsidR="003D3ED7" w:rsidRPr="000D10A2" w:rsidRDefault="00076547" w:rsidP="00BE2C64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202</w:t>
            </w:r>
            <w:r w:rsidR="007728F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  <w:r w:rsidR="00BE2C6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/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20</w:t>
            </w:r>
            <w:r w:rsidR="00346BA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7728F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68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4D0070BE" w14:textId="177EB9EE" w:rsidR="00BE2C64" w:rsidRDefault="003D3ED7" w:rsidP="00FF4103">
            <w:pPr>
              <w:ind w:left="-142"/>
              <w:jc w:val="center"/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Jan-</w:t>
            </w:r>
            <w:r w:rsidR="00B97BD3"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Apr</w:t>
            </w:r>
          </w:p>
          <w:p w14:paraId="7B2D068C" w14:textId="28FC3E69" w:rsidR="003D3ED7" w:rsidRPr="00076547" w:rsidRDefault="007A3499" w:rsidP="00BE2C64">
            <w:pPr>
              <w:ind w:left="-14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4/2023</w:t>
            </w:r>
          </w:p>
        </w:tc>
      </w:tr>
      <w:tr w:rsidR="003D3ED7" w:rsidRPr="00482D00" w14:paraId="340A2FFE" w14:textId="77777777" w:rsidTr="00FF4103">
        <w:trPr>
          <w:trHeight w:val="113"/>
          <w:jc w:val="center"/>
        </w:trPr>
        <w:tc>
          <w:tcPr>
            <w:tcW w:w="1225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20AD6" w14:textId="77777777" w:rsidR="003D3ED7" w:rsidRPr="00482D00" w:rsidRDefault="003D3ED7" w:rsidP="00FF4103">
            <w:pPr>
              <w:ind w:left="-14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4020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</w:tcPr>
          <w:p w14:paraId="10D6B093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480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</w:tcPr>
          <w:p w14:paraId="1740C28F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227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</w:tcPr>
          <w:p w14:paraId="2A74A28B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</w:tcPr>
          <w:p w14:paraId="578C89FC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683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</w:tcPr>
          <w:p w14:paraId="45965A12" w14:textId="77777777" w:rsidR="003D3ED7" w:rsidRPr="00482D00" w:rsidRDefault="003D3ED7" w:rsidP="00FF4103">
            <w:pPr>
              <w:ind w:left="-142"/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</w:tr>
      <w:tr w:rsidR="00C736EC" w:rsidRPr="00482D00" w14:paraId="35C58921" w14:textId="77777777" w:rsidTr="00FF4103">
        <w:trPr>
          <w:trHeight w:val="170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FF9BF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Β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CB906" w14:textId="77777777" w:rsidR="00C736EC" w:rsidRPr="00482D00" w:rsidRDefault="00C736EC" w:rsidP="00C736E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F422B2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31490" w14:textId="3E39E7D9" w:rsidR="00C736EC" w:rsidRPr="00803B12" w:rsidRDefault="00C736EC" w:rsidP="00C736EC">
            <w:pPr>
              <w:ind w:right="227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122,5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8BC0A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2C2C5" w14:textId="2A3E012B" w:rsidR="00C736EC" w:rsidRPr="009B0D37" w:rsidRDefault="00C736EC" w:rsidP="00C736EC">
            <w:pPr>
              <w:ind w:right="340"/>
              <w:jc w:val="right"/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36,9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6D20F" w14:textId="7AC355AC" w:rsidR="00C736EC" w:rsidRPr="004413EA" w:rsidRDefault="00C736EC" w:rsidP="00C736EC">
            <w:pPr>
              <w:ind w:right="51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19,1</w:t>
            </w:r>
          </w:p>
        </w:tc>
      </w:tr>
      <w:tr w:rsidR="00C736EC" w:rsidRPr="00482D00" w14:paraId="4AF30C62" w14:textId="77777777" w:rsidTr="00FF4103">
        <w:trPr>
          <w:trHeight w:val="113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A7E3E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6C2" w14:textId="77777777" w:rsidR="00C736EC" w:rsidRPr="00482D00" w:rsidRDefault="00C736EC" w:rsidP="00C736E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23297" w14:textId="77777777" w:rsidR="00C736EC" w:rsidRPr="002B5AAF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BD33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6080D" w14:textId="77777777" w:rsidR="00C736EC" w:rsidRPr="002B5AAF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88E2" w14:textId="77777777" w:rsidR="00C736EC" w:rsidRPr="002B5AAF" w:rsidRDefault="00C736EC" w:rsidP="00C736EC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</w:p>
        </w:tc>
      </w:tr>
      <w:tr w:rsidR="00C736EC" w:rsidRPr="00482D00" w14:paraId="12FF6A34" w14:textId="77777777" w:rsidTr="00FF4103">
        <w:trPr>
          <w:trHeight w:val="170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EF3F9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298A2" w14:textId="77777777" w:rsidR="00C736EC" w:rsidRPr="00482D00" w:rsidRDefault="00C736EC" w:rsidP="00C736E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F422B2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ΜANUFACTURING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65E64" w14:textId="3AC05F24" w:rsidR="00C736EC" w:rsidRPr="008345D4" w:rsidRDefault="00C736EC" w:rsidP="00C736EC">
            <w:pPr>
              <w:ind w:right="227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110,8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FC624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14C89" w14:textId="2C4C5BE7" w:rsidR="00C736EC" w:rsidRPr="00734B98" w:rsidRDefault="00C736EC" w:rsidP="00C736EC">
            <w:pPr>
              <w:ind w:right="34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7,3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21A15" w14:textId="0E46B66D" w:rsidR="00C736EC" w:rsidRPr="00734B98" w:rsidRDefault="00C736EC" w:rsidP="00C736EC">
            <w:pPr>
              <w:ind w:right="51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5,4</w:t>
            </w:r>
          </w:p>
        </w:tc>
      </w:tr>
      <w:tr w:rsidR="00C736EC" w:rsidRPr="00482D00" w14:paraId="3FF7FEB5" w14:textId="77777777" w:rsidTr="00FF4103">
        <w:trPr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A06CF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41CB4" w14:textId="77777777" w:rsidR="00C736EC" w:rsidRPr="00482D00" w:rsidRDefault="00C736EC" w:rsidP="00C736E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DCF47" w14:textId="77777777" w:rsidR="00C736EC" w:rsidRPr="002B5AAF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59EE1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CC72D" w14:textId="77777777" w:rsidR="00C736EC" w:rsidRPr="002B5AAF" w:rsidRDefault="00C736EC" w:rsidP="00C736EC">
            <w:pPr>
              <w:ind w:right="34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1CDFC" w14:textId="77777777" w:rsidR="00C736EC" w:rsidRPr="002B5AAF" w:rsidRDefault="00C736EC" w:rsidP="00C736EC">
            <w:pPr>
              <w:ind w:right="51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</w:tr>
      <w:tr w:rsidR="00C736EC" w:rsidRPr="00482D00" w14:paraId="7B9F86B7" w14:textId="77777777" w:rsidTr="00FF4103">
        <w:trPr>
          <w:trHeight w:val="56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34E81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10+11+12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78228" w14:textId="77777777" w:rsidR="00C736EC" w:rsidRPr="00F422B2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F422B2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Food Products, Beverages and Tobacco Products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90375" w14:textId="7ADE6297" w:rsidR="00C736EC" w:rsidRPr="00A451BD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113,1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91EB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8CC4C" w14:textId="029705C2" w:rsidR="00C736EC" w:rsidRPr="00F30821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3,6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256FB" w14:textId="704CEFE3" w:rsidR="00C736EC" w:rsidRPr="009B0F2A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2,6</w:t>
            </w:r>
          </w:p>
        </w:tc>
      </w:tr>
      <w:tr w:rsidR="00C736EC" w:rsidRPr="00482D00" w14:paraId="0C0F856D" w14:textId="77777777" w:rsidTr="00FF4103">
        <w:trPr>
          <w:trHeight w:val="56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008C7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13+14+15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7C28" w14:textId="77777777" w:rsidR="00C736EC" w:rsidRPr="00F422B2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F422B2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Textiles, Wearing Apparel and Leather Products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0D769" w14:textId="3F5D107D" w:rsidR="00C736EC" w:rsidRPr="00220820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134,4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49890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D6F61" w14:textId="0B94AE28" w:rsidR="00C736EC" w:rsidRPr="00423517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2,0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B661" w14:textId="66B2982C" w:rsidR="00C736EC" w:rsidRPr="00423517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4,1</w:t>
            </w:r>
          </w:p>
        </w:tc>
      </w:tr>
      <w:tr w:rsidR="00C736EC" w:rsidRPr="00482D00" w14:paraId="6630BDFD" w14:textId="77777777" w:rsidTr="00FF4103">
        <w:trPr>
          <w:trHeight w:val="794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6670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16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CA73C" w14:textId="77777777" w:rsidR="00C736EC" w:rsidRPr="00F422B2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F422B2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Wood and Products of Wood and Cork, except furniture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88CC0" w14:textId="3970C9F2" w:rsidR="00C736EC" w:rsidRPr="00423517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102,2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C8794" w14:textId="77777777" w:rsidR="00C736EC" w:rsidRPr="002B5AAF" w:rsidRDefault="00C736EC" w:rsidP="00C736EC">
            <w:pPr>
              <w:spacing w:line="276" w:lineRule="auto"/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A0CD6" w14:textId="189BB64F" w:rsidR="00C736EC" w:rsidRPr="00CE065A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7,8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B3FF1" w14:textId="2B0DC185" w:rsidR="00C736EC" w:rsidRPr="002952ED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5,9</w:t>
            </w:r>
          </w:p>
        </w:tc>
      </w:tr>
      <w:tr w:rsidR="00C736EC" w:rsidRPr="00482D00" w14:paraId="7263A07D" w14:textId="77777777" w:rsidTr="00FF4103">
        <w:trPr>
          <w:trHeight w:val="56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59103" w14:textId="77777777" w:rsidR="00C736EC" w:rsidRPr="00482D00" w:rsidRDefault="00C736EC" w:rsidP="00C736EC">
            <w:pPr>
              <w:spacing w:line="360" w:lineRule="auto"/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17+18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914D4" w14:textId="77777777" w:rsidR="00C736EC" w:rsidRPr="00F422B2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F422B2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Paper and Paper Products and Printing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0E2DB" w14:textId="43EA2FC3" w:rsidR="00C736EC" w:rsidRPr="00423517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90,4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BBD3B" w14:textId="77777777" w:rsidR="00C736EC" w:rsidRPr="002B5AAF" w:rsidRDefault="00C736EC" w:rsidP="00C736EC">
            <w:pPr>
              <w:spacing w:line="480" w:lineRule="auto"/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759D2" w14:textId="7EB92C62" w:rsidR="00C736EC" w:rsidRPr="00F40536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0,1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DC1E1" w14:textId="173C64CC" w:rsidR="00C736EC" w:rsidRPr="00FA06C9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-3,1</w:t>
            </w:r>
          </w:p>
        </w:tc>
      </w:tr>
      <w:tr w:rsidR="00C736EC" w:rsidRPr="00482D00" w14:paraId="74E78B2F" w14:textId="77777777" w:rsidTr="00FF4103">
        <w:trPr>
          <w:trHeight w:val="107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0CDBF" w14:textId="77777777" w:rsidR="00C736EC" w:rsidRPr="00482D00" w:rsidRDefault="00C736EC" w:rsidP="00C736EC">
            <w:pPr>
              <w:spacing w:line="480" w:lineRule="auto"/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19+20+21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1FC8" w14:textId="77777777" w:rsidR="00C736EC" w:rsidRPr="00F422B2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F422B2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Refined Petroleum Products, Chemicals and Chemical Products and Pharmaceutical Products and Preparations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A1E30" w14:textId="551E8F42" w:rsidR="00C736EC" w:rsidRPr="00B43501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114,8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4EBCF" w14:textId="77777777" w:rsidR="00C736EC" w:rsidRPr="002B5AAF" w:rsidRDefault="00C736EC" w:rsidP="00C736EC">
            <w:pPr>
              <w:spacing w:line="720" w:lineRule="auto"/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72BE7" w14:textId="6C105C6E" w:rsidR="00C736EC" w:rsidRPr="00FA06C9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2,3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C369A" w14:textId="6285CC94" w:rsidR="00C736EC" w:rsidRPr="00FA06C9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-1,9</w:t>
            </w:r>
          </w:p>
        </w:tc>
      </w:tr>
      <w:tr w:rsidR="00C736EC" w:rsidRPr="00482D00" w14:paraId="3981A1B1" w14:textId="77777777" w:rsidTr="00FF4103">
        <w:trPr>
          <w:trHeight w:val="56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70B9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22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863B7" w14:textId="77777777" w:rsidR="00C736EC" w:rsidRPr="00F422B2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F422B2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Rubber and Plastic Products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63CB9" w14:textId="00CD2045" w:rsidR="00C736EC" w:rsidRPr="00CE065A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109,7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44580" w14:textId="77777777" w:rsidR="00C736EC" w:rsidRPr="002B5AAF" w:rsidRDefault="00C736EC" w:rsidP="00C736EC">
            <w:pPr>
              <w:spacing w:line="480" w:lineRule="auto"/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AED21" w14:textId="4E2099E3" w:rsidR="00C736EC" w:rsidRPr="00423517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8,0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7FC95" w14:textId="7FA608BF" w:rsidR="00C736EC" w:rsidRPr="002952ED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4,5</w:t>
            </w:r>
          </w:p>
        </w:tc>
      </w:tr>
      <w:tr w:rsidR="00C736EC" w:rsidRPr="00482D00" w14:paraId="4E211BAA" w14:textId="77777777" w:rsidTr="00FF4103">
        <w:trPr>
          <w:trHeight w:val="56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4DAAB" w14:textId="77777777" w:rsidR="00C736EC" w:rsidRPr="00482D00" w:rsidRDefault="00C736EC" w:rsidP="00C736EC">
            <w:pPr>
              <w:spacing w:line="480" w:lineRule="auto"/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23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5A404" w14:textId="77777777" w:rsidR="00C736EC" w:rsidRPr="00D95FC0" w:rsidRDefault="00C736EC" w:rsidP="00C736EC">
            <w:pPr>
              <w:spacing w:line="276" w:lineRule="auto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D95FC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Other Non-Metallic Mineral Products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21BC0" w14:textId="6AD30C9A" w:rsidR="00C736EC" w:rsidRPr="003C6181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101,2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F569C" w14:textId="77777777" w:rsidR="00C736EC" w:rsidRPr="002B5AAF" w:rsidRDefault="00C736EC" w:rsidP="00C736EC">
            <w:pPr>
              <w:spacing w:line="360" w:lineRule="auto"/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A91EA" w14:textId="7396EC11" w:rsidR="00C736EC" w:rsidRPr="00FA06C9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3,1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C7F6C" w14:textId="7E47B9F2" w:rsidR="00C736EC" w:rsidRPr="00E775AD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1,6</w:t>
            </w:r>
          </w:p>
        </w:tc>
      </w:tr>
      <w:tr w:rsidR="00C736EC" w:rsidRPr="00482D00" w14:paraId="5D59B9CE" w14:textId="77777777" w:rsidTr="00FF4103">
        <w:trPr>
          <w:trHeight w:val="56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F22E5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24+25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A98BD" w14:textId="77777777" w:rsidR="00C736EC" w:rsidRPr="00D95FC0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D95FC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Basic Metals and Fabricated Metal Products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25391" w14:textId="6F10AD54" w:rsidR="00C736EC" w:rsidRPr="00734B98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115,4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CB166" w14:textId="77777777" w:rsidR="00C736EC" w:rsidRPr="002B5AAF" w:rsidRDefault="00C736EC" w:rsidP="00C736EC">
            <w:pPr>
              <w:spacing w:line="276" w:lineRule="auto"/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E7A15" w14:textId="56635958" w:rsidR="00C736EC" w:rsidRPr="00734B98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16,6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E6445" w14:textId="68FCCB35" w:rsidR="00C736EC" w:rsidRPr="00E775AD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15,8</w:t>
            </w:r>
          </w:p>
        </w:tc>
      </w:tr>
      <w:tr w:rsidR="00C736EC" w:rsidRPr="00482D00" w14:paraId="3A9E3040" w14:textId="77777777" w:rsidTr="00FF4103">
        <w:trPr>
          <w:trHeight w:val="567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9EEB9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26+27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815B6" w14:textId="77777777" w:rsidR="00C736EC" w:rsidRPr="00D95FC0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D95FC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Electronic and Optical Products and Electrical Equipment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5AD2E" w14:textId="11591B82" w:rsidR="00C736EC" w:rsidRPr="003C6181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75,3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16AD1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BBB19" w14:textId="4BC51AB7" w:rsidR="00C736EC" w:rsidRPr="002952ED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21,3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5B2EE" w14:textId="5AB037DB" w:rsidR="00C736EC" w:rsidRPr="00EA3353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17,7</w:t>
            </w:r>
          </w:p>
        </w:tc>
      </w:tr>
      <w:tr w:rsidR="00C736EC" w:rsidRPr="00482D00" w14:paraId="144B4CBA" w14:textId="77777777" w:rsidTr="00FF4103">
        <w:trPr>
          <w:trHeight w:val="794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DCE48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28+29+30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F817C" w14:textId="77777777" w:rsidR="00C736EC" w:rsidRPr="00D95FC0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D95FC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Machinery and Equipment, Motor Vehicles and Other Transport Equipment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77061" w14:textId="1BBA3E4F" w:rsidR="00C736EC" w:rsidRPr="00CE065A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119,3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EF627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629DC" w14:textId="22CFEE1A" w:rsidR="00C736EC" w:rsidRPr="00423517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19,1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0A1C8" w14:textId="53C1A2BF" w:rsidR="00C736EC" w:rsidRPr="00FD58FE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11,9</w:t>
            </w:r>
          </w:p>
        </w:tc>
      </w:tr>
      <w:tr w:rsidR="00C736EC" w:rsidRPr="00482D00" w14:paraId="7EE1E5AA" w14:textId="77777777" w:rsidTr="00FF4103">
        <w:trPr>
          <w:trHeight w:val="794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B3198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31+32+33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A6CA3" w14:textId="77777777" w:rsidR="00C736EC" w:rsidRPr="00D95FC0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D95FC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Manufacture of Furniture, Other Manufacturing and Repair and Installation of Machinery and Equipment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66995" w14:textId="37E3DC8D" w:rsidR="00C736EC" w:rsidRPr="00734B98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121,8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D2DBB" w14:textId="77777777" w:rsidR="00C736EC" w:rsidRPr="002B5AAF" w:rsidRDefault="00C736EC" w:rsidP="00C736EC">
            <w:pPr>
              <w:spacing w:line="480" w:lineRule="auto"/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0260A" w14:textId="412B206A" w:rsidR="00C736EC" w:rsidRPr="00734B98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13,3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035F0" w14:textId="1B7B4229" w:rsidR="00C736EC" w:rsidRPr="00E775AD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11,6</w:t>
            </w:r>
          </w:p>
        </w:tc>
      </w:tr>
      <w:tr w:rsidR="00C736EC" w:rsidRPr="00482D00" w14:paraId="19F77EC4" w14:textId="77777777" w:rsidTr="00FF4103">
        <w:trPr>
          <w:trHeight w:val="113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4B4C7" w14:textId="77777777" w:rsidR="00C736EC" w:rsidRPr="00482D00" w:rsidRDefault="00C736EC" w:rsidP="00C736E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8003F" w14:textId="77777777" w:rsidR="00C736EC" w:rsidRPr="00482D00" w:rsidRDefault="00C736EC" w:rsidP="00C736EC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E5570" w14:textId="77777777" w:rsidR="00C736EC" w:rsidRPr="002B5AAF" w:rsidRDefault="00C736EC" w:rsidP="00C736EC">
            <w:pPr>
              <w:ind w:right="227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0A0E7" w14:textId="77777777" w:rsidR="00C736EC" w:rsidRPr="002B5AAF" w:rsidRDefault="00C736EC" w:rsidP="00C736EC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97117" w14:textId="77777777" w:rsidR="00C736EC" w:rsidRPr="002B5AAF" w:rsidRDefault="00C736EC" w:rsidP="00C736EC">
            <w:pPr>
              <w:ind w:right="34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481E1" w14:textId="77777777" w:rsidR="00C736EC" w:rsidRPr="002B5AAF" w:rsidRDefault="00C736EC" w:rsidP="00C736EC">
            <w:pPr>
              <w:ind w:right="51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</w:tr>
      <w:tr w:rsidR="00C736EC" w:rsidRPr="00482D00" w14:paraId="24AD730A" w14:textId="77777777" w:rsidTr="00FF4103">
        <w:trPr>
          <w:trHeight w:val="113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6D994" w14:textId="77777777" w:rsidR="00C736EC" w:rsidRPr="00482D00" w:rsidRDefault="00C736EC" w:rsidP="00C736E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D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5DB54" w14:textId="77777777" w:rsidR="00C736EC" w:rsidRPr="00482D00" w:rsidRDefault="00C736EC" w:rsidP="00C736EC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D95FC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ELECTRICITY SUPPLY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1A2D" w14:textId="0F75CD53" w:rsidR="00C736EC" w:rsidRPr="00423517" w:rsidRDefault="00C736EC" w:rsidP="00C736EC">
            <w:pPr>
              <w:ind w:right="227"/>
              <w:jc w:val="right"/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76,9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5296E" w14:textId="77777777" w:rsidR="00C736EC" w:rsidRPr="002B5AAF" w:rsidRDefault="00C736EC" w:rsidP="00C736EC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34F2D" w14:textId="3D1BE07D" w:rsidR="00C736EC" w:rsidRPr="00423517" w:rsidRDefault="00C736EC" w:rsidP="00C736EC">
            <w:pPr>
              <w:ind w:right="340"/>
              <w:jc w:val="right"/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2,1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1790B" w14:textId="547D6F18" w:rsidR="00C736EC" w:rsidRPr="00057FE2" w:rsidRDefault="00C736EC" w:rsidP="00C736EC">
            <w:pPr>
              <w:ind w:right="510"/>
              <w:jc w:val="right"/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-0,9</w:t>
            </w:r>
          </w:p>
        </w:tc>
      </w:tr>
      <w:tr w:rsidR="00C736EC" w:rsidRPr="00482D00" w14:paraId="0AC096CF" w14:textId="77777777" w:rsidTr="00FF4103">
        <w:trPr>
          <w:trHeight w:val="113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30A85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75986" w14:textId="77777777" w:rsidR="00C736EC" w:rsidRPr="00482D00" w:rsidRDefault="00C736EC" w:rsidP="00C736E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22EEB" w14:textId="77777777" w:rsidR="00C736EC" w:rsidRPr="002B5AAF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9A8D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C015E" w14:textId="77777777" w:rsidR="00C736EC" w:rsidRPr="002B5AAF" w:rsidRDefault="00C736EC" w:rsidP="00C736EC">
            <w:pPr>
              <w:ind w:right="34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D4D6F" w14:textId="77777777" w:rsidR="00C736EC" w:rsidRPr="002B5AAF" w:rsidRDefault="00C736EC" w:rsidP="00C736EC">
            <w:pPr>
              <w:ind w:right="51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</w:tr>
      <w:tr w:rsidR="00C736EC" w:rsidRPr="00482D00" w14:paraId="53D106D5" w14:textId="77777777" w:rsidTr="00FF4103">
        <w:trPr>
          <w:trHeight w:val="170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643DD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Ε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645C3" w14:textId="77777777" w:rsidR="00C736EC" w:rsidRPr="00D95FC0" w:rsidRDefault="00C736EC" w:rsidP="00C736E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D95FC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WATER SUPPLY AND MATERIALS RECOVERY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F0077" w14:textId="25203D7C" w:rsidR="00C736EC" w:rsidRPr="00F40536" w:rsidRDefault="00C736EC" w:rsidP="00C736EC">
            <w:pPr>
              <w:ind w:right="227"/>
              <w:jc w:val="right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119,5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198AC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AB4E1" w14:textId="1110ED26" w:rsidR="00C736EC" w:rsidRPr="00DA1738" w:rsidRDefault="00C736EC" w:rsidP="00C736EC">
            <w:pPr>
              <w:ind w:right="340"/>
              <w:jc w:val="right"/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31,2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A16FF" w14:textId="63102CF3" w:rsidR="00C736EC" w:rsidRPr="007C2069" w:rsidRDefault="00C736EC" w:rsidP="00C736EC">
            <w:pPr>
              <w:ind w:right="510"/>
              <w:jc w:val="right"/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31,6</w:t>
            </w:r>
          </w:p>
        </w:tc>
      </w:tr>
      <w:tr w:rsidR="00C736EC" w:rsidRPr="00482D00" w14:paraId="1C4F3443" w14:textId="77777777" w:rsidTr="00FF4103">
        <w:trPr>
          <w:trHeight w:val="113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FFD30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0CBD1" w14:textId="77777777" w:rsidR="00C736EC" w:rsidRPr="00482D00" w:rsidRDefault="00C736EC" w:rsidP="00C736E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7DF4E" w14:textId="77777777" w:rsidR="00C736EC" w:rsidRPr="002B5AAF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E66AA" w14:textId="77777777" w:rsidR="00C736EC" w:rsidRPr="002B5AAF" w:rsidRDefault="00C736EC" w:rsidP="00C736EC">
            <w:pPr>
              <w:jc w:val="right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4B7D" w14:textId="77777777" w:rsidR="00C736EC" w:rsidRPr="002B5AAF" w:rsidRDefault="00C736EC" w:rsidP="00C736EC">
            <w:pPr>
              <w:ind w:right="34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E0268" w14:textId="77777777" w:rsidR="00C736EC" w:rsidRPr="002B5AAF" w:rsidRDefault="00C736EC" w:rsidP="00C736EC">
            <w:pPr>
              <w:ind w:right="51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</w:tr>
      <w:tr w:rsidR="00C736EC" w:rsidRPr="00482D00" w14:paraId="03789389" w14:textId="77777777" w:rsidTr="00FF4103">
        <w:trPr>
          <w:trHeight w:val="284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4B812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36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65A30" w14:textId="77777777" w:rsidR="00C736EC" w:rsidRPr="00482D00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D95FC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Water Collection, Treatment and Supply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C07F" w14:textId="598B0191" w:rsidR="00C736EC" w:rsidRPr="00244FE4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131,4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BB8E8" w14:textId="77777777" w:rsidR="00C736EC" w:rsidRPr="002B5AAF" w:rsidRDefault="00C736EC" w:rsidP="00C736EC">
            <w:pPr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15DEC" w14:textId="48970373" w:rsidR="00C736EC" w:rsidRPr="00BA362F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39,0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CDEB4" w14:textId="23A54A55" w:rsidR="00C736EC" w:rsidRPr="00E775AD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47,6</w:t>
            </w:r>
          </w:p>
        </w:tc>
      </w:tr>
      <w:tr w:rsidR="00C736EC" w:rsidRPr="00482D00" w14:paraId="4B396C41" w14:textId="77777777" w:rsidTr="00FF4103">
        <w:trPr>
          <w:trHeight w:val="284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90B6" w14:textId="77777777" w:rsidR="00C736EC" w:rsidRPr="00482D00" w:rsidRDefault="00C736EC" w:rsidP="00C736EC">
            <w:pPr>
              <w:jc w:val="center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482D0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38.3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C7AD2" w14:textId="77777777" w:rsidR="00C736EC" w:rsidRPr="00482D00" w:rsidRDefault="00C736EC" w:rsidP="00C736EC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D95FC0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Materials Recovery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0A8ED" w14:textId="783292C2" w:rsidR="00C736EC" w:rsidRPr="006C7DDD" w:rsidRDefault="00C736EC" w:rsidP="00C736EC">
            <w:pPr>
              <w:ind w:right="227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106,7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D4F62" w14:textId="77777777" w:rsidR="00C736EC" w:rsidRPr="002B5AAF" w:rsidRDefault="00C736EC" w:rsidP="00C736EC">
            <w:pPr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B40CA" w14:textId="58867464" w:rsidR="00C736EC" w:rsidRPr="00423517" w:rsidRDefault="00C736EC" w:rsidP="00C736EC">
            <w:pPr>
              <w:ind w:right="34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22,1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4539" w14:textId="6AA14D54" w:rsidR="00C736EC" w:rsidRPr="00B43501" w:rsidRDefault="00C736EC" w:rsidP="00C736EC">
            <w:pPr>
              <w:ind w:right="510"/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16,7</w:t>
            </w:r>
          </w:p>
        </w:tc>
      </w:tr>
      <w:tr w:rsidR="00C736EC" w:rsidRPr="00482D00" w14:paraId="1DF61ACD" w14:textId="77777777" w:rsidTr="00FF4103">
        <w:trPr>
          <w:trHeight w:val="284"/>
          <w:jc w:val="center"/>
        </w:trPr>
        <w:tc>
          <w:tcPr>
            <w:tcW w:w="122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74FADD91" w14:textId="77777777" w:rsidR="00C736EC" w:rsidRPr="00482D00" w:rsidRDefault="00C736EC" w:rsidP="00C736E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712E95A" w14:textId="77777777" w:rsidR="00C736EC" w:rsidRPr="00482D00" w:rsidRDefault="00C736EC" w:rsidP="00C736EC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B8F0E45" w14:textId="77777777" w:rsidR="00C736EC" w:rsidRPr="002B5AAF" w:rsidRDefault="00C736EC" w:rsidP="00C736EC">
            <w:pPr>
              <w:ind w:right="227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A23281D" w14:textId="77777777" w:rsidR="00C736EC" w:rsidRPr="002B5AAF" w:rsidRDefault="00C736EC" w:rsidP="00C736EC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1C6991C" w14:textId="77777777" w:rsidR="00C736EC" w:rsidRPr="002B5AAF" w:rsidRDefault="00C736EC" w:rsidP="00C736EC">
            <w:pPr>
              <w:ind w:right="34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3AEC7FF8" w14:textId="77777777" w:rsidR="00C736EC" w:rsidRPr="002B5AAF" w:rsidRDefault="00C736EC" w:rsidP="00C736EC">
            <w:pPr>
              <w:ind w:right="51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</w:p>
        </w:tc>
      </w:tr>
      <w:tr w:rsidR="00C736EC" w:rsidRPr="00482D00" w14:paraId="1D9C21E4" w14:textId="77777777" w:rsidTr="00FF4103">
        <w:trPr>
          <w:trHeight w:val="454"/>
          <w:jc w:val="center"/>
        </w:trPr>
        <w:tc>
          <w:tcPr>
            <w:tcW w:w="122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56EDC74" w14:textId="77777777" w:rsidR="00C736EC" w:rsidRPr="00482D00" w:rsidRDefault="00C736EC" w:rsidP="00C736E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B+C+D+E</w:t>
            </w:r>
          </w:p>
        </w:tc>
        <w:tc>
          <w:tcPr>
            <w:tcW w:w="402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90C078A" w14:textId="77777777" w:rsidR="00C736EC" w:rsidRPr="00482D00" w:rsidRDefault="00C736EC" w:rsidP="00C736EC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GENERAL INDEX</w:t>
            </w:r>
          </w:p>
        </w:tc>
        <w:tc>
          <w:tcPr>
            <w:tcW w:w="148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D89F1DB" w14:textId="00088519" w:rsidR="00C736EC" w:rsidRPr="00734B98" w:rsidRDefault="00C736EC" w:rsidP="00C736EC">
            <w:pPr>
              <w:ind w:right="227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106,8</w:t>
            </w:r>
          </w:p>
        </w:tc>
        <w:tc>
          <w:tcPr>
            <w:tcW w:w="22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010254B" w14:textId="77777777" w:rsidR="00C736EC" w:rsidRPr="002B5AAF" w:rsidRDefault="00C736EC" w:rsidP="00C736EC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288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67373B5" w14:textId="6E72E4E7" w:rsidR="00C736EC" w:rsidRPr="00734B98" w:rsidRDefault="00C736EC" w:rsidP="00C736EC">
            <w:pPr>
              <w:ind w:right="340"/>
              <w:jc w:val="right"/>
              <w:rPr>
                <w:rFonts w:ascii="Verdana" w:hAnsi="Verdana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8,2</w:t>
            </w:r>
          </w:p>
        </w:tc>
        <w:tc>
          <w:tcPr>
            <w:tcW w:w="168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362AA8D7" w14:textId="3135D9A3" w:rsidR="00C736EC" w:rsidRPr="00057FE2" w:rsidRDefault="00C736EC" w:rsidP="00C736EC">
            <w:pPr>
              <w:ind w:right="510"/>
              <w:jc w:val="right"/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5F91"/>
                <w:sz w:val="18"/>
                <w:szCs w:val="18"/>
                <w:lang w:val="el-GR"/>
              </w:rPr>
              <w:t>5,9</w:t>
            </w:r>
          </w:p>
        </w:tc>
      </w:tr>
    </w:tbl>
    <w:p w14:paraId="62F94158" w14:textId="77777777" w:rsidR="00B97BD3" w:rsidRDefault="00B97BD3" w:rsidP="003D3ED7">
      <w:pPr>
        <w:jc w:val="center"/>
        <w:rPr>
          <w:rFonts w:ascii="Verdana" w:hAnsi="Verdana" w:cs="Arial"/>
          <w:b/>
          <w:u w:val="single"/>
        </w:rPr>
      </w:pPr>
    </w:p>
    <w:p w14:paraId="0EE0F43F" w14:textId="77777777" w:rsidR="00B97BD3" w:rsidRDefault="00B97BD3" w:rsidP="003D3ED7">
      <w:pPr>
        <w:jc w:val="center"/>
        <w:rPr>
          <w:rFonts w:ascii="Verdana" w:hAnsi="Verdana" w:cs="Arial"/>
          <w:b/>
          <w:u w:val="single"/>
        </w:rPr>
      </w:pPr>
    </w:p>
    <w:p w14:paraId="1283D187" w14:textId="77777777" w:rsidR="00A75813" w:rsidRDefault="00A75813" w:rsidP="003D3ED7">
      <w:pPr>
        <w:jc w:val="center"/>
        <w:rPr>
          <w:rFonts w:ascii="Verdana" w:hAnsi="Verdana" w:cs="Arial"/>
          <w:b/>
          <w:u w:val="single"/>
        </w:rPr>
      </w:pPr>
    </w:p>
    <w:p w14:paraId="4A210836" w14:textId="0F4CC2FC" w:rsidR="003D3ED7" w:rsidRPr="00A45F77" w:rsidRDefault="003D3ED7" w:rsidP="003D3ED7">
      <w:pPr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lastRenderedPageBreak/>
        <w:t>METHODOLOGICAL INFORMATION</w:t>
      </w:r>
    </w:p>
    <w:p w14:paraId="7044CED1" w14:textId="77777777" w:rsidR="003D3ED7" w:rsidRPr="00A45F77" w:rsidRDefault="003D3ED7" w:rsidP="003D3ED7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14:paraId="1ABF0D02" w14:textId="77777777" w:rsidR="003D3ED7" w:rsidRPr="00A45F77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Scope</w:t>
      </w:r>
    </w:p>
    <w:p w14:paraId="2E62BA8D" w14:textId="77777777" w:rsidR="003D3ED7" w:rsidRPr="00A45F77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C9B8F3D" w14:textId="77777777" w:rsidR="003D3ED7" w:rsidRPr="007B236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7B2361">
        <w:rPr>
          <w:rFonts w:ascii="Verdana" w:hAnsi="Verdana" w:cs="Arial"/>
          <w:sz w:val="18"/>
          <w:szCs w:val="18"/>
        </w:rPr>
        <w:t>The Industrial Production Index r</w:t>
      </w:r>
      <w:r>
        <w:rPr>
          <w:rFonts w:ascii="Verdana" w:hAnsi="Verdana" w:cs="Arial"/>
          <w:sz w:val="18"/>
          <w:szCs w:val="18"/>
        </w:rPr>
        <w:t xml:space="preserve">eflects </w:t>
      </w:r>
      <w:r w:rsidRPr="007B2361">
        <w:rPr>
          <w:rFonts w:ascii="Verdana" w:hAnsi="Verdana" w:cs="Arial"/>
          <w:sz w:val="18"/>
          <w:szCs w:val="18"/>
        </w:rPr>
        <w:t xml:space="preserve">the monthly changes of the volume of production in the </w:t>
      </w:r>
      <w:r>
        <w:rPr>
          <w:rFonts w:ascii="Verdana" w:hAnsi="Verdana" w:cs="Arial"/>
          <w:sz w:val="18"/>
          <w:szCs w:val="18"/>
        </w:rPr>
        <w:t xml:space="preserve">sectors </w:t>
      </w:r>
      <w:r w:rsidRPr="007B2361">
        <w:rPr>
          <w:rFonts w:ascii="Verdana" w:hAnsi="Verdana" w:cs="Arial"/>
          <w:sz w:val="18"/>
          <w:szCs w:val="18"/>
        </w:rPr>
        <w:t>of mining and quarrying, manufacturing, electricity supply, water supply and materials recovery, that is, sections B, C, D and E of the statistical classification of economic activities NACE Rev. 2 of the European Union. The index does not include sewerage, waste collection, treatment and disposal and remediation activities, which are codes 37, 38.1, 38.2 and 39 of section E</w:t>
      </w:r>
      <w:r>
        <w:rPr>
          <w:rFonts w:ascii="Verdana" w:hAnsi="Verdana" w:cs="Arial"/>
          <w:sz w:val="18"/>
          <w:szCs w:val="18"/>
        </w:rPr>
        <w:t>.</w:t>
      </w:r>
    </w:p>
    <w:p w14:paraId="16D2CCBD" w14:textId="77777777" w:rsidR="003D3ED7" w:rsidRPr="007B236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0051D44" w14:textId="77777777" w:rsidR="003D3ED7" w:rsidRPr="007B236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4F4092CB" w14:textId="77777777" w:rsidR="003D3ED7" w:rsidRPr="007B236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 xml:space="preserve">Data </w:t>
      </w:r>
      <w:r w:rsidR="00E960D6">
        <w:rPr>
          <w:rFonts w:ascii="Verdana" w:hAnsi="Verdana" w:cs="Arial"/>
          <w:b/>
          <w:sz w:val="18"/>
          <w:szCs w:val="18"/>
          <w:u w:val="single"/>
        </w:rPr>
        <w:t>C</w:t>
      </w:r>
      <w:r>
        <w:rPr>
          <w:rFonts w:ascii="Verdana" w:hAnsi="Verdana" w:cs="Arial"/>
          <w:b/>
          <w:sz w:val="18"/>
          <w:szCs w:val="18"/>
          <w:u w:val="single"/>
        </w:rPr>
        <w:t>ollection</w:t>
      </w:r>
    </w:p>
    <w:p w14:paraId="7B4C4E75" w14:textId="77777777" w:rsidR="003D3ED7" w:rsidRPr="007B236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96AE11B" w14:textId="7858CB71" w:rsidR="003D3ED7" w:rsidRPr="007B2361" w:rsidRDefault="003D3ED7" w:rsidP="00C143F1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7B2361">
        <w:rPr>
          <w:rFonts w:ascii="Verdana" w:hAnsi="Verdana" w:cs="Arial"/>
          <w:sz w:val="18"/>
          <w:szCs w:val="18"/>
        </w:rPr>
        <w:t xml:space="preserve">The collection of data is conducted by the Statistical Service by telephone enquiries, fax or e-mail. </w:t>
      </w:r>
      <w:r w:rsidRPr="005D219B">
        <w:rPr>
          <w:rFonts w:ascii="Verdana" w:hAnsi="Verdana" w:cs="Arial"/>
          <w:sz w:val="18"/>
          <w:szCs w:val="18"/>
        </w:rPr>
        <w:t xml:space="preserve">The data collection </w:t>
      </w:r>
      <w:r>
        <w:rPr>
          <w:rFonts w:ascii="Verdana" w:hAnsi="Verdana" w:cs="Arial"/>
          <w:sz w:val="18"/>
          <w:szCs w:val="18"/>
        </w:rPr>
        <w:t xml:space="preserve">process </w:t>
      </w:r>
      <w:r w:rsidRPr="005D219B">
        <w:rPr>
          <w:rFonts w:ascii="Verdana" w:hAnsi="Verdana" w:cs="Arial"/>
          <w:sz w:val="18"/>
          <w:szCs w:val="18"/>
        </w:rPr>
        <w:t xml:space="preserve">starts five to ten days after the end of the reference period and is normally completed within a month and a half. </w:t>
      </w:r>
      <w:r w:rsidRPr="00A45F77">
        <w:rPr>
          <w:rFonts w:ascii="Verdana" w:hAnsi="Verdana" w:cs="Arial"/>
          <w:sz w:val="18"/>
          <w:szCs w:val="18"/>
        </w:rPr>
        <w:t xml:space="preserve">The mining and quarrying sector covers all major quarrying products but not the support activities for the extraction of natural gas. For manufacturing, all enterprises with production value </w:t>
      </w:r>
      <w:r w:rsidR="007728F1">
        <w:rPr>
          <w:rFonts w:ascii="Verdana" w:hAnsi="Verdana" w:cs="Arial"/>
          <w:sz w:val="18"/>
          <w:szCs w:val="18"/>
        </w:rPr>
        <w:t>2.000</w:t>
      </w:r>
      <w:r w:rsidRPr="00A45F77">
        <w:rPr>
          <w:rFonts w:ascii="Verdana" w:hAnsi="Verdana" w:cs="Arial"/>
          <w:sz w:val="18"/>
          <w:szCs w:val="18"/>
        </w:rPr>
        <w:t xml:space="preserve">.000 Euros and over or with 20 or more employees are included in the survey and a sample is selected from enterprises employing less than 20 persons. </w:t>
      </w:r>
      <w:r w:rsidR="00C143F1" w:rsidRPr="00C143F1">
        <w:rPr>
          <w:rFonts w:ascii="Verdana" w:hAnsi="Verdana" w:cs="Arial"/>
          <w:sz w:val="18"/>
          <w:szCs w:val="18"/>
        </w:rPr>
        <w:t>For electricity supply and water collection, treatment</w:t>
      </w:r>
      <w:r w:rsidR="00C143F1">
        <w:rPr>
          <w:rFonts w:ascii="Verdana" w:hAnsi="Verdana" w:cs="Arial"/>
          <w:sz w:val="18"/>
          <w:szCs w:val="18"/>
        </w:rPr>
        <w:t xml:space="preserve"> </w:t>
      </w:r>
      <w:r w:rsidR="00C143F1" w:rsidRPr="00C143F1">
        <w:rPr>
          <w:rFonts w:ascii="Verdana" w:hAnsi="Verdana" w:cs="Arial"/>
          <w:sz w:val="18"/>
          <w:szCs w:val="18"/>
        </w:rPr>
        <w:t>and supply, data is collected from administrative sources.</w:t>
      </w:r>
    </w:p>
    <w:p w14:paraId="544A935D" w14:textId="77777777" w:rsidR="003D3ED7" w:rsidRPr="007B236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4C04265C" w14:textId="77777777" w:rsidR="003D3ED7" w:rsidRPr="007B236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6406D83" w14:textId="77777777" w:rsidR="003D3ED7" w:rsidRPr="007B236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 xml:space="preserve">Compilation </w:t>
      </w:r>
      <w:r w:rsidR="00E960D6">
        <w:rPr>
          <w:rFonts w:ascii="Verdana" w:hAnsi="Verdana" w:cs="Arial"/>
          <w:b/>
          <w:sz w:val="18"/>
          <w:szCs w:val="18"/>
          <w:u w:val="single"/>
        </w:rPr>
        <w:t>M</w:t>
      </w:r>
      <w:r>
        <w:rPr>
          <w:rFonts w:ascii="Verdana" w:hAnsi="Verdana" w:cs="Arial"/>
          <w:b/>
          <w:sz w:val="18"/>
          <w:szCs w:val="18"/>
          <w:u w:val="single"/>
        </w:rPr>
        <w:t xml:space="preserve">ethods and </w:t>
      </w:r>
      <w:r w:rsidR="00E960D6">
        <w:rPr>
          <w:rFonts w:ascii="Verdana" w:hAnsi="Verdana" w:cs="Arial"/>
          <w:b/>
          <w:sz w:val="18"/>
          <w:szCs w:val="18"/>
          <w:u w:val="single"/>
        </w:rPr>
        <w:t>D</w:t>
      </w:r>
      <w:r>
        <w:rPr>
          <w:rFonts w:ascii="Verdana" w:hAnsi="Verdana" w:cs="Arial"/>
          <w:b/>
          <w:sz w:val="18"/>
          <w:szCs w:val="18"/>
          <w:u w:val="single"/>
        </w:rPr>
        <w:t xml:space="preserve">issemination </w:t>
      </w:r>
      <w:r w:rsidR="00E960D6">
        <w:rPr>
          <w:rFonts w:ascii="Verdana" w:hAnsi="Verdana" w:cs="Arial"/>
          <w:b/>
          <w:sz w:val="18"/>
          <w:szCs w:val="18"/>
          <w:u w:val="single"/>
        </w:rPr>
        <w:t>P</w:t>
      </w:r>
      <w:r>
        <w:rPr>
          <w:rFonts w:ascii="Verdana" w:hAnsi="Verdana" w:cs="Arial"/>
          <w:b/>
          <w:sz w:val="18"/>
          <w:szCs w:val="18"/>
          <w:u w:val="single"/>
        </w:rPr>
        <w:t>ractices</w:t>
      </w:r>
    </w:p>
    <w:p w14:paraId="00B62F7B" w14:textId="77777777" w:rsidR="003D3ED7" w:rsidRPr="007B236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84842F2" w14:textId="04664BE8" w:rsidR="003D3ED7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The</w:t>
      </w:r>
      <w:r w:rsidRPr="007B236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Industrial</w:t>
      </w:r>
      <w:r w:rsidRPr="007B236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Production</w:t>
      </w:r>
      <w:r w:rsidRPr="007B236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Index</w:t>
      </w:r>
      <w:r w:rsidRPr="007B2361">
        <w:rPr>
          <w:rFonts w:ascii="Verdana" w:hAnsi="Verdana" w:cs="Arial"/>
          <w:sz w:val="18"/>
          <w:szCs w:val="18"/>
        </w:rPr>
        <w:t xml:space="preserve"> is using 20</w:t>
      </w:r>
      <w:r w:rsidR="007728F1">
        <w:rPr>
          <w:rFonts w:ascii="Verdana" w:hAnsi="Verdana" w:cs="Arial"/>
          <w:sz w:val="18"/>
          <w:szCs w:val="18"/>
        </w:rPr>
        <w:t>21</w:t>
      </w:r>
      <w:r w:rsidRPr="007B2361">
        <w:rPr>
          <w:rFonts w:ascii="Verdana" w:hAnsi="Verdana" w:cs="Arial"/>
          <w:sz w:val="18"/>
          <w:szCs w:val="18"/>
        </w:rPr>
        <w:t xml:space="preserve"> as base year, meaning that it shows the monthly changes in production in relation with the monthly average production of the year 20</w:t>
      </w:r>
      <w:r w:rsidR="007728F1">
        <w:rPr>
          <w:rFonts w:ascii="Verdana" w:hAnsi="Verdana" w:cs="Arial"/>
          <w:sz w:val="18"/>
          <w:szCs w:val="18"/>
        </w:rPr>
        <w:t>21</w:t>
      </w:r>
      <w:r w:rsidRPr="007B2361">
        <w:rPr>
          <w:rFonts w:ascii="Verdana" w:hAnsi="Verdana" w:cs="Arial"/>
          <w:sz w:val="18"/>
          <w:szCs w:val="18"/>
        </w:rPr>
        <w:t xml:space="preserve">. </w:t>
      </w:r>
      <w:r w:rsidRPr="00A45F77">
        <w:rPr>
          <w:rFonts w:ascii="Verdana" w:hAnsi="Verdana" w:cs="Arial"/>
          <w:sz w:val="18"/>
          <w:szCs w:val="18"/>
        </w:rPr>
        <w:t>In the base year, the average of the production indices for the twelve months is 100,0. For example, a monthly production index of 103,4 means that the production for the specific month has increased by 3,4% in relation to the monthly average production of 20</w:t>
      </w:r>
      <w:r w:rsidR="007728F1">
        <w:rPr>
          <w:rFonts w:ascii="Verdana" w:hAnsi="Verdana" w:cs="Arial"/>
          <w:sz w:val="18"/>
          <w:szCs w:val="18"/>
        </w:rPr>
        <w:t>21</w:t>
      </w:r>
      <w:r w:rsidRPr="00A45F77">
        <w:rPr>
          <w:rFonts w:ascii="Verdana" w:hAnsi="Verdana" w:cs="Arial"/>
          <w:sz w:val="18"/>
          <w:szCs w:val="18"/>
        </w:rPr>
        <w:t>.</w:t>
      </w:r>
    </w:p>
    <w:p w14:paraId="373D1FC6" w14:textId="77777777" w:rsidR="003D3ED7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EF8B669" w14:textId="583C1494" w:rsidR="003D3ED7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8A2EB1">
        <w:rPr>
          <w:rFonts w:ascii="Verdana" w:hAnsi="Verdana" w:cs="Arial"/>
          <w:sz w:val="18"/>
          <w:szCs w:val="18"/>
        </w:rPr>
        <w:t xml:space="preserve">The aggregated Index of Industrial Production is a weighted average of the production indices of the various sub-sectors of Industry, as determined in the statistical classification of economic activities NACE Rev. 2. </w:t>
      </w:r>
      <w:r w:rsidRPr="008C2FA5">
        <w:rPr>
          <w:rFonts w:ascii="Verdana" w:hAnsi="Verdana" w:cs="Arial"/>
          <w:sz w:val="18"/>
          <w:szCs w:val="18"/>
        </w:rPr>
        <w:t xml:space="preserve">The weights used </w:t>
      </w:r>
      <w:r>
        <w:rPr>
          <w:rFonts w:ascii="Verdana" w:hAnsi="Verdana" w:cs="Arial"/>
          <w:sz w:val="18"/>
          <w:szCs w:val="18"/>
        </w:rPr>
        <w:t xml:space="preserve">for the compilation of the index </w:t>
      </w:r>
      <w:r w:rsidRPr="008C2FA5">
        <w:rPr>
          <w:rFonts w:ascii="Verdana" w:hAnsi="Verdana" w:cs="Arial"/>
          <w:sz w:val="18"/>
          <w:szCs w:val="18"/>
        </w:rPr>
        <w:t>are derived from the value added of the enterprises in the base year (20</w:t>
      </w:r>
      <w:r w:rsidR="007728F1">
        <w:rPr>
          <w:rFonts w:ascii="Verdana" w:hAnsi="Verdana" w:cs="Arial"/>
          <w:sz w:val="18"/>
          <w:szCs w:val="18"/>
        </w:rPr>
        <w:t>21</w:t>
      </w:r>
      <w:r w:rsidRPr="008C2FA5">
        <w:rPr>
          <w:rFonts w:ascii="Verdana" w:hAnsi="Verdana" w:cs="Arial"/>
          <w:sz w:val="18"/>
          <w:szCs w:val="18"/>
        </w:rPr>
        <w:t>) and reflect the value added of each sub-sector in relation to the total value added of the Industrial sector.</w:t>
      </w:r>
    </w:p>
    <w:p w14:paraId="667ABEEC" w14:textId="77777777" w:rsidR="003D3ED7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0DFB4957" w14:textId="77777777" w:rsidR="003D3ED7" w:rsidRDefault="003D3ED7" w:rsidP="003D3ED7">
      <w:pPr>
        <w:autoSpaceDE w:val="0"/>
        <w:autoSpaceDN w:val="0"/>
        <w:adjustRightInd w:val="0"/>
        <w:jc w:val="both"/>
        <w:rPr>
          <w:rFonts w:ascii="Arial" w:hAnsi="Arial" w:cs="Arial"/>
          <w:sz w:val="13"/>
          <w:szCs w:val="13"/>
        </w:rPr>
      </w:pPr>
      <w:r w:rsidRPr="008C2FA5">
        <w:rPr>
          <w:rFonts w:ascii="Verdana" w:hAnsi="Verdana" w:cs="Arial"/>
          <w:sz w:val="18"/>
          <w:szCs w:val="18"/>
        </w:rPr>
        <w:t xml:space="preserve">The compilation of the Industrial Production </w:t>
      </w:r>
      <w:r>
        <w:rPr>
          <w:rFonts w:ascii="Verdana" w:hAnsi="Verdana" w:cs="Arial"/>
          <w:sz w:val="18"/>
          <w:szCs w:val="18"/>
        </w:rPr>
        <w:t xml:space="preserve">Index </w:t>
      </w:r>
      <w:r w:rsidRPr="008C2FA5">
        <w:rPr>
          <w:rFonts w:ascii="Verdana" w:hAnsi="Verdana" w:cs="Arial"/>
          <w:sz w:val="18"/>
          <w:szCs w:val="18"/>
        </w:rPr>
        <w:t>follows the provisions of Regulation (E</w:t>
      </w:r>
      <w:r>
        <w:rPr>
          <w:rFonts w:ascii="Verdana" w:hAnsi="Verdana" w:cs="Arial"/>
          <w:sz w:val="18"/>
          <w:szCs w:val="18"/>
        </w:rPr>
        <w:t>U</w:t>
      </w:r>
      <w:r w:rsidRPr="008C2FA5">
        <w:rPr>
          <w:rFonts w:ascii="Verdana" w:hAnsi="Verdana" w:cs="Arial"/>
          <w:sz w:val="18"/>
          <w:szCs w:val="18"/>
        </w:rPr>
        <w:t xml:space="preserve">) </w:t>
      </w:r>
      <w:r>
        <w:rPr>
          <w:rFonts w:ascii="Verdana" w:hAnsi="Verdana" w:cs="Arial"/>
          <w:sz w:val="18"/>
          <w:szCs w:val="18"/>
        </w:rPr>
        <w:t>2019/2152</w:t>
      </w:r>
      <w:r w:rsidRPr="008C2FA5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on European business statistics</w:t>
      </w:r>
      <w:r w:rsidRPr="008C2FA5">
        <w:rPr>
          <w:rFonts w:ascii="Verdana" w:hAnsi="Verdana" w:cs="Arial"/>
          <w:sz w:val="18"/>
          <w:szCs w:val="18"/>
        </w:rPr>
        <w:t xml:space="preserve">. </w:t>
      </w:r>
      <w:r w:rsidRPr="00A45F77">
        <w:rPr>
          <w:rFonts w:ascii="Verdana" w:hAnsi="Verdana" w:cs="Arial"/>
          <w:sz w:val="18"/>
          <w:szCs w:val="18"/>
        </w:rPr>
        <w:t xml:space="preserve">In addition to gross data, both seasonally and working day adjusted data are transmitted every month to the Statistical Office of the European Union (Eurostat). </w:t>
      </w:r>
      <w:r w:rsidRPr="008C2FA5">
        <w:rPr>
          <w:rFonts w:ascii="Verdana" w:hAnsi="Verdana" w:cs="Arial"/>
          <w:sz w:val="18"/>
          <w:szCs w:val="18"/>
        </w:rPr>
        <w:t>The Index is published at national level only in its gross form.</w:t>
      </w:r>
    </w:p>
    <w:p w14:paraId="7C394DC4" w14:textId="77777777" w:rsidR="003D3ED7" w:rsidRPr="00A45F77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D695D20" w14:textId="77777777" w:rsidR="003D3ED7" w:rsidRPr="00A45F77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0E267775" w14:textId="77777777" w:rsidR="003D3ED7" w:rsidRPr="00C40E2B" w:rsidRDefault="003D3ED7" w:rsidP="003D3ED7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4C18D61" w14:textId="77777777" w:rsidR="003D3ED7" w:rsidRDefault="003D3ED7" w:rsidP="003D3ED7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10" w:history="1">
        <w:r w:rsidRPr="001667B7">
          <w:rPr>
            <w:rStyle w:val="Hyperlink"/>
            <w:rFonts w:ascii="Verdana" w:hAnsi="Verdana"/>
            <w:sz w:val="18"/>
            <w:szCs w:val="18"/>
            <w:lang w:val="en-GB"/>
          </w:rPr>
          <w:t>Industry</w:t>
        </w:r>
      </w:hyperlink>
    </w:p>
    <w:p w14:paraId="39D9D3D5" w14:textId="7A30E4A2" w:rsidR="007728F1" w:rsidRPr="003F0D89" w:rsidRDefault="003F0D89" w:rsidP="003D3ED7">
      <w:pPr>
        <w:rPr>
          <w:rStyle w:val="Hyperlink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fldChar w:fldCharType="begin"/>
      </w:r>
      <w:r w:rsidR="0084332B">
        <w:rPr>
          <w:rFonts w:ascii="Verdana" w:hAnsi="Verdana"/>
          <w:sz w:val="18"/>
          <w:szCs w:val="18"/>
          <w:lang w:val="en-GB"/>
        </w:rPr>
        <w:instrText>HYPERLINK "https://www.cystat.gov.cy/en/PressRelease?id=70948"</w:instrText>
      </w:r>
      <w:r>
        <w:rPr>
          <w:rFonts w:ascii="Verdana" w:hAnsi="Verdana"/>
          <w:sz w:val="18"/>
          <w:szCs w:val="18"/>
          <w:lang w:val="en-GB"/>
        </w:rPr>
      </w:r>
      <w:r>
        <w:rPr>
          <w:rFonts w:ascii="Verdana" w:hAnsi="Verdana"/>
          <w:sz w:val="18"/>
          <w:szCs w:val="18"/>
          <w:lang w:val="en-GB"/>
        </w:rPr>
        <w:fldChar w:fldCharType="separate"/>
      </w:r>
      <w:r w:rsidR="007728F1" w:rsidRPr="003F0D89">
        <w:rPr>
          <w:rStyle w:val="Hyperlink"/>
          <w:rFonts w:ascii="Verdana" w:hAnsi="Verdana"/>
          <w:sz w:val="18"/>
          <w:szCs w:val="18"/>
          <w:lang w:val="en-GB"/>
        </w:rPr>
        <w:t>Information on Change of Base Year</w:t>
      </w:r>
    </w:p>
    <w:p w14:paraId="4059C630" w14:textId="39DFCD92" w:rsidR="003D3ED7" w:rsidRPr="00040F97" w:rsidRDefault="003F0D89" w:rsidP="003D3ED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fldChar w:fldCharType="end"/>
      </w:r>
      <w:hyperlink r:id="rId11" w:history="1">
        <w:r w:rsidR="003D3ED7" w:rsidRPr="00D2408B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3D3ED7">
        <w:rPr>
          <w:rFonts w:ascii="Verdana" w:hAnsi="Verdana"/>
          <w:sz w:val="18"/>
          <w:szCs w:val="18"/>
        </w:rPr>
        <w:t xml:space="preserve"> (Online Database) </w:t>
      </w:r>
    </w:p>
    <w:p w14:paraId="4F14F455" w14:textId="77777777" w:rsidR="003D3ED7" w:rsidRDefault="00000000" w:rsidP="003D3ED7">
      <w:pPr>
        <w:ind w:right="-79"/>
        <w:jc w:val="both"/>
        <w:rPr>
          <w:rFonts w:ascii="Verdana" w:hAnsi="Verdana"/>
          <w:sz w:val="18"/>
          <w:szCs w:val="18"/>
        </w:rPr>
      </w:pPr>
      <w:hyperlink r:id="rId12" w:history="1">
        <w:r w:rsidR="003D3ED7" w:rsidRPr="00D52895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="003D3ED7" w:rsidRPr="00040F97">
        <w:rPr>
          <w:rFonts w:ascii="Verdana" w:hAnsi="Verdana"/>
          <w:sz w:val="18"/>
          <w:szCs w:val="18"/>
        </w:rPr>
        <w:t xml:space="preserve"> (Excel)</w:t>
      </w:r>
    </w:p>
    <w:p w14:paraId="71EE32FF" w14:textId="77777777" w:rsidR="003D3ED7" w:rsidRDefault="003D3ED7" w:rsidP="003D3ED7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5A2763D6" w14:textId="0F2C6474" w:rsidR="00677A18" w:rsidRPr="00E960D6" w:rsidRDefault="007728F1" w:rsidP="003D3ED7">
      <w:pPr>
        <w:ind w:right="-79"/>
        <w:jc w:val="both"/>
        <w:rPr>
          <w:rFonts w:ascii="Verdana" w:eastAsia="Malgun Gothic" w:hAnsi="Verdana" w:cs="Arial"/>
          <w:b/>
          <w:bCs/>
          <w:sz w:val="18"/>
          <w:szCs w:val="18"/>
        </w:rPr>
      </w:pPr>
      <w:r>
        <w:rPr>
          <w:rFonts w:ascii="Verdana" w:eastAsia="Malgun Gothic" w:hAnsi="Verdana" w:cs="Arial"/>
          <w:b/>
          <w:bCs/>
          <w:sz w:val="18"/>
          <w:szCs w:val="18"/>
        </w:rPr>
        <w:t>Data for base year 2021=100 are available only in the</w:t>
      </w:r>
      <w:r w:rsidR="00677A18" w:rsidRPr="00E960D6">
        <w:rPr>
          <w:rFonts w:ascii="Verdana" w:eastAsia="Malgun Gothic" w:hAnsi="Verdana" w:cs="Arial"/>
          <w:b/>
          <w:bCs/>
          <w:sz w:val="18"/>
          <w:szCs w:val="18"/>
        </w:rPr>
        <w:t xml:space="preserve"> CYSTAT-DB Online Database.</w:t>
      </w:r>
    </w:p>
    <w:p w14:paraId="342DE4AE" w14:textId="77777777" w:rsidR="00677A18" w:rsidRPr="00C96510" w:rsidRDefault="00677A18" w:rsidP="003D3ED7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5FAABC2E" w14:textId="77777777" w:rsidR="003D3ED7" w:rsidRPr="001471A1" w:rsidRDefault="003D3ED7" w:rsidP="003D3ED7">
      <w:pPr>
        <w:ind w:right="-79"/>
        <w:jc w:val="both"/>
        <w:rPr>
          <w:rFonts w:ascii="Verdana" w:hAnsi="Verdana"/>
          <w:sz w:val="18"/>
          <w:szCs w:val="18"/>
          <w:lang w:val="pt-PT"/>
        </w:rPr>
      </w:pPr>
      <w:r w:rsidRPr="001471A1">
        <w:rPr>
          <w:rFonts w:ascii="Verdana" w:hAnsi="Verdana"/>
          <w:i/>
          <w:sz w:val="18"/>
          <w:szCs w:val="18"/>
          <w:u w:val="single"/>
          <w:lang w:val="pt-PT"/>
        </w:rPr>
        <w:t>Contact</w:t>
      </w:r>
    </w:p>
    <w:p w14:paraId="340209CD" w14:textId="77777777" w:rsidR="003D3ED7" w:rsidRPr="001471A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val="pt-PT"/>
        </w:rPr>
      </w:pPr>
      <w:r w:rsidRPr="001471A1">
        <w:rPr>
          <w:rFonts w:ascii="Verdana" w:hAnsi="Verdana" w:cs="Arial"/>
          <w:color w:val="000000"/>
          <w:sz w:val="18"/>
          <w:szCs w:val="18"/>
          <w:lang w:val="pt-PT"/>
        </w:rPr>
        <w:t>Elisavet Zinonos</w:t>
      </w:r>
      <w:r w:rsidRPr="001471A1">
        <w:rPr>
          <w:rFonts w:ascii="Verdana" w:hAnsi="Verdana" w:cs="Arial"/>
          <w:sz w:val="18"/>
          <w:szCs w:val="18"/>
          <w:lang w:val="pt-PT"/>
        </w:rPr>
        <w:t>: Tel: +357 22602187, E-mail</w:t>
      </w:r>
      <w:r w:rsidRPr="001471A1">
        <w:rPr>
          <w:rFonts w:ascii="Verdana" w:hAnsi="Verdana" w:cs="Arial"/>
          <w:color w:val="000000"/>
          <w:sz w:val="18"/>
          <w:szCs w:val="18"/>
          <w:lang w:val="pt-PT"/>
        </w:rPr>
        <w:t xml:space="preserve">: </w:t>
      </w:r>
      <w:hyperlink r:id="rId13" w:history="1">
        <w:r w:rsidRPr="001471A1">
          <w:rPr>
            <w:rStyle w:val="Hyperlink"/>
            <w:rFonts w:ascii="Verdana" w:hAnsi="Verdana" w:cs="Arial"/>
            <w:sz w:val="18"/>
            <w:szCs w:val="18"/>
            <w:lang w:val="pt-PT"/>
          </w:rPr>
          <w:t>ezinonos@cystat.mof.gov.cy</w:t>
        </w:r>
      </w:hyperlink>
    </w:p>
    <w:p w14:paraId="4D3ED630" w14:textId="77777777" w:rsidR="003D3ED7" w:rsidRPr="001471A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val="pt-PT"/>
        </w:rPr>
      </w:pPr>
      <w:r w:rsidRPr="001471A1">
        <w:rPr>
          <w:rFonts w:ascii="Verdana" w:hAnsi="Verdana" w:cs="Arial"/>
          <w:color w:val="000000"/>
          <w:sz w:val="18"/>
          <w:szCs w:val="18"/>
          <w:lang w:val="pt-PT"/>
        </w:rPr>
        <w:t>Charalambos Alkiviadous</w:t>
      </w:r>
      <w:r w:rsidRPr="001471A1">
        <w:rPr>
          <w:rFonts w:ascii="Verdana" w:hAnsi="Verdana" w:cs="Arial"/>
          <w:sz w:val="18"/>
          <w:szCs w:val="18"/>
          <w:lang w:val="pt-PT"/>
        </w:rPr>
        <w:t>: Tel: +357 22602189, E-mail</w:t>
      </w:r>
      <w:r w:rsidRPr="001471A1">
        <w:rPr>
          <w:rFonts w:ascii="Verdana" w:hAnsi="Verdana" w:cs="Arial"/>
          <w:color w:val="000000"/>
          <w:sz w:val="18"/>
          <w:szCs w:val="18"/>
          <w:lang w:val="pt-PT"/>
        </w:rPr>
        <w:t xml:space="preserve">: </w:t>
      </w:r>
      <w:hyperlink r:id="rId14" w:history="1">
        <w:r w:rsidRPr="001471A1">
          <w:rPr>
            <w:rStyle w:val="Hyperlink"/>
            <w:rFonts w:ascii="Verdana" w:hAnsi="Verdana" w:cs="Arial"/>
            <w:sz w:val="18"/>
            <w:szCs w:val="18"/>
            <w:lang w:val="pt-PT"/>
          </w:rPr>
          <w:t>calkiviadous@cystat.mof.gov.cy</w:t>
        </w:r>
      </w:hyperlink>
    </w:p>
    <w:p w14:paraId="7EABCBAC" w14:textId="77777777" w:rsidR="003D3ED7" w:rsidRPr="001471A1" w:rsidRDefault="003D3ED7" w:rsidP="003D3ED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val="pt-PT"/>
        </w:rPr>
      </w:pPr>
    </w:p>
    <w:p w14:paraId="1FB17654" w14:textId="77777777" w:rsidR="00C26329" w:rsidRPr="001471A1" w:rsidRDefault="00C26329" w:rsidP="003D3ED7">
      <w:pPr>
        <w:rPr>
          <w:lang w:val="pt-PT"/>
        </w:rPr>
      </w:pPr>
    </w:p>
    <w:sectPr w:rsidR="00C26329" w:rsidRPr="001471A1" w:rsidSect="00ED200B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38241" w14:textId="77777777" w:rsidR="00DF72B4" w:rsidRDefault="00DF72B4" w:rsidP="00FB398F">
      <w:r>
        <w:separator/>
      </w:r>
    </w:p>
  </w:endnote>
  <w:endnote w:type="continuationSeparator" w:id="0">
    <w:p w14:paraId="53567A04" w14:textId="77777777" w:rsidR="00DF72B4" w:rsidRDefault="00DF72B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C1ED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CF33F" w14:textId="1AA8F3BE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122143">
      <w:rPr>
        <w:rFonts w:ascii="Arial" w:hAnsi="Arial" w:cs="Arial"/>
        <w:i/>
        <w:iCs/>
        <w:sz w:val="16"/>
        <w:szCs w:val="16"/>
      </w:rPr>
      <w:t>Karaoli</w:t>
    </w:r>
    <w:proofErr w:type="spellEnd"/>
    <w:r w:rsidRPr="00122143">
      <w:rPr>
        <w:rFonts w:ascii="Arial" w:hAnsi="Arial" w:cs="Arial"/>
        <w:i/>
        <w:iCs/>
        <w:sz w:val="16"/>
        <w:szCs w:val="16"/>
      </w:rPr>
      <w:t xml:space="preserve"> Str., 1444 Nicosia, Cyprus</w:t>
    </w:r>
  </w:p>
  <w:p w14:paraId="4B1C9EC3" w14:textId="77777777" w:rsidR="0060256A" w:rsidRPr="001471A1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pt-PT"/>
      </w:rPr>
    </w:pPr>
    <w:r w:rsidRPr="001471A1">
      <w:rPr>
        <w:rFonts w:ascii="Arial" w:hAnsi="Arial" w:cs="Arial"/>
        <w:i/>
        <w:iCs/>
        <w:sz w:val="16"/>
        <w:szCs w:val="16"/>
        <w:lang w:val="pt-PT"/>
      </w:rPr>
      <w:t xml:space="preserve">Tel.:  22 602129, </w:t>
    </w:r>
    <w:r w:rsidR="0060256A" w:rsidRPr="001471A1">
      <w:rPr>
        <w:rFonts w:ascii="Arial" w:hAnsi="Arial" w:cs="Arial"/>
        <w:i/>
        <w:iCs/>
        <w:sz w:val="16"/>
        <w:szCs w:val="16"/>
        <w:lang w:val="pt-PT"/>
      </w:rPr>
      <w:t>Fax: 22 661313, E-mail:  enquiries@cystat.mof.gov.cy</w:t>
    </w:r>
  </w:p>
  <w:p w14:paraId="240387BE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0525A" w14:textId="77777777" w:rsidR="00DF72B4" w:rsidRDefault="00DF72B4" w:rsidP="00FB398F">
      <w:r>
        <w:separator/>
      </w:r>
    </w:p>
  </w:footnote>
  <w:footnote w:type="continuationSeparator" w:id="0">
    <w:p w14:paraId="48EAB912" w14:textId="77777777" w:rsidR="00DF72B4" w:rsidRDefault="00DF72B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7A77E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D7C2C" w14:textId="77777777" w:rsidR="004E4F42" w:rsidRDefault="00E960D6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6DB7FC0" wp14:editId="5DC0EFEB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0FE49" wp14:editId="7FE81048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5708375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4B78C" w14:textId="77777777" w:rsidR="004E4F42" w:rsidRDefault="00E960D6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1CD426C0" wp14:editId="11DF61C1">
                                <wp:extent cx="1095375" cy="790575"/>
                                <wp:effectExtent l="0" t="0" r="0" b="0"/>
                                <wp:docPr id="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0FE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68A4B78C" w14:textId="77777777" w:rsidR="004E4F42" w:rsidRDefault="00E960D6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1CD426C0" wp14:editId="11DF61C1">
                          <wp:extent cx="1095375" cy="790575"/>
                          <wp:effectExtent l="0" t="0" r="0" b="0"/>
                          <wp:docPr id="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58B3A" wp14:editId="297AE74B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685776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2E8D4" w14:textId="77777777" w:rsidR="004E4F42" w:rsidRDefault="00E960D6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41B5DFF6" wp14:editId="795DB8B4">
                                <wp:extent cx="1276350" cy="1009650"/>
                                <wp:effectExtent l="0" t="0" r="0" b="0"/>
                                <wp:docPr id="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C58B3A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4AA2E8D4" w14:textId="77777777" w:rsidR="004E4F42" w:rsidRDefault="00E960D6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41B5DFF6" wp14:editId="795DB8B4">
                          <wp:extent cx="1276350" cy="1009650"/>
                          <wp:effectExtent l="0" t="0" r="0" b="0"/>
                          <wp:docPr id="2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B1608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6D0EBE4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7F6634C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24C097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0A12FBB0" w14:textId="77777777" w:rsidR="00364377" w:rsidRPr="00AC704B" w:rsidRDefault="00E960D6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7FD10" wp14:editId="2C844055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0370042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DA96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E892445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7E413FF5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07FD10" id="Text Box 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0EEDA96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E892445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7E413FF5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154E34EE" w14:textId="77777777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74514575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7273808">
    <w:abstractNumId w:val="4"/>
  </w:num>
  <w:num w:numId="2" w16cid:durableId="247813845">
    <w:abstractNumId w:val="1"/>
  </w:num>
  <w:num w:numId="3" w16cid:durableId="1885633336">
    <w:abstractNumId w:val="2"/>
  </w:num>
  <w:num w:numId="4" w16cid:durableId="1778520071">
    <w:abstractNumId w:val="3"/>
  </w:num>
  <w:num w:numId="5" w16cid:durableId="327287666">
    <w:abstractNumId w:val="0"/>
  </w:num>
  <w:num w:numId="6" w16cid:durableId="1680159514">
    <w:abstractNumId w:val="5"/>
  </w:num>
  <w:num w:numId="7" w16cid:durableId="726344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4677"/>
    <w:rsid w:val="000161B1"/>
    <w:rsid w:val="00016A53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1D33"/>
    <w:rsid w:val="00054D12"/>
    <w:rsid w:val="00055291"/>
    <w:rsid w:val="000563D3"/>
    <w:rsid w:val="00057E44"/>
    <w:rsid w:val="00061299"/>
    <w:rsid w:val="00063E8B"/>
    <w:rsid w:val="00070576"/>
    <w:rsid w:val="0007087D"/>
    <w:rsid w:val="00072754"/>
    <w:rsid w:val="000752BB"/>
    <w:rsid w:val="00076547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2FA1"/>
    <w:rsid w:val="000B6F3B"/>
    <w:rsid w:val="000B73C4"/>
    <w:rsid w:val="000C1101"/>
    <w:rsid w:val="000C4E72"/>
    <w:rsid w:val="000C7DEB"/>
    <w:rsid w:val="000D1E7A"/>
    <w:rsid w:val="000D2576"/>
    <w:rsid w:val="000D2A3B"/>
    <w:rsid w:val="000D3CF9"/>
    <w:rsid w:val="000E0BB1"/>
    <w:rsid w:val="000E24B1"/>
    <w:rsid w:val="000E2735"/>
    <w:rsid w:val="000E32D6"/>
    <w:rsid w:val="000E35AD"/>
    <w:rsid w:val="000E5408"/>
    <w:rsid w:val="000E57F2"/>
    <w:rsid w:val="000E72A7"/>
    <w:rsid w:val="000E787A"/>
    <w:rsid w:val="000F1162"/>
    <w:rsid w:val="000F3467"/>
    <w:rsid w:val="000F38DE"/>
    <w:rsid w:val="000F5D6C"/>
    <w:rsid w:val="000F7EBB"/>
    <w:rsid w:val="00104512"/>
    <w:rsid w:val="00106852"/>
    <w:rsid w:val="00110F9D"/>
    <w:rsid w:val="0011411C"/>
    <w:rsid w:val="00114A67"/>
    <w:rsid w:val="00122143"/>
    <w:rsid w:val="001253B6"/>
    <w:rsid w:val="00127320"/>
    <w:rsid w:val="00127456"/>
    <w:rsid w:val="001312D8"/>
    <w:rsid w:val="0013137B"/>
    <w:rsid w:val="001459CA"/>
    <w:rsid w:val="001471A1"/>
    <w:rsid w:val="0015118B"/>
    <w:rsid w:val="001519CE"/>
    <w:rsid w:val="00152C62"/>
    <w:rsid w:val="00154464"/>
    <w:rsid w:val="00161CF3"/>
    <w:rsid w:val="00162C00"/>
    <w:rsid w:val="001639EF"/>
    <w:rsid w:val="0016589F"/>
    <w:rsid w:val="00166FC4"/>
    <w:rsid w:val="00176558"/>
    <w:rsid w:val="0017756A"/>
    <w:rsid w:val="0017769A"/>
    <w:rsid w:val="0018031A"/>
    <w:rsid w:val="00183DFC"/>
    <w:rsid w:val="00184384"/>
    <w:rsid w:val="001843B2"/>
    <w:rsid w:val="00186717"/>
    <w:rsid w:val="00187FFC"/>
    <w:rsid w:val="001917CB"/>
    <w:rsid w:val="00194D01"/>
    <w:rsid w:val="001A2018"/>
    <w:rsid w:val="001A3DD4"/>
    <w:rsid w:val="001B2580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571"/>
    <w:rsid w:val="001D0D6A"/>
    <w:rsid w:val="001D20A4"/>
    <w:rsid w:val="001D461B"/>
    <w:rsid w:val="001D4792"/>
    <w:rsid w:val="001D4B2A"/>
    <w:rsid w:val="001E00D1"/>
    <w:rsid w:val="001E0E58"/>
    <w:rsid w:val="001E14F3"/>
    <w:rsid w:val="001E15ED"/>
    <w:rsid w:val="001E61AA"/>
    <w:rsid w:val="001E7D09"/>
    <w:rsid w:val="0020309E"/>
    <w:rsid w:val="00205BA0"/>
    <w:rsid w:val="00210B58"/>
    <w:rsid w:val="00214560"/>
    <w:rsid w:val="002146EB"/>
    <w:rsid w:val="00222423"/>
    <w:rsid w:val="00224021"/>
    <w:rsid w:val="00224C96"/>
    <w:rsid w:val="00225B28"/>
    <w:rsid w:val="002313AC"/>
    <w:rsid w:val="00235FB2"/>
    <w:rsid w:val="00237BC1"/>
    <w:rsid w:val="002426CA"/>
    <w:rsid w:val="002430B4"/>
    <w:rsid w:val="002447D0"/>
    <w:rsid w:val="002454C5"/>
    <w:rsid w:val="00245E19"/>
    <w:rsid w:val="0024685F"/>
    <w:rsid w:val="00246AEB"/>
    <w:rsid w:val="00247EF4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777A5"/>
    <w:rsid w:val="00280B7F"/>
    <w:rsid w:val="0028338F"/>
    <w:rsid w:val="00285C24"/>
    <w:rsid w:val="002915C4"/>
    <w:rsid w:val="002A1D1C"/>
    <w:rsid w:val="002A350C"/>
    <w:rsid w:val="002A4D64"/>
    <w:rsid w:val="002B6554"/>
    <w:rsid w:val="002D05F0"/>
    <w:rsid w:val="002D395E"/>
    <w:rsid w:val="002D7D4A"/>
    <w:rsid w:val="002E1906"/>
    <w:rsid w:val="002E3846"/>
    <w:rsid w:val="002E3F78"/>
    <w:rsid w:val="002E5B3A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0537"/>
    <w:rsid w:val="003342A5"/>
    <w:rsid w:val="00336C36"/>
    <w:rsid w:val="00343815"/>
    <w:rsid w:val="00346BA5"/>
    <w:rsid w:val="00351E07"/>
    <w:rsid w:val="003522BB"/>
    <w:rsid w:val="00352F6C"/>
    <w:rsid w:val="003556EA"/>
    <w:rsid w:val="00364377"/>
    <w:rsid w:val="00377ABB"/>
    <w:rsid w:val="003854F5"/>
    <w:rsid w:val="00386FC7"/>
    <w:rsid w:val="00390A32"/>
    <w:rsid w:val="00392D95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C6477"/>
    <w:rsid w:val="003D14E0"/>
    <w:rsid w:val="003D1EA5"/>
    <w:rsid w:val="003D3348"/>
    <w:rsid w:val="003D3ED7"/>
    <w:rsid w:val="003D4B71"/>
    <w:rsid w:val="003D5653"/>
    <w:rsid w:val="003D6822"/>
    <w:rsid w:val="003D68D7"/>
    <w:rsid w:val="003D724C"/>
    <w:rsid w:val="003E0CE2"/>
    <w:rsid w:val="003E19BC"/>
    <w:rsid w:val="003E31C7"/>
    <w:rsid w:val="003F0D89"/>
    <w:rsid w:val="003F1B77"/>
    <w:rsid w:val="003F49E4"/>
    <w:rsid w:val="003F4D2F"/>
    <w:rsid w:val="003F5E32"/>
    <w:rsid w:val="003F75F6"/>
    <w:rsid w:val="00401800"/>
    <w:rsid w:val="00404670"/>
    <w:rsid w:val="00414CA0"/>
    <w:rsid w:val="004170B1"/>
    <w:rsid w:val="00422F54"/>
    <w:rsid w:val="00430C64"/>
    <w:rsid w:val="00430C72"/>
    <w:rsid w:val="00431516"/>
    <w:rsid w:val="004329FB"/>
    <w:rsid w:val="004361B3"/>
    <w:rsid w:val="004413EA"/>
    <w:rsid w:val="0044249D"/>
    <w:rsid w:val="0044379F"/>
    <w:rsid w:val="00446FB1"/>
    <w:rsid w:val="00460343"/>
    <w:rsid w:val="0046078F"/>
    <w:rsid w:val="00463214"/>
    <w:rsid w:val="0046434D"/>
    <w:rsid w:val="004656FA"/>
    <w:rsid w:val="00471D77"/>
    <w:rsid w:val="004733D7"/>
    <w:rsid w:val="00475587"/>
    <w:rsid w:val="00480BC2"/>
    <w:rsid w:val="00487F99"/>
    <w:rsid w:val="004903D4"/>
    <w:rsid w:val="004929C2"/>
    <w:rsid w:val="00493FDD"/>
    <w:rsid w:val="0049586B"/>
    <w:rsid w:val="00495976"/>
    <w:rsid w:val="004A3E44"/>
    <w:rsid w:val="004A7983"/>
    <w:rsid w:val="004B2896"/>
    <w:rsid w:val="004B38E9"/>
    <w:rsid w:val="004B3FBA"/>
    <w:rsid w:val="004B556F"/>
    <w:rsid w:val="004B6599"/>
    <w:rsid w:val="004C0102"/>
    <w:rsid w:val="004C35CE"/>
    <w:rsid w:val="004C6CA7"/>
    <w:rsid w:val="004C6CED"/>
    <w:rsid w:val="004C7321"/>
    <w:rsid w:val="004D4357"/>
    <w:rsid w:val="004D4950"/>
    <w:rsid w:val="004E0E6F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0555"/>
    <w:rsid w:val="00527CDB"/>
    <w:rsid w:val="00527D9B"/>
    <w:rsid w:val="005317FB"/>
    <w:rsid w:val="005341C9"/>
    <w:rsid w:val="00534CCE"/>
    <w:rsid w:val="005369CA"/>
    <w:rsid w:val="00536DE9"/>
    <w:rsid w:val="00540668"/>
    <w:rsid w:val="00541E08"/>
    <w:rsid w:val="00550768"/>
    <w:rsid w:val="0055789A"/>
    <w:rsid w:val="0056291B"/>
    <w:rsid w:val="005652D1"/>
    <w:rsid w:val="005660A0"/>
    <w:rsid w:val="00566A4F"/>
    <w:rsid w:val="00567D64"/>
    <w:rsid w:val="00567E4B"/>
    <w:rsid w:val="00572BC2"/>
    <w:rsid w:val="00591F73"/>
    <w:rsid w:val="005938ED"/>
    <w:rsid w:val="00594659"/>
    <w:rsid w:val="0059478C"/>
    <w:rsid w:val="0059739C"/>
    <w:rsid w:val="005978D4"/>
    <w:rsid w:val="005B105D"/>
    <w:rsid w:val="005B2A67"/>
    <w:rsid w:val="005B3DCD"/>
    <w:rsid w:val="005B4AD4"/>
    <w:rsid w:val="005B5CC7"/>
    <w:rsid w:val="005B6B23"/>
    <w:rsid w:val="005C2798"/>
    <w:rsid w:val="005C36C3"/>
    <w:rsid w:val="005C56EE"/>
    <w:rsid w:val="005C5D4B"/>
    <w:rsid w:val="005D1714"/>
    <w:rsid w:val="005D2D39"/>
    <w:rsid w:val="005D7638"/>
    <w:rsid w:val="005E08CE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27B86"/>
    <w:rsid w:val="00632777"/>
    <w:rsid w:val="00633750"/>
    <w:rsid w:val="00634491"/>
    <w:rsid w:val="0063679C"/>
    <w:rsid w:val="00637055"/>
    <w:rsid w:val="006410E3"/>
    <w:rsid w:val="00641D59"/>
    <w:rsid w:val="00644507"/>
    <w:rsid w:val="00646880"/>
    <w:rsid w:val="00647D2A"/>
    <w:rsid w:val="006537BB"/>
    <w:rsid w:val="0065711B"/>
    <w:rsid w:val="00671785"/>
    <w:rsid w:val="00672BA9"/>
    <w:rsid w:val="00673005"/>
    <w:rsid w:val="00677A18"/>
    <w:rsid w:val="006804BE"/>
    <w:rsid w:val="006804DE"/>
    <w:rsid w:val="00684688"/>
    <w:rsid w:val="0069008E"/>
    <w:rsid w:val="0069087E"/>
    <w:rsid w:val="00691191"/>
    <w:rsid w:val="006925C4"/>
    <w:rsid w:val="0069309C"/>
    <w:rsid w:val="006A02B7"/>
    <w:rsid w:val="006B46D5"/>
    <w:rsid w:val="006B46F4"/>
    <w:rsid w:val="006B70A1"/>
    <w:rsid w:val="006C4DD5"/>
    <w:rsid w:val="006C7AF3"/>
    <w:rsid w:val="006D20C8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15A18"/>
    <w:rsid w:val="0072548A"/>
    <w:rsid w:val="007277A6"/>
    <w:rsid w:val="0074043A"/>
    <w:rsid w:val="007407B5"/>
    <w:rsid w:val="007437AB"/>
    <w:rsid w:val="00746C34"/>
    <w:rsid w:val="007534F8"/>
    <w:rsid w:val="007545AD"/>
    <w:rsid w:val="00761D0D"/>
    <w:rsid w:val="00763722"/>
    <w:rsid w:val="00764BC1"/>
    <w:rsid w:val="00770869"/>
    <w:rsid w:val="00771527"/>
    <w:rsid w:val="007728F1"/>
    <w:rsid w:val="007738AA"/>
    <w:rsid w:val="00780A62"/>
    <w:rsid w:val="00783241"/>
    <w:rsid w:val="007838EC"/>
    <w:rsid w:val="00784BDC"/>
    <w:rsid w:val="00792F28"/>
    <w:rsid w:val="0079543F"/>
    <w:rsid w:val="00795880"/>
    <w:rsid w:val="00795FA2"/>
    <w:rsid w:val="007967F7"/>
    <w:rsid w:val="007A21D0"/>
    <w:rsid w:val="007A3499"/>
    <w:rsid w:val="007A4367"/>
    <w:rsid w:val="007B0867"/>
    <w:rsid w:val="007B1AC1"/>
    <w:rsid w:val="007B5A08"/>
    <w:rsid w:val="007B693D"/>
    <w:rsid w:val="007C00FA"/>
    <w:rsid w:val="007C355A"/>
    <w:rsid w:val="007D2977"/>
    <w:rsid w:val="007E041B"/>
    <w:rsid w:val="007E199A"/>
    <w:rsid w:val="007E2415"/>
    <w:rsid w:val="007E2D4F"/>
    <w:rsid w:val="007E3089"/>
    <w:rsid w:val="007E39F3"/>
    <w:rsid w:val="007E4EC0"/>
    <w:rsid w:val="007E68F4"/>
    <w:rsid w:val="007F31BA"/>
    <w:rsid w:val="007F4078"/>
    <w:rsid w:val="0080014B"/>
    <w:rsid w:val="00801793"/>
    <w:rsid w:val="00803642"/>
    <w:rsid w:val="00806EA2"/>
    <w:rsid w:val="00810DD7"/>
    <w:rsid w:val="00812A2B"/>
    <w:rsid w:val="00814A4C"/>
    <w:rsid w:val="00821BBE"/>
    <w:rsid w:val="00831AAB"/>
    <w:rsid w:val="00833C82"/>
    <w:rsid w:val="008345D4"/>
    <w:rsid w:val="0083574E"/>
    <w:rsid w:val="0083640C"/>
    <w:rsid w:val="0084157B"/>
    <w:rsid w:val="00842BFB"/>
    <w:rsid w:val="00842D7F"/>
    <w:rsid w:val="0084332B"/>
    <w:rsid w:val="00846B85"/>
    <w:rsid w:val="00847DC3"/>
    <w:rsid w:val="00847F49"/>
    <w:rsid w:val="00851357"/>
    <w:rsid w:val="008535C5"/>
    <w:rsid w:val="00853765"/>
    <w:rsid w:val="0085516F"/>
    <w:rsid w:val="00861130"/>
    <w:rsid w:val="00861278"/>
    <w:rsid w:val="0086381A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A5022"/>
    <w:rsid w:val="008B0E7E"/>
    <w:rsid w:val="008B1059"/>
    <w:rsid w:val="008B5FF0"/>
    <w:rsid w:val="008B65BD"/>
    <w:rsid w:val="008B7900"/>
    <w:rsid w:val="008C1BD6"/>
    <w:rsid w:val="008C71BF"/>
    <w:rsid w:val="008C7FE0"/>
    <w:rsid w:val="008D5717"/>
    <w:rsid w:val="008D5F91"/>
    <w:rsid w:val="008E3AED"/>
    <w:rsid w:val="008E44A9"/>
    <w:rsid w:val="008E6B4D"/>
    <w:rsid w:val="008E6BFF"/>
    <w:rsid w:val="008E6D94"/>
    <w:rsid w:val="008F0FD4"/>
    <w:rsid w:val="008F21AF"/>
    <w:rsid w:val="008F2400"/>
    <w:rsid w:val="008F61BA"/>
    <w:rsid w:val="008F6E3C"/>
    <w:rsid w:val="008F7C55"/>
    <w:rsid w:val="0090338C"/>
    <w:rsid w:val="00906152"/>
    <w:rsid w:val="00912163"/>
    <w:rsid w:val="00914A23"/>
    <w:rsid w:val="00916288"/>
    <w:rsid w:val="00927620"/>
    <w:rsid w:val="00930754"/>
    <w:rsid w:val="00931164"/>
    <w:rsid w:val="00934F68"/>
    <w:rsid w:val="009355AC"/>
    <w:rsid w:val="00935F38"/>
    <w:rsid w:val="00937586"/>
    <w:rsid w:val="00941F6D"/>
    <w:rsid w:val="00947889"/>
    <w:rsid w:val="00960E98"/>
    <w:rsid w:val="00963A82"/>
    <w:rsid w:val="00972912"/>
    <w:rsid w:val="00972CA0"/>
    <w:rsid w:val="00976D1F"/>
    <w:rsid w:val="00981C81"/>
    <w:rsid w:val="00992209"/>
    <w:rsid w:val="00992DA9"/>
    <w:rsid w:val="0099465E"/>
    <w:rsid w:val="009A2D24"/>
    <w:rsid w:val="009A456C"/>
    <w:rsid w:val="009A4B24"/>
    <w:rsid w:val="009B00E0"/>
    <w:rsid w:val="009B292A"/>
    <w:rsid w:val="009B3A76"/>
    <w:rsid w:val="009B76D5"/>
    <w:rsid w:val="009C165D"/>
    <w:rsid w:val="009C18E2"/>
    <w:rsid w:val="009C1FA9"/>
    <w:rsid w:val="009C37F7"/>
    <w:rsid w:val="009C3CEA"/>
    <w:rsid w:val="009C583D"/>
    <w:rsid w:val="009D2611"/>
    <w:rsid w:val="009D79D2"/>
    <w:rsid w:val="009E247C"/>
    <w:rsid w:val="009E31BA"/>
    <w:rsid w:val="009E3A93"/>
    <w:rsid w:val="009F0528"/>
    <w:rsid w:val="009F0806"/>
    <w:rsid w:val="009F0B47"/>
    <w:rsid w:val="009F233B"/>
    <w:rsid w:val="00A022B1"/>
    <w:rsid w:val="00A05D16"/>
    <w:rsid w:val="00A0659F"/>
    <w:rsid w:val="00A079BA"/>
    <w:rsid w:val="00A259C3"/>
    <w:rsid w:val="00A26352"/>
    <w:rsid w:val="00A26FF5"/>
    <w:rsid w:val="00A302B9"/>
    <w:rsid w:val="00A33875"/>
    <w:rsid w:val="00A360A1"/>
    <w:rsid w:val="00A362C4"/>
    <w:rsid w:val="00A402B3"/>
    <w:rsid w:val="00A456BB"/>
    <w:rsid w:val="00A544B7"/>
    <w:rsid w:val="00A56299"/>
    <w:rsid w:val="00A618CF"/>
    <w:rsid w:val="00A62770"/>
    <w:rsid w:val="00A62EEB"/>
    <w:rsid w:val="00A65F94"/>
    <w:rsid w:val="00A660FF"/>
    <w:rsid w:val="00A6625A"/>
    <w:rsid w:val="00A73395"/>
    <w:rsid w:val="00A75813"/>
    <w:rsid w:val="00A763D9"/>
    <w:rsid w:val="00A82B4C"/>
    <w:rsid w:val="00A93A4C"/>
    <w:rsid w:val="00A9460E"/>
    <w:rsid w:val="00A94D5D"/>
    <w:rsid w:val="00A95D25"/>
    <w:rsid w:val="00A96647"/>
    <w:rsid w:val="00A97F20"/>
    <w:rsid w:val="00AA0962"/>
    <w:rsid w:val="00AA1D9B"/>
    <w:rsid w:val="00AA2543"/>
    <w:rsid w:val="00AA3804"/>
    <w:rsid w:val="00AA55C2"/>
    <w:rsid w:val="00AB0ACA"/>
    <w:rsid w:val="00AB17E5"/>
    <w:rsid w:val="00AB1D41"/>
    <w:rsid w:val="00AC1A04"/>
    <w:rsid w:val="00AC257F"/>
    <w:rsid w:val="00AC5E9A"/>
    <w:rsid w:val="00AC704B"/>
    <w:rsid w:val="00AD0AEC"/>
    <w:rsid w:val="00AD0CE7"/>
    <w:rsid w:val="00AD3512"/>
    <w:rsid w:val="00AD3A4A"/>
    <w:rsid w:val="00AD553E"/>
    <w:rsid w:val="00AD5848"/>
    <w:rsid w:val="00AE199A"/>
    <w:rsid w:val="00AE5ADA"/>
    <w:rsid w:val="00AF6145"/>
    <w:rsid w:val="00B01386"/>
    <w:rsid w:val="00B01BB5"/>
    <w:rsid w:val="00B04AF4"/>
    <w:rsid w:val="00B05214"/>
    <w:rsid w:val="00B05EB4"/>
    <w:rsid w:val="00B0736F"/>
    <w:rsid w:val="00B1255E"/>
    <w:rsid w:val="00B219F9"/>
    <w:rsid w:val="00B30D97"/>
    <w:rsid w:val="00B31738"/>
    <w:rsid w:val="00B3181A"/>
    <w:rsid w:val="00B3341B"/>
    <w:rsid w:val="00B35A7C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0EFD"/>
    <w:rsid w:val="00B8132B"/>
    <w:rsid w:val="00B84C5A"/>
    <w:rsid w:val="00B858F5"/>
    <w:rsid w:val="00B85ADA"/>
    <w:rsid w:val="00B93668"/>
    <w:rsid w:val="00B97BD3"/>
    <w:rsid w:val="00BA68C6"/>
    <w:rsid w:val="00BB12F1"/>
    <w:rsid w:val="00BB276E"/>
    <w:rsid w:val="00BB3FEE"/>
    <w:rsid w:val="00BB5DC8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1BC9"/>
    <w:rsid w:val="00BE2C64"/>
    <w:rsid w:val="00BE5CDA"/>
    <w:rsid w:val="00BE608F"/>
    <w:rsid w:val="00BF23BB"/>
    <w:rsid w:val="00BF33DD"/>
    <w:rsid w:val="00BF5755"/>
    <w:rsid w:val="00BF684B"/>
    <w:rsid w:val="00C016F3"/>
    <w:rsid w:val="00C141A4"/>
    <w:rsid w:val="00C143F1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4FF0"/>
    <w:rsid w:val="00C35E28"/>
    <w:rsid w:val="00C426AF"/>
    <w:rsid w:val="00C459E4"/>
    <w:rsid w:val="00C469C1"/>
    <w:rsid w:val="00C50659"/>
    <w:rsid w:val="00C50AAC"/>
    <w:rsid w:val="00C511F5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4DF7"/>
    <w:rsid w:val="00C65138"/>
    <w:rsid w:val="00C66F2E"/>
    <w:rsid w:val="00C6785C"/>
    <w:rsid w:val="00C70FD1"/>
    <w:rsid w:val="00C720ED"/>
    <w:rsid w:val="00C72AF3"/>
    <w:rsid w:val="00C733AA"/>
    <w:rsid w:val="00C736EC"/>
    <w:rsid w:val="00C83027"/>
    <w:rsid w:val="00C84B8A"/>
    <w:rsid w:val="00C85E65"/>
    <w:rsid w:val="00C87CA1"/>
    <w:rsid w:val="00C911B4"/>
    <w:rsid w:val="00C91B3B"/>
    <w:rsid w:val="00C94262"/>
    <w:rsid w:val="00C976E1"/>
    <w:rsid w:val="00CA0BFD"/>
    <w:rsid w:val="00CA148E"/>
    <w:rsid w:val="00CA3A9A"/>
    <w:rsid w:val="00CB3B11"/>
    <w:rsid w:val="00CB40AE"/>
    <w:rsid w:val="00CB6BC1"/>
    <w:rsid w:val="00CB7021"/>
    <w:rsid w:val="00CC6B8D"/>
    <w:rsid w:val="00CD0F64"/>
    <w:rsid w:val="00CD3294"/>
    <w:rsid w:val="00CD4524"/>
    <w:rsid w:val="00CD784D"/>
    <w:rsid w:val="00CF40F8"/>
    <w:rsid w:val="00CF67A5"/>
    <w:rsid w:val="00CF706B"/>
    <w:rsid w:val="00D008DA"/>
    <w:rsid w:val="00D0416F"/>
    <w:rsid w:val="00D04F11"/>
    <w:rsid w:val="00D05851"/>
    <w:rsid w:val="00D100ED"/>
    <w:rsid w:val="00D10FED"/>
    <w:rsid w:val="00D11736"/>
    <w:rsid w:val="00D12EE8"/>
    <w:rsid w:val="00D15FF1"/>
    <w:rsid w:val="00D167F4"/>
    <w:rsid w:val="00D2092A"/>
    <w:rsid w:val="00D2216D"/>
    <w:rsid w:val="00D232A9"/>
    <w:rsid w:val="00D2617F"/>
    <w:rsid w:val="00D31A6F"/>
    <w:rsid w:val="00D33293"/>
    <w:rsid w:val="00D353D1"/>
    <w:rsid w:val="00D367DB"/>
    <w:rsid w:val="00D36E05"/>
    <w:rsid w:val="00D417B3"/>
    <w:rsid w:val="00D44F27"/>
    <w:rsid w:val="00D44FAF"/>
    <w:rsid w:val="00D45304"/>
    <w:rsid w:val="00D461C7"/>
    <w:rsid w:val="00D50189"/>
    <w:rsid w:val="00D50424"/>
    <w:rsid w:val="00D57495"/>
    <w:rsid w:val="00D57D3E"/>
    <w:rsid w:val="00D64CB6"/>
    <w:rsid w:val="00D66E55"/>
    <w:rsid w:val="00D81287"/>
    <w:rsid w:val="00D843F4"/>
    <w:rsid w:val="00D97D26"/>
    <w:rsid w:val="00DB1770"/>
    <w:rsid w:val="00DB45D3"/>
    <w:rsid w:val="00DB4CB8"/>
    <w:rsid w:val="00DC23CF"/>
    <w:rsid w:val="00DC5944"/>
    <w:rsid w:val="00DC6562"/>
    <w:rsid w:val="00DC7220"/>
    <w:rsid w:val="00DE0890"/>
    <w:rsid w:val="00DE130D"/>
    <w:rsid w:val="00DE24CF"/>
    <w:rsid w:val="00DE407C"/>
    <w:rsid w:val="00DE7C7D"/>
    <w:rsid w:val="00DF2992"/>
    <w:rsid w:val="00DF2D0C"/>
    <w:rsid w:val="00DF6D8C"/>
    <w:rsid w:val="00DF72B4"/>
    <w:rsid w:val="00E01B9D"/>
    <w:rsid w:val="00E04F5E"/>
    <w:rsid w:val="00E0522E"/>
    <w:rsid w:val="00E104E5"/>
    <w:rsid w:val="00E120F4"/>
    <w:rsid w:val="00E155F9"/>
    <w:rsid w:val="00E17172"/>
    <w:rsid w:val="00E316B8"/>
    <w:rsid w:val="00E3181C"/>
    <w:rsid w:val="00E3280A"/>
    <w:rsid w:val="00E34A6C"/>
    <w:rsid w:val="00E372AF"/>
    <w:rsid w:val="00E3748B"/>
    <w:rsid w:val="00E37D68"/>
    <w:rsid w:val="00E40EAE"/>
    <w:rsid w:val="00E436AC"/>
    <w:rsid w:val="00E44427"/>
    <w:rsid w:val="00E44FF8"/>
    <w:rsid w:val="00E45831"/>
    <w:rsid w:val="00E5066A"/>
    <w:rsid w:val="00E52CF9"/>
    <w:rsid w:val="00E61268"/>
    <w:rsid w:val="00E63F34"/>
    <w:rsid w:val="00E6715A"/>
    <w:rsid w:val="00E75DC9"/>
    <w:rsid w:val="00E77385"/>
    <w:rsid w:val="00E81610"/>
    <w:rsid w:val="00E847FA"/>
    <w:rsid w:val="00E84910"/>
    <w:rsid w:val="00E85B28"/>
    <w:rsid w:val="00E91976"/>
    <w:rsid w:val="00E947A6"/>
    <w:rsid w:val="00E960D6"/>
    <w:rsid w:val="00E97FC7"/>
    <w:rsid w:val="00EA0690"/>
    <w:rsid w:val="00EA3956"/>
    <w:rsid w:val="00EA5571"/>
    <w:rsid w:val="00EC02A5"/>
    <w:rsid w:val="00EC176B"/>
    <w:rsid w:val="00EC285A"/>
    <w:rsid w:val="00EC33CD"/>
    <w:rsid w:val="00EC5BE5"/>
    <w:rsid w:val="00ED0CBC"/>
    <w:rsid w:val="00ED200B"/>
    <w:rsid w:val="00ED2650"/>
    <w:rsid w:val="00ED48E0"/>
    <w:rsid w:val="00ED721A"/>
    <w:rsid w:val="00EE393D"/>
    <w:rsid w:val="00EF01CF"/>
    <w:rsid w:val="00EF6A66"/>
    <w:rsid w:val="00EF7AF9"/>
    <w:rsid w:val="00F01495"/>
    <w:rsid w:val="00F01EE6"/>
    <w:rsid w:val="00F04B2A"/>
    <w:rsid w:val="00F10138"/>
    <w:rsid w:val="00F13F92"/>
    <w:rsid w:val="00F22A55"/>
    <w:rsid w:val="00F22ECA"/>
    <w:rsid w:val="00F240E8"/>
    <w:rsid w:val="00F244FA"/>
    <w:rsid w:val="00F30605"/>
    <w:rsid w:val="00F3363A"/>
    <w:rsid w:val="00F36645"/>
    <w:rsid w:val="00F366A2"/>
    <w:rsid w:val="00F43AAA"/>
    <w:rsid w:val="00F43B25"/>
    <w:rsid w:val="00F44F43"/>
    <w:rsid w:val="00F450E1"/>
    <w:rsid w:val="00F50DF4"/>
    <w:rsid w:val="00F52EC2"/>
    <w:rsid w:val="00F5478D"/>
    <w:rsid w:val="00F57AFE"/>
    <w:rsid w:val="00F6278E"/>
    <w:rsid w:val="00F63C41"/>
    <w:rsid w:val="00F63E96"/>
    <w:rsid w:val="00F701E3"/>
    <w:rsid w:val="00F71F8C"/>
    <w:rsid w:val="00F80362"/>
    <w:rsid w:val="00F8143B"/>
    <w:rsid w:val="00F86AD4"/>
    <w:rsid w:val="00F90C18"/>
    <w:rsid w:val="00F92EE4"/>
    <w:rsid w:val="00F9491B"/>
    <w:rsid w:val="00FA0113"/>
    <w:rsid w:val="00FA12B2"/>
    <w:rsid w:val="00FA1D9A"/>
    <w:rsid w:val="00FA7610"/>
    <w:rsid w:val="00FB02BD"/>
    <w:rsid w:val="00FB398F"/>
    <w:rsid w:val="00FB4EF8"/>
    <w:rsid w:val="00FB6692"/>
    <w:rsid w:val="00FB66DB"/>
    <w:rsid w:val="00FB78DD"/>
    <w:rsid w:val="00FB7D74"/>
    <w:rsid w:val="00FC125E"/>
    <w:rsid w:val="00FC3EF3"/>
    <w:rsid w:val="00FD2049"/>
    <w:rsid w:val="00FD2140"/>
    <w:rsid w:val="00FD5BDE"/>
    <w:rsid w:val="00FD68EC"/>
    <w:rsid w:val="00FE0476"/>
    <w:rsid w:val="00FE10C8"/>
    <w:rsid w:val="00FE24A5"/>
    <w:rsid w:val="00FE31E5"/>
    <w:rsid w:val="00FF18EC"/>
    <w:rsid w:val="00FF19AD"/>
    <w:rsid w:val="00FF1EB5"/>
    <w:rsid w:val="00FF292D"/>
    <w:rsid w:val="00FF298D"/>
    <w:rsid w:val="00FF4103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2BEF9BD3"/>
  <w15:chartTrackingRefBased/>
  <w15:docId w15:val="{2760AE7A-CE48-4679-8019-A7D6957A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zinonos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KeyFiguresList?s=3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.cystat.gov.cy/pxweb/en/8.CYSTAT-DB/8.CYSTAT-DB__Industry_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ystat.gov.cy/en/SubthemeStatistics?s=3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alkiviadous@cystat.mof.gov.c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6957</CharactersWithSpaces>
  <SharedDoc>false</SharedDoc>
  <HLinks>
    <vt:vector size="36" baseType="variant">
      <vt:variant>
        <vt:i4>3932180</vt:i4>
      </vt:variant>
      <vt:variant>
        <vt:i4>12</vt:i4>
      </vt:variant>
      <vt:variant>
        <vt:i4>0</vt:i4>
      </vt:variant>
      <vt:variant>
        <vt:i4>5</vt:i4>
      </vt:variant>
      <vt:variant>
        <vt:lpwstr>mailto:calkiviadous@cystat.mof.gov.cy</vt:lpwstr>
      </vt:variant>
      <vt:variant>
        <vt:lpwstr/>
      </vt:variant>
      <vt:variant>
        <vt:i4>3014684</vt:i4>
      </vt:variant>
      <vt:variant>
        <vt:i4>9</vt:i4>
      </vt:variant>
      <vt:variant>
        <vt:i4>0</vt:i4>
      </vt:variant>
      <vt:variant>
        <vt:i4>5</vt:i4>
      </vt:variant>
      <vt:variant>
        <vt:lpwstr>mailto:ezinonos@cystat.mof.gov.cy</vt:lpwstr>
      </vt:variant>
      <vt:variant>
        <vt:lpwstr/>
      </vt:variant>
      <vt:variant>
        <vt:i4>5046357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https://www.cystat.gov.cy/en/KeyFiguresList?s=39</vt:lpwstr>
      </vt:variant>
      <vt:variant>
        <vt:lpwstr/>
      </vt:variant>
      <vt:variant>
        <vt:i4>6357066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https://cystatdb.cystat.gov.cy/pxweb/en/8.CYSTAT-DB/8.CYSTAT-DB__Industry__</vt:lpwstr>
      </vt:variant>
      <vt:variant>
        <vt:lpwstr/>
      </vt:variant>
      <vt:variant>
        <vt:i4>4259909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https://www.cystat.gov.cy/en/SubthemeStatistics?s=39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60</cp:revision>
  <cp:lastPrinted>2024-04-24T09:20:00Z</cp:lastPrinted>
  <dcterms:created xsi:type="dcterms:W3CDTF">2023-05-30T09:14:00Z</dcterms:created>
  <dcterms:modified xsi:type="dcterms:W3CDTF">2024-06-27T08:53:00Z</dcterms:modified>
</cp:coreProperties>
</file>