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E6F09E" w14:textId="77777777" w:rsidR="00041DEA" w:rsidRDefault="00041DEA" w:rsidP="00041DEA">
      <w:pPr>
        <w:jc w:val="both"/>
        <w:rPr>
          <w:rFonts w:ascii="Verdana" w:hAnsi="Verdana"/>
          <w:sz w:val="18"/>
          <w:szCs w:val="18"/>
          <w:shd w:val="clear" w:color="auto" w:fill="FFFFFF"/>
        </w:rPr>
      </w:pPr>
    </w:p>
    <w:p w14:paraId="1CA9AF39" w14:textId="77777777" w:rsidR="00041DEA" w:rsidRDefault="00041DEA" w:rsidP="00041DEA">
      <w:pPr>
        <w:ind w:left="-142"/>
        <w:jc w:val="right"/>
        <w:rPr>
          <w:rFonts w:ascii="Verdana" w:hAnsi="Verdana" w:cs="Arial"/>
          <w:sz w:val="18"/>
          <w:szCs w:val="18"/>
          <w:lang w:val="el-GR"/>
        </w:rPr>
      </w:pPr>
    </w:p>
    <w:p w14:paraId="34B3DEAC" w14:textId="4F5122E0" w:rsidR="00041DEA" w:rsidRDefault="00430DCB" w:rsidP="00041DEA">
      <w:pPr>
        <w:ind w:left="-142"/>
        <w:jc w:val="right"/>
        <w:rPr>
          <w:rFonts w:ascii="Verdana" w:hAnsi="Verdana" w:cs="Arial"/>
          <w:sz w:val="18"/>
          <w:szCs w:val="18"/>
        </w:rPr>
      </w:pPr>
      <w:r>
        <w:rPr>
          <w:rFonts w:ascii="Verdana" w:hAnsi="Verdana" w:cs="Arial"/>
          <w:sz w:val="18"/>
          <w:szCs w:val="18"/>
        </w:rPr>
        <w:t>5 June</w:t>
      </w:r>
      <w:r w:rsidR="00041DEA">
        <w:rPr>
          <w:rFonts w:ascii="Verdana" w:hAnsi="Verdana" w:cs="Arial"/>
          <w:sz w:val="18"/>
          <w:szCs w:val="18"/>
        </w:rPr>
        <w:t>, 202</w:t>
      </w:r>
      <w:r w:rsidR="006B5AB5">
        <w:rPr>
          <w:rFonts w:ascii="Verdana" w:hAnsi="Verdana" w:cs="Arial"/>
          <w:sz w:val="18"/>
          <w:szCs w:val="18"/>
        </w:rPr>
        <w:t>4</w:t>
      </w:r>
    </w:p>
    <w:p w14:paraId="73723277" w14:textId="77777777" w:rsidR="00041DEA" w:rsidRDefault="00041DEA" w:rsidP="00041DEA">
      <w:pPr>
        <w:spacing w:line="276" w:lineRule="auto"/>
        <w:ind w:left="-142" w:firstLine="720"/>
        <w:rPr>
          <w:rFonts w:ascii="Verdana" w:hAnsi="Verdana" w:cs="Arial"/>
          <w:sz w:val="18"/>
          <w:szCs w:val="18"/>
        </w:rPr>
      </w:pPr>
    </w:p>
    <w:p w14:paraId="7F06F218" w14:textId="77777777" w:rsidR="00041DEA" w:rsidRDefault="00041DEA" w:rsidP="00041DEA">
      <w:pPr>
        <w:spacing w:line="276" w:lineRule="auto"/>
        <w:jc w:val="center"/>
        <w:rPr>
          <w:rFonts w:ascii="Verdana" w:hAnsi="Verdana" w:cs="Arial"/>
          <w:b/>
          <w:sz w:val="24"/>
          <w:szCs w:val="24"/>
        </w:rPr>
      </w:pPr>
      <w:r>
        <w:rPr>
          <w:rFonts w:ascii="Verdana" w:hAnsi="Verdana" w:cs="Arial"/>
          <w:b/>
          <w:sz w:val="24"/>
          <w:szCs w:val="24"/>
        </w:rPr>
        <w:t>PRESS RELEASE</w:t>
      </w:r>
    </w:p>
    <w:p w14:paraId="48826E17" w14:textId="77777777" w:rsidR="00041DEA" w:rsidRDefault="00041DEA" w:rsidP="00041DEA">
      <w:pPr>
        <w:spacing w:line="276" w:lineRule="auto"/>
        <w:rPr>
          <w:rFonts w:ascii="Verdana" w:hAnsi="Verdana" w:cs="Arial"/>
          <w:b/>
          <w:sz w:val="20"/>
          <w:szCs w:val="20"/>
        </w:rPr>
      </w:pPr>
    </w:p>
    <w:p w14:paraId="4EC64D6F" w14:textId="77777777" w:rsidR="00041DEA" w:rsidRDefault="00041DEA" w:rsidP="00041DEA">
      <w:pPr>
        <w:spacing w:line="276" w:lineRule="auto"/>
        <w:rPr>
          <w:rFonts w:ascii="Verdana" w:hAnsi="Verdana" w:cs="Arial"/>
          <w:b/>
          <w:sz w:val="20"/>
          <w:szCs w:val="20"/>
        </w:rPr>
      </w:pPr>
    </w:p>
    <w:p w14:paraId="28957670" w14:textId="29832EA7" w:rsidR="00041DEA" w:rsidRPr="00041DEA" w:rsidRDefault="00041DEA" w:rsidP="00C74A19">
      <w:pPr>
        <w:spacing w:line="276" w:lineRule="auto"/>
        <w:rPr>
          <w:rFonts w:ascii="Verdana" w:hAnsi="Verdana" w:cs="Arial"/>
          <w:b/>
          <w:u w:val="single"/>
        </w:rPr>
      </w:pPr>
      <w:r>
        <w:rPr>
          <w:rFonts w:ascii="Verdana" w:hAnsi="Verdana" w:cs="Arial"/>
          <w:u w:val="single"/>
        </w:rPr>
        <w:t xml:space="preserve">INDUSTRIAL TURNOVER INDEX: </w:t>
      </w:r>
      <w:r w:rsidR="00430DCB">
        <w:rPr>
          <w:rFonts w:ascii="Verdana" w:hAnsi="Verdana" w:cs="Arial"/>
          <w:b/>
          <w:u w:val="single"/>
        </w:rPr>
        <w:t>MARCH</w:t>
      </w:r>
      <w:r w:rsidR="00A1166C">
        <w:rPr>
          <w:rFonts w:ascii="Verdana" w:hAnsi="Verdana" w:cs="Arial"/>
          <w:b/>
          <w:u w:val="single"/>
        </w:rPr>
        <w:t xml:space="preserve"> 2024</w:t>
      </w:r>
    </w:p>
    <w:p w14:paraId="08ED7BBC" w14:textId="77777777" w:rsidR="00041DEA" w:rsidRDefault="00041DEA" w:rsidP="00041DEA">
      <w:pPr>
        <w:ind w:left="-142"/>
        <w:jc w:val="both"/>
        <w:rPr>
          <w:rFonts w:ascii="Verdana" w:hAnsi="Verdana" w:cs="Arial"/>
          <w:color w:val="000000"/>
          <w:sz w:val="18"/>
          <w:szCs w:val="18"/>
        </w:rPr>
      </w:pPr>
    </w:p>
    <w:p w14:paraId="19B094FF" w14:textId="434B53C5" w:rsidR="00041DEA" w:rsidRDefault="00041DEA" w:rsidP="00041DEA">
      <w:pPr>
        <w:ind w:left="-142"/>
        <w:jc w:val="center"/>
        <w:rPr>
          <w:rFonts w:ascii="Verdana" w:hAnsi="Verdana" w:cs="Arial"/>
          <w:b/>
          <w:color w:val="000000"/>
        </w:rPr>
      </w:pPr>
      <w:r>
        <w:rPr>
          <w:rFonts w:ascii="Verdana" w:hAnsi="Verdana" w:cs="Arial"/>
          <w:b/>
          <w:color w:val="000000"/>
        </w:rPr>
        <w:t xml:space="preserve">Annual Change </w:t>
      </w:r>
      <w:r w:rsidR="007F3718" w:rsidRPr="00403408">
        <w:rPr>
          <w:rFonts w:ascii="Verdana" w:hAnsi="Verdana" w:cs="Arial"/>
          <w:b/>
          <w:color w:val="000000"/>
        </w:rPr>
        <w:t>-</w:t>
      </w:r>
      <w:r w:rsidR="00430DCB">
        <w:rPr>
          <w:rFonts w:ascii="Verdana" w:hAnsi="Verdana" w:cs="Arial"/>
          <w:b/>
          <w:color w:val="000000"/>
        </w:rPr>
        <w:t>4,4</w:t>
      </w:r>
      <w:r>
        <w:rPr>
          <w:rFonts w:ascii="Verdana" w:hAnsi="Verdana" w:cs="Arial"/>
          <w:b/>
          <w:color w:val="000000"/>
        </w:rPr>
        <w:t>%</w:t>
      </w:r>
    </w:p>
    <w:p w14:paraId="2650A8DF" w14:textId="77777777" w:rsidR="00041DEA" w:rsidRDefault="00041DEA" w:rsidP="00041DEA">
      <w:pPr>
        <w:jc w:val="both"/>
        <w:rPr>
          <w:rFonts w:ascii="Verdana" w:hAnsi="Verdana" w:cs="Arial"/>
          <w:sz w:val="18"/>
          <w:szCs w:val="18"/>
        </w:rPr>
      </w:pPr>
    </w:p>
    <w:p w14:paraId="3964FEA3" w14:textId="16BFB86C" w:rsidR="00DD2E22" w:rsidRDefault="00041DEA" w:rsidP="00DD2E22">
      <w:pPr>
        <w:jc w:val="both"/>
        <w:rPr>
          <w:rFonts w:ascii="Verdana" w:hAnsi="Verdana" w:cs="Arial"/>
          <w:sz w:val="18"/>
          <w:szCs w:val="18"/>
        </w:rPr>
      </w:pPr>
      <w:r>
        <w:rPr>
          <w:rFonts w:ascii="Verdana" w:hAnsi="Verdana" w:cs="Arial"/>
          <w:sz w:val="18"/>
          <w:szCs w:val="18"/>
        </w:rPr>
        <w:t xml:space="preserve">In </w:t>
      </w:r>
      <w:r w:rsidR="00430DCB">
        <w:rPr>
          <w:rFonts w:ascii="Verdana" w:hAnsi="Verdana" w:cs="Arial"/>
          <w:sz w:val="18"/>
          <w:szCs w:val="18"/>
        </w:rPr>
        <w:t>March</w:t>
      </w:r>
      <w:r>
        <w:rPr>
          <w:rFonts w:ascii="Verdana" w:hAnsi="Verdana" w:cs="Arial"/>
          <w:sz w:val="18"/>
          <w:szCs w:val="18"/>
        </w:rPr>
        <w:t xml:space="preserve"> </w:t>
      </w:r>
      <w:r w:rsidR="00F66B7E">
        <w:rPr>
          <w:rFonts w:ascii="Verdana" w:hAnsi="Verdana" w:cs="Arial"/>
          <w:sz w:val="18"/>
          <w:szCs w:val="18"/>
        </w:rPr>
        <w:t>202</w:t>
      </w:r>
      <w:r w:rsidR="00A1166C">
        <w:rPr>
          <w:rFonts w:ascii="Verdana" w:hAnsi="Verdana" w:cs="Arial"/>
          <w:sz w:val="18"/>
          <w:szCs w:val="18"/>
        </w:rPr>
        <w:t>4</w:t>
      </w:r>
      <w:r>
        <w:rPr>
          <w:rFonts w:ascii="Verdana" w:hAnsi="Verdana" w:cs="Arial"/>
          <w:sz w:val="18"/>
          <w:szCs w:val="18"/>
        </w:rPr>
        <w:t xml:space="preserve">, the Industrial Turnover Index reached </w:t>
      </w:r>
      <w:r w:rsidR="00430DCB">
        <w:rPr>
          <w:rFonts w:ascii="Verdana" w:hAnsi="Verdana" w:cs="Arial"/>
          <w:sz w:val="18"/>
          <w:szCs w:val="18"/>
        </w:rPr>
        <w:t>132,0</w:t>
      </w:r>
      <w:r>
        <w:rPr>
          <w:rFonts w:ascii="Verdana" w:hAnsi="Verdana" w:cs="Arial"/>
          <w:sz w:val="18"/>
          <w:szCs w:val="18"/>
        </w:rPr>
        <w:t xml:space="preserve"> units (base 20</w:t>
      </w:r>
      <w:r w:rsidR="00A1166C">
        <w:rPr>
          <w:rFonts w:ascii="Verdana" w:hAnsi="Verdana" w:cs="Arial"/>
          <w:sz w:val="18"/>
          <w:szCs w:val="18"/>
        </w:rPr>
        <w:t>21</w:t>
      </w:r>
      <w:r>
        <w:rPr>
          <w:rFonts w:ascii="Verdana" w:hAnsi="Verdana" w:cs="Arial"/>
          <w:sz w:val="18"/>
          <w:szCs w:val="18"/>
        </w:rPr>
        <w:t xml:space="preserve">=100), recording </w:t>
      </w:r>
      <w:r w:rsidR="00430DCB">
        <w:rPr>
          <w:rFonts w:ascii="Verdana" w:hAnsi="Verdana" w:cs="Arial"/>
          <w:sz w:val="18"/>
          <w:szCs w:val="18"/>
        </w:rPr>
        <w:t>a decrease</w:t>
      </w:r>
      <w:r>
        <w:rPr>
          <w:rFonts w:ascii="Verdana" w:hAnsi="Verdana" w:cs="Arial"/>
          <w:sz w:val="18"/>
          <w:szCs w:val="18"/>
        </w:rPr>
        <w:t xml:space="preserve"> of </w:t>
      </w:r>
      <w:r w:rsidR="00430DCB">
        <w:rPr>
          <w:rFonts w:ascii="Verdana" w:hAnsi="Verdana" w:cs="Arial"/>
          <w:sz w:val="18"/>
          <w:szCs w:val="18"/>
        </w:rPr>
        <w:t>4,4</w:t>
      </w:r>
      <w:r>
        <w:rPr>
          <w:rFonts w:ascii="Verdana" w:hAnsi="Verdana" w:cs="Arial"/>
          <w:sz w:val="18"/>
          <w:szCs w:val="18"/>
        </w:rPr>
        <w:t xml:space="preserve">% compared to </w:t>
      </w:r>
      <w:r w:rsidR="00430DCB">
        <w:rPr>
          <w:rFonts w:ascii="Verdana" w:hAnsi="Verdana" w:cs="Arial"/>
          <w:sz w:val="18"/>
          <w:szCs w:val="18"/>
        </w:rPr>
        <w:t>March</w:t>
      </w:r>
      <w:r>
        <w:rPr>
          <w:rFonts w:ascii="Verdana" w:hAnsi="Verdana" w:cs="Arial"/>
          <w:sz w:val="18"/>
          <w:szCs w:val="18"/>
        </w:rPr>
        <w:t xml:space="preserve"> </w:t>
      </w:r>
      <w:r w:rsidR="00F66B7E">
        <w:rPr>
          <w:rFonts w:ascii="Verdana" w:hAnsi="Verdana" w:cs="Arial"/>
          <w:sz w:val="18"/>
          <w:szCs w:val="18"/>
        </w:rPr>
        <w:t>202</w:t>
      </w:r>
      <w:r w:rsidR="00A1166C">
        <w:rPr>
          <w:rFonts w:ascii="Verdana" w:hAnsi="Verdana" w:cs="Arial"/>
          <w:sz w:val="18"/>
          <w:szCs w:val="18"/>
        </w:rPr>
        <w:t>3</w:t>
      </w:r>
      <w:r>
        <w:rPr>
          <w:rFonts w:ascii="Verdana" w:hAnsi="Verdana" w:cs="Arial"/>
          <w:sz w:val="18"/>
          <w:szCs w:val="18"/>
        </w:rPr>
        <w:t xml:space="preserve">. </w:t>
      </w:r>
      <w:r w:rsidR="00DD2E22">
        <w:rPr>
          <w:rFonts w:ascii="Verdana" w:hAnsi="Verdana" w:cs="Arial"/>
          <w:sz w:val="18"/>
          <w:szCs w:val="18"/>
        </w:rPr>
        <w:t xml:space="preserve">For the period January – </w:t>
      </w:r>
      <w:r w:rsidR="00430DCB">
        <w:rPr>
          <w:rFonts w:ascii="Verdana" w:hAnsi="Verdana" w:cs="Arial"/>
          <w:sz w:val="18"/>
          <w:szCs w:val="18"/>
        </w:rPr>
        <w:t>March</w:t>
      </w:r>
      <w:r w:rsidR="00DD2E22">
        <w:rPr>
          <w:rFonts w:ascii="Verdana" w:hAnsi="Verdana" w:cs="Arial"/>
          <w:sz w:val="18"/>
          <w:szCs w:val="18"/>
        </w:rPr>
        <w:t xml:space="preserve"> 2024, the index recorded an increase of </w:t>
      </w:r>
      <w:r w:rsidR="00430DCB">
        <w:rPr>
          <w:rFonts w:ascii="Verdana" w:hAnsi="Verdana" w:cs="Arial"/>
          <w:sz w:val="18"/>
          <w:szCs w:val="18"/>
        </w:rPr>
        <w:t>0,8</w:t>
      </w:r>
      <w:r w:rsidR="00DD2E22">
        <w:rPr>
          <w:rFonts w:ascii="Verdana" w:hAnsi="Verdana" w:cs="Arial"/>
          <w:sz w:val="18"/>
          <w:szCs w:val="18"/>
        </w:rPr>
        <w:t>% compared to the corresponding period of the previous year.</w:t>
      </w:r>
    </w:p>
    <w:p w14:paraId="4D1AB64C" w14:textId="72898988" w:rsidR="00F66B7E" w:rsidRDefault="00F66B7E" w:rsidP="00041DEA">
      <w:pPr>
        <w:jc w:val="both"/>
        <w:rPr>
          <w:rFonts w:ascii="Verdana" w:hAnsi="Verdana" w:cs="Arial"/>
          <w:sz w:val="18"/>
          <w:szCs w:val="18"/>
        </w:rPr>
      </w:pPr>
    </w:p>
    <w:p w14:paraId="14D05C0D" w14:textId="77777777" w:rsidR="00041DEA" w:rsidRDefault="00041DEA" w:rsidP="00C74A19">
      <w:pPr>
        <w:ind w:left="-142"/>
        <w:jc w:val="center"/>
        <w:rPr>
          <w:rFonts w:ascii="Verdana" w:hAnsi="Verdana" w:cs="Arial"/>
          <w:sz w:val="18"/>
          <w:szCs w:val="18"/>
        </w:rPr>
      </w:pPr>
    </w:p>
    <w:p w14:paraId="18681B6B" w14:textId="7220DE78" w:rsidR="00041DEA" w:rsidRDefault="00430DCB" w:rsidP="00C74A19">
      <w:pPr>
        <w:jc w:val="center"/>
        <w:rPr>
          <w:rFonts w:ascii="Verdana" w:hAnsi="Verdana" w:cs="Arial"/>
          <w:sz w:val="18"/>
          <w:szCs w:val="18"/>
        </w:rPr>
      </w:pPr>
      <w:r>
        <w:rPr>
          <w:rFonts w:ascii="Verdana" w:hAnsi="Verdana" w:cs="Arial"/>
          <w:noProof/>
          <w:sz w:val="18"/>
          <w:szCs w:val="18"/>
        </w:rPr>
        <w:drawing>
          <wp:inline distT="0" distB="0" distL="0" distR="0" wp14:anchorId="555B7CF8" wp14:editId="00EF29BD">
            <wp:extent cx="6078220" cy="4340860"/>
            <wp:effectExtent l="0" t="0" r="0" b="2540"/>
            <wp:docPr id="19124237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8220" cy="4340860"/>
                    </a:xfrm>
                    <a:prstGeom prst="rect">
                      <a:avLst/>
                    </a:prstGeom>
                    <a:noFill/>
                  </pic:spPr>
                </pic:pic>
              </a:graphicData>
            </a:graphic>
          </wp:inline>
        </w:drawing>
      </w:r>
    </w:p>
    <w:p w14:paraId="6CF0904A" w14:textId="77777777" w:rsidR="00041DEA" w:rsidRDefault="00041DEA" w:rsidP="00041DEA">
      <w:pPr>
        <w:jc w:val="both"/>
        <w:rPr>
          <w:rFonts w:ascii="Verdana" w:hAnsi="Verdana" w:cs="Arial"/>
          <w:sz w:val="18"/>
          <w:szCs w:val="18"/>
          <w:lang w:val="el-GR"/>
        </w:rPr>
      </w:pPr>
    </w:p>
    <w:p w14:paraId="072DA8A4" w14:textId="77777777" w:rsidR="00403408" w:rsidRPr="00403408" w:rsidRDefault="00403408" w:rsidP="00041DEA">
      <w:pPr>
        <w:jc w:val="both"/>
        <w:rPr>
          <w:rFonts w:ascii="Verdana" w:hAnsi="Verdana" w:cs="Arial"/>
          <w:sz w:val="18"/>
          <w:szCs w:val="18"/>
          <w:lang w:val="el-GR"/>
        </w:rPr>
      </w:pPr>
    </w:p>
    <w:p w14:paraId="56F01C6E" w14:textId="12AA13B3" w:rsidR="00430DCB" w:rsidRDefault="00041DEA" w:rsidP="00430DCB">
      <w:pPr>
        <w:jc w:val="both"/>
        <w:rPr>
          <w:rFonts w:ascii="Verdana" w:hAnsi="Verdana" w:cs="Arial"/>
          <w:sz w:val="18"/>
          <w:szCs w:val="18"/>
        </w:rPr>
      </w:pPr>
      <w:r>
        <w:rPr>
          <w:rFonts w:ascii="Verdana" w:hAnsi="Verdana" w:cs="Arial"/>
          <w:sz w:val="18"/>
          <w:szCs w:val="18"/>
        </w:rPr>
        <w:t xml:space="preserve">In manufacturing, the Industrial Turnover Index for </w:t>
      </w:r>
      <w:r w:rsidR="00430DCB">
        <w:rPr>
          <w:rFonts w:ascii="Verdana" w:hAnsi="Verdana" w:cs="Arial"/>
          <w:sz w:val="18"/>
          <w:szCs w:val="18"/>
        </w:rPr>
        <w:t>March</w:t>
      </w:r>
      <w:r>
        <w:rPr>
          <w:rFonts w:ascii="Verdana" w:hAnsi="Verdana" w:cs="Arial"/>
          <w:sz w:val="18"/>
          <w:szCs w:val="18"/>
        </w:rPr>
        <w:t xml:space="preserve"> </w:t>
      </w:r>
      <w:r w:rsidR="00F66B7E">
        <w:rPr>
          <w:rFonts w:ascii="Verdana" w:hAnsi="Verdana" w:cs="Arial"/>
          <w:sz w:val="18"/>
          <w:szCs w:val="18"/>
        </w:rPr>
        <w:t>202</w:t>
      </w:r>
      <w:r w:rsidR="00A1166C">
        <w:rPr>
          <w:rFonts w:ascii="Verdana" w:hAnsi="Verdana" w:cs="Arial"/>
          <w:sz w:val="18"/>
          <w:szCs w:val="18"/>
        </w:rPr>
        <w:t>4</w:t>
      </w:r>
      <w:r>
        <w:rPr>
          <w:rFonts w:ascii="Verdana" w:hAnsi="Verdana" w:cs="Arial"/>
          <w:sz w:val="18"/>
          <w:szCs w:val="18"/>
        </w:rPr>
        <w:t xml:space="preserve"> reached </w:t>
      </w:r>
      <w:r w:rsidR="00430DCB">
        <w:rPr>
          <w:rFonts w:ascii="Verdana" w:hAnsi="Verdana" w:cs="Arial"/>
          <w:sz w:val="18"/>
          <w:szCs w:val="18"/>
        </w:rPr>
        <w:t>130,2</w:t>
      </w:r>
      <w:r>
        <w:rPr>
          <w:rFonts w:ascii="Verdana" w:hAnsi="Verdana" w:cs="Arial"/>
          <w:sz w:val="18"/>
          <w:szCs w:val="18"/>
        </w:rPr>
        <w:t xml:space="preserve"> units, recording </w:t>
      </w:r>
      <w:r w:rsidR="00430DCB">
        <w:rPr>
          <w:rFonts w:ascii="Verdana" w:hAnsi="Verdana" w:cs="Arial"/>
          <w:sz w:val="18"/>
          <w:szCs w:val="18"/>
        </w:rPr>
        <w:t>a decrease</w:t>
      </w:r>
      <w:r>
        <w:rPr>
          <w:rFonts w:ascii="Verdana" w:hAnsi="Verdana" w:cs="Arial"/>
          <w:sz w:val="18"/>
          <w:szCs w:val="18"/>
        </w:rPr>
        <w:t xml:space="preserve"> of </w:t>
      </w:r>
      <w:r w:rsidR="00430DCB">
        <w:rPr>
          <w:rFonts w:ascii="Verdana" w:hAnsi="Verdana" w:cs="Arial"/>
          <w:sz w:val="18"/>
          <w:szCs w:val="18"/>
        </w:rPr>
        <w:t>1,5</w:t>
      </w:r>
      <w:r>
        <w:rPr>
          <w:rFonts w:ascii="Verdana" w:hAnsi="Verdana" w:cs="Arial"/>
          <w:sz w:val="18"/>
          <w:szCs w:val="18"/>
        </w:rPr>
        <w:t xml:space="preserve">% compared to </w:t>
      </w:r>
      <w:r w:rsidR="00430DCB">
        <w:rPr>
          <w:rFonts w:ascii="Verdana" w:hAnsi="Verdana" w:cs="Arial"/>
          <w:sz w:val="18"/>
          <w:szCs w:val="18"/>
        </w:rPr>
        <w:t>March</w:t>
      </w:r>
      <w:r>
        <w:rPr>
          <w:rFonts w:ascii="Verdana" w:hAnsi="Verdana" w:cs="Arial"/>
          <w:sz w:val="18"/>
          <w:szCs w:val="18"/>
        </w:rPr>
        <w:t xml:space="preserve"> </w:t>
      </w:r>
      <w:r w:rsidR="00F66B7E">
        <w:rPr>
          <w:rFonts w:ascii="Verdana" w:hAnsi="Verdana" w:cs="Arial"/>
          <w:sz w:val="18"/>
          <w:szCs w:val="18"/>
        </w:rPr>
        <w:t>202</w:t>
      </w:r>
      <w:r w:rsidR="00A1166C">
        <w:rPr>
          <w:rFonts w:ascii="Verdana" w:hAnsi="Verdana" w:cs="Arial"/>
          <w:sz w:val="18"/>
          <w:szCs w:val="18"/>
        </w:rPr>
        <w:t>3</w:t>
      </w:r>
      <w:r>
        <w:rPr>
          <w:rFonts w:ascii="Verdana" w:hAnsi="Verdana" w:cs="Arial"/>
          <w:sz w:val="18"/>
          <w:szCs w:val="18"/>
        </w:rPr>
        <w:t xml:space="preserve">. </w:t>
      </w:r>
      <w:r w:rsidR="00430DCB">
        <w:rPr>
          <w:rFonts w:ascii="Verdana" w:hAnsi="Verdana" w:cs="Arial"/>
          <w:sz w:val="18"/>
          <w:szCs w:val="18"/>
        </w:rPr>
        <w:t>A decrease was also noted</w:t>
      </w:r>
      <w:r w:rsidR="00430DCB" w:rsidRPr="00430DCB">
        <w:rPr>
          <w:rFonts w:ascii="Verdana" w:hAnsi="Verdana" w:cs="Arial"/>
          <w:sz w:val="18"/>
          <w:szCs w:val="18"/>
        </w:rPr>
        <w:t xml:space="preserve"> </w:t>
      </w:r>
      <w:r w:rsidR="00430DCB">
        <w:rPr>
          <w:rFonts w:ascii="Verdana" w:hAnsi="Verdana" w:cs="Arial"/>
          <w:sz w:val="18"/>
          <w:szCs w:val="18"/>
        </w:rPr>
        <w:t>in the electricity supply sector (-18,4%). Increases were recorded</w:t>
      </w:r>
      <w:r w:rsidR="00430DCB" w:rsidRPr="00430DCB">
        <w:rPr>
          <w:rFonts w:ascii="Verdana" w:hAnsi="Verdana" w:cs="Arial"/>
          <w:sz w:val="18"/>
          <w:szCs w:val="18"/>
        </w:rPr>
        <w:t xml:space="preserve"> </w:t>
      </w:r>
      <w:r w:rsidR="00430DCB">
        <w:rPr>
          <w:rFonts w:ascii="Verdana" w:hAnsi="Verdana" w:cs="Arial"/>
          <w:sz w:val="18"/>
          <w:szCs w:val="18"/>
        </w:rPr>
        <w:t>in the sectors of</w:t>
      </w:r>
      <w:r w:rsidR="00430DCB" w:rsidRPr="00430DCB">
        <w:rPr>
          <w:rFonts w:ascii="Verdana" w:hAnsi="Verdana" w:cs="Arial"/>
          <w:sz w:val="18"/>
          <w:szCs w:val="18"/>
        </w:rPr>
        <w:t xml:space="preserve"> </w:t>
      </w:r>
      <w:r w:rsidR="00430DCB" w:rsidRPr="00512A4A">
        <w:rPr>
          <w:rFonts w:ascii="Verdana" w:hAnsi="Verdana" w:cs="Arial"/>
          <w:sz w:val="18"/>
          <w:szCs w:val="18"/>
        </w:rPr>
        <w:t>water supply and materials recovery</w:t>
      </w:r>
      <w:r w:rsidR="00430DCB">
        <w:rPr>
          <w:rFonts w:ascii="Verdana" w:hAnsi="Verdana" w:cs="Arial"/>
          <w:sz w:val="18"/>
          <w:szCs w:val="18"/>
        </w:rPr>
        <w:t xml:space="preserve"> (+6,7%) and mining and quarrying (+1,8%).</w:t>
      </w:r>
    </w:p>
    <w:p w14:paraId="37DF13C9" w14:textId="0D956E05" w:rsidR="00517290" w:rsidRDefault="00517290" w:rsidP="00517290">
      <w:pPr>
        <w:jc w:val="both"/>
        <w:rPr>
          <w:rFonts w:ascii="Verdana" w:hAnsi="Verdana" w:cs="Arial"/>
          <w:sz w:val="18"/>
          <w:szCs w:val="18"/>
        </w:rPr>
      </w:pPr>
    </w:p>
    <w:p w14:paraId="7DDE67B5" w14:textId="77777777" w:rsidR="00041DEA" w:rsidRDefault="00041DEA" w:rsidP="00041DEA">
      <w:pPr>
        <w:ind w:left="-142"/>
        <w:jc w:val="both"/>
        <w:rPr>
          <w:rFonts w:ascii="Verdana" w:hAnsi="Verdana" w:cs="Arial"/>
          <w:sz w:val="18"/>
          <w:szCs w:val="18"/>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4149"/>
        <w:gridCol w:w="1360"/>
        <w:gridCol w:w="227"/>
        <w:gridCol w:w="1285"/>
        <w:gridCol w:w="1676"/>
      </w:tblGrid>
      <w:tr w:rsidR="00041DEA" w14:paraId="5AE27927" w14:textId="77777777" w:rsidTr="00041DEA">
        <w:trPr>
          <w:trHeight w:val="139"/>
          <w:jc w:val="center"/>
        </w:trPr>
        <w:tc>
          <w:tcPr>
            <w:tcW w:w="1226" w:type="dxa"/>
            <w:tcBorders>
              <w:top w:val="nil"/>
              <w:left w:val="nil"/>
              <w:bottom w:val="single" w:sz="4" w:space="0" w:color="365F91"/>
              <w:right w:val="nil"/>
            </w:tcBorders>
            <w:vAlign w:val="center"/>
            <w:hideMark/>
          </w:tcPr>
          <w:p w14:paraId="583D9239" w14:textId="77777777" w:rsidR="00041DEA" w:rsidRDefault="00041DEA">
            <w:pPr>
              <w:ind w:left="-142"/>
              <w:rPr>
                <w:rFonts w:ascii="Verdana" w:eastAsia="Malgun Gothic" w:hAnsi="Verdana" w:cs="Arial"/>
                <w:b/>
                <w:color w:val="365F91"/>
                <w:sz w:val="18"/>
                <w:szCs w:val="18"/>
              </w:rPr>
            </w:pPr>
            <w:r>
              <w:rPr>
                <w:rFonts w:ascii="Verdana" w:eastAsia="Malgun Gothic" w:hAnsi="Verdana" w:cs="Arial"/>
                <w:b/>
                <w:color w:val="365F91"/>
                <w:sz w:val="18"/>
                <w:szCs w:val="18"/>
              </w:rPr>
              <w:lastRenderedPageBreak/>
              <w:t xml:space="preserve"> Table </w:t>
            </w:r>
          </w:p>
        </w:tc>
        <w:tc>
          <w:tcPr>
            <w:tcW w:w="4149" w:type="dxa"/>
            <w:tcBorders>
              <w:top w:val="nil"/>
              <w:left w:val="nil"/>
              <w:bottom w:val="single" w:sz="4" w:space="0" w:color="365F91"/>
              <w:right w:val="nil"/>
            </w:tcBorders>
          </w:tcPr>
          <w:p w14:paraId="4D1F7E21" w14:textId="77777777" w:rsidR="00041DEA" w:rsidRDefault="00041DEA">
            <w:pPr>
              <w:ind w:left="-142"/>
              <w:jc w:val="both"/>
              <w:rPr>
                <w:rFonts w:ascii="Verdana" w:eastAsia="Malgun Gothic" w:hAnsi="Verdana" w:cs="Arial"/>
                <w:color w:val="365F91"/>
                <w:sz w:val="18"/>
                <w:szCs w:val="18"/>
              </w:rPr>
            </w:pPr>
          </w:p>
        </w:tc>
        <w:tc>
          <w:tcPr>
            <w:tcW w:w="1360" w:type="dxa"/>
            <w:tcBorders>
              <w:top w:val="nil"/>
              <w:left w:val="nil"/>
              <w:bottom w:val="single" w:sz="4" w:space="0" w:color="365F91"/>
              <w:right w:val="nil"/>
            </w:tcBorders>
          </w:tcPr>
          <w:p w14:paraId="4C36A7A2" w14:textId="77777777" w:rsidR="00041DEA" w:rsidRDefault="00041DEA">
            <w:pPr>
              <w:ind w:left="-142"/>
              <w:jc w:val="both"/>
              <w:rPr>
                <w:rFonts w:ascii="Verdana" w:eastAsia="Malgun Gothic" w:hAnsi="Verdana" w:cs="Arial"/>
                <w:color w:val="365F91"/>
                <w:sz w:val="18"/>
                <w:szCs w:val="18"/>
              </w:rPr>
            </w:pPr>
          </w:p>
        </w:tc>
        <w:tc>
          <w:tcPr>
            <w:tcW w:w="227" w:type="dxa"/>
            <w:tcBorders>
              <w:top w:val="nil"/>
              <w:left w:val="nil"/>
              <w:bottom w:val="single" w:sz="4" w:space="0" w:color="365F91"/>
              <w:right w:val="nil"/>
            </w:tcBorders>
          </w:tcPr>
          <w:p w14:paraId="67C9BE0D" w14:textId="77777777" w:rsidR="00041DEA" w:rsidRDefault="00041DEA">
            <w:pPr>
              <w:ind w:left="-142"/>
              <w:jc w:val="both"/>
              <w:rPr>
                <w:rFonts w:ascii="Verdana" w:eastAsia="Malgun Gothic" w:hAnsi="Verdana" w:cs="Arial"/>
                <w:color w:val="365F91"/>
                <w:sz w:val="18"/>
                <w:szCs w:val="18"/>
              </w:rPr>
            </w:pPr>
          </w:p>
        </w:tc>
        <w:tc>
          <w:tcPr>
            <w:tcW w:w="1285" w:type="dxa"/>
            <w:tcBorders>
              <w:top w:val="nil"/>
              <w:left w:val="nil"/>
              <w:bottom w:val="single" w:sz="4" w:space="0" w:color="365F91"/>
              <w:right w:val="nil"/>
            </w:tcBorders>
          </w:tcPr>
          <w:p w14:paraId="418CEE83" w14:textId="77777777" w:rsidR="00041DEA" w:rsidRDefault="00041DEA">
            <w:pPr>
              <w:ind w:left="-142"/>
              <w:jc w:val="both"/>
              <w:rPr>
                <w:rFonts w:ascii="Verdana" w:eastAsia="Malgun Gothic" w:hAnsi="Verdana" w:cs="Arial"/>
                <w:color w:val="365F91"/>
                <w:sz w:val="18"/>
                <w:szCs w:val="18"/>
              </w:rPr>
            </w:pPr>
          </w:p>
        </w:tc>
        <w:tc>
          <w:tcPr>
            <w:tcW w:w="1676" w:type="dxa"/>
            <w:tcBorders>
              <w:top w:val="nil"/>
              <w:left w:val="nil"/>
              <w:bottom w:val="single" w:sz="4" w:space="0" w:color="365F91"/>
              <w:right w:val="nil"/>
            </w:tcBorders>
          </w:tcPr>
          <w:p w14:paraId="56A6DFBF" w14:textId="77777777" w:rsidR="00041DEA" w:rsidRDefault="00041DEA">
            <w:pPr>
              <w:ind w:left="-142"/>
              <w:jc w:val="both"/>
              <w:rPr>
                <w:rFonts w:ascii="Verdana" w:eastAsia="Malgun Gothic" w:hAnsi="Verdana" w:cs="Arial"/>
                <w:color w:val="365F91"/>
                <w:sz w:val="18"/>
                <w:szCs w:val="18"/>
              </w:rPr>
            </w:pPr>
          </w:p>
        </w:tc>
      </w:tr>
      <w:tr w:rsidR="00041DEA" w14:paraId="398DFDB5" w14:textId="77777777" w:rsidTr="00041DEA">
        <w:trPr>
          <w:trHeight w:val="454"/>
          <w:jc w:val="center"/>
        </w:trPr>
        <w:tc>
          <w:tcPr>
            <w:tcW w:w="1226" w:type="dxa"/>
            <w:vMerge w:val="restart"/>
            <w:tcBorders>
              <w:top w:val="single" w:sz="4" w:space="0" w:color="365F91"/>
              <w:left w:val="nil"/>
              <w:bottom w:val="single" w:sz="4" w:space="0" w:color="365F91"/>
              <w:right w:val="nil"/>
            </w:tcBorders>
            <w:vAlign w:val="center"/>
            <w:hideMark/>
          </w:tcPr>
          <w:p w14:paraId="3D4EB40C" w14:textId="77777777" w:rsidR="00041DEA" w:rsidRDefault="00041DEA">
            <w:pPr>
              <w:ind w:left="-142"/>
              <w:jc w:val="center"/>
              <w:rPr>
                <w:rFonts w:ascii="Verdana" w:eastAsia="Malgun Gothic" w:hAnsi="Verdana" w:cs="Arial"/>
                <w:b/>
                <w:color w:val="365F91"/>
                <w:sz w:val="18"/>
                <w:szCs w:val="18"/>
              </w:rPr>
            </w:pPr>
            <w:r>
              <w:rPr>
                <w:rFonts w:ascii="Verdana" w:eastAsia="Malgun Gothic" w:hAnsi="Verdana" w:cs="Arial"/>
                <w:b/>
                <w:color w:val="365F91"/>
                <w:sz w:val="18"/>
                <w:szCs w:val="18"/>
              </w:rPr>
              <w:t>Code</w:t>
            </w:r>
          </w:p>
          <w:p w14:paraId="0F5DF2E6" w14:textId="77777777" w:rsidR="00041DEA" w:rsidRDefault="00041DEA">
            <w:pPr>
              <w:ind w:left="-142"/>
              <w:jc w:val="center"/>
              <w:rPr>
                <w:rFonts w:ascii="Verdana" w:eastAsia="Malgun Gothic" w:hAnsi="Verdana" w:cs="Arial"/>
                <w:b/>
                <w:color w:val="365F91"/>
                <w:sz w:val="18"/>
                <w:szCs w:val="18"/>
              </w:rPr>
            </w:pPr>
            <w:r>
              <w:rPr>
                <w:rFonts w:ascii="Verdana" w:eastAsia="Malgun Gothic" w:hAnsi="Verdana" w:cs="Arial"/>
                <w:b/>
                <w:color w:val="365F91"/>
                <w:sz w:val="18"/>
                <w:szCs w:val="18"/>
              </w:rPr>
              <w:t xml:space="preserve">(NACE </w:t>
            </w:r>
          </w:p>
          <w:p w14:paraId="223C206C" w14:textId="77777777" w:rsidR="00041DEA" w:rsidRDefault="00041DEA">
            <w:pPr>
              <w:ind w:left="-142"/>
              <w:jc w:val="center"/>
              <w:rPr>
                <w:rFonts w:ascii="Verdana" w:eastAsia="Malgun Gothic" w:hAnsi="Verdana" w:cs="Arial"/>
                <w:b/>
                <w:color w:val="365F91"/>
                <w:sz w:val="18"/>
                <w:szCs w:val="18"/>
              </w:rPr>
            </w:pPr>
            <w:r>
              <w:rPr>
                <w:rFonts w:ascii="Verdana" w:eastAsia="Malgun Gothic" w:hAnsi="Verdana" w:cs="Arial"/>
                <w:b/>
                <w:color w:val="365F91"/>
                <w:sz w:val="18"/>
                <w:szCs w:val="18"/>
              </w:rPr>
              <w:t>Rev. 2)</w:t>
            </w:r>
          </w:p>
        </w:tc>
        <w:tc>
          <w:tcPr>
            <w:tcW w:w="4149" w:type="dxa"/>
            <w:vMerge w:val="restart"/>
            <w:tcBorders>
              <w:top w:val="single" w:sz="4" w:space="0" w:color="365F91"/>
              <w:left w:val="nil"/>
              <w:bottom w:val="single" w:sz="4" w:space="0" w:color="365F91"/>
              <w:right w:val="nil"/>
            </w:tcBorders>
            <w:vAlign w:val="center"/>
            <w:hideMark/>
          </w:tcPr>
          <w:p w14:paraId="77B491EB" w14:textId="77777777" w:rsidR="00041DEA" w:rsidRDefault="00041DEA">
            <w:pPr>
              <w:ind w:left="-142"/>
              <w:jc w:val="center"/>
              <w:rPr>
                <w:rFonts w:ascii="Verdana" w:eastAsia="Malgun Gothic" w:hAnsi="Verdana" w:cs="Arial"/>
                <w:b/>
                <w:color w:val="365F91"/>
                <w:sz w:val="18"/>
                <w:szCs w:val="18"/>
              </w:rPr>
            </w:pPr>
            <w:r>
              <w:rPr>
                <w:rFonts w:ascii="Verdana" w:eastAsia="Malgun Gothic" w:hAnsi="Verdana" w:cs="Arial"/>
                <w:b/>
                <w:color w:val="365F91"/>
                <w:sz w:val="18"/>
                <w:szCs w:val="18"/>
              </w:rPr>
              <w:t>Economic Activity</w:t>
            </w:r>
          </w:p>
        </w:tc>
        <w:tc>
          <w:tcPr>
            <w:tcW w:w="1360" w:type="dxa"/>
            <w:tcBorders>
              <w:top w:val="single" w:sz="4" w:space="0" w:color="365F91"/>
              <w:left w:val="nil"/>
              <w:bottom w:val="single" w:sz="4" w:space="0" w:color="365F91"/>
              <w:right w:val="nil"/>
            </w:tcBorders>
            <w:vAlign w:val="center"/>
            <w:hideMark/>
          </w:tcPr>
          <w:p w14:paraId="654ED789" w14:textId="77777777" w:rsidR="00041DEA" w:rsidRDefault="00041DEA">
            <w:pPr>
              <w:ind w:left="-142"/>
              <w:jc w:val="center"/>
              <w:rPr>
                <w:rFonts w:ascii="Verdana" w:eastAsia="Malgun Gothic" w:hAnsi="Verdana" w:cs="Arial"/>
                <w:b/>
                <w:color w:val="365F91"/>
                <w:sz w:val="18"/>
                <w:szCs w:val="18"/>
              </w:rPr>
            </w:pPr>
            <w:r>
              <w:rPr>
                <w:rFonts w:ascii="Verdana" w:eastAsia="Malgun Gothic" w:hAnsi="Verdana" w:cs="Arial"/>
                <w:b/>
                <w:color w:val="365F91"/>
                <w:sz w:val="18"/>
                <w:szCs w:val="18"/>
              </w:rPr>
              <w:t>Index</w:t>
            </w:r>
          </w:p>
          <w:p w14:paraId="1CAF83A7" w14:textId="7AE29FE9" w:rsidR="00041DEA" w:rsidRDefault="00041DEA">
            <w:pPr>
              <w:ind w:left="-142"/>
              <w:jc w:val="center"/>
              <w:rPr>
                <w:rFonts w:ascii="Verdana" w:eastAsia="Malgun Gothic" w:hAnsi="Verdana" w:cs="Arial"/>
                <w:b/>
                <w:color w:val="365F91"/>
                <w:sz w:val="18"/>
                <w:szCs w:val="18"/>
              </w:rPr>
            </w:pPr>
            <w:r>
              <w:rPr>
                <w:rFonts w:ascii="Verdana" w:eastAsia="Malgun Gothic" w:hAnsi="Verdana" w:cs="Arial"/>
                <w:b/>
                <w:color w:val="365F91"/>
                <w:sz w:val="18"/>
                <w:szCs w:val="18"/>
              </w:rPr>
              <w:t>(20</w:t>
            </w:r>
            <w:r w:rsidR="00A1166C">
              <w:rPr>
                <w:rFonts w:ascii="Verdana" w:eastAsia="Malgun Gothic" w:hAnsi="Verdana" w:cs="Arial"/>
                <w:b/>
                <w:color w:val="365F91"/>
                <w:sz w:val="18"/>
                <w:szCs w:val="18"/>
              </w:rPr>
              <w:t>21</w:t>
            </w:r>
            <w:r>
              <w:rPr>
                <w:rFonts w:ascii="Verdana" w:eastAsia="Malgun Gothic" w:hAnsi="Verdana" w:cs="Arial"/>
                <w:b/>
                <w:color w:val="365F91"/>
                <w:sz w:val="18"/>
                <w:szCs w:val="18"/>
              </w:rPr>
              <w:t>=100)</w:t>
            </w:r>
          </w:p>
        </w:tc>
        <w:tc>
          <w:tcPr>
            <w:tcW w:w="227" w:type="dxa"/>
            <w:tcBorders>
              <w:top w:val="single" w:sz="4" w:space="0" w:color="365F91"/>
              <w:left w:val="nil"/>
              <w:bottom w:val="nil"/>
              <w:right w:val="nil"/>
            </w:tcBorders>
          </w:tcPr>
          <w:p w14:paraId="145A7231" w14:textId="77777777" w:rsidR="00041DEA" w:rsidRDefault="00041DEA">
            <w:pPr>
              <w:ind w:left="-142"/>
              <w:jc w:val="both"/>
              <w:rPr>
                <w:rFonts w:ascii="Verdana" w:eastAsia="Malgun Gothic" w:hAnsi="Verdana" w:cs="Arial"/>
                <w:color w:val="365F91"/>
                <w:sz w:val="18"/>
                <w:szCs w:val="18"/>
              </w:rPr>
            </w:pPr>
          </w:p>
        </w:tc>
        <w:tc>
          <w:tcPr>
            <w:tcW w:w="2961" w:type="dxa"/>
            <w:gridSpan w:val="2"/>
            <w:tcBorders>
              <w:top w:val="single" w:sz="4" w:space="0" w:color="365F91"/>
              <w:left w:val="nil"/>
              <w:bottom w:val="single" w:sz="4" w:space="0" w:color="365F91"/>
              <w:right w:val="nil"/>
            </w:tcBorders>
            <w:vAlign w:val="center"/>
            <w:hideMark/>
          </w:tcPr>
          <w:p w14:paraId="6CDB7114" w14:textId="77777777" w:rsidR="00041DEA" w:rsidRDefault="00041DEA">
            <w:pPr>
              <w:ind w:left="-142"/>
              <w:jc w:val="center"/>
              <w:rPr>
                <w:rFonts w:ascii="Verdana" w:eastAsia="Malgun Gothic" w:hAnsi="Verdana" w:cs="Arial"/>
                <w:color w:val="365F91"/>
                <w:sz w:val="18"/>
                <w:szCs w:val="18"/>
              </w:rPr>
            </w:pPr>
            <w:r>
              <w:rPr>
                <w:rFonts w:ascii="Verdana" w:eastAsia="Malgun Gothic" w:hAnsi="Verdana" w:cs="Arial"/>
                <w:b/>
                <w:color w:val="365F91"/>
                <w:sz w:val="18"/>
                <w:szCs w:val="18"/>
              </w:rPr>
              <w:t>Percentage Change (%)</w:t>
            </w:r>
          </w:p>
        </w:tc>
      </w:tr>
      <w:tr w:rsidR="00041DEA" w14:paraId="539F1D35" w14:textId="77777777" w:rsidTr="00041DEA">
        <w:trPr>
          <w:trHeight w:val="606"/>
          <w:jc w:val="center"/>
        </w:trPr>
        <w:tc>
          <w:tcPr>
            <w:tcW w:w="0" w:type="auto"/>
            <w:vMerge/>
            <w:tcBorders>
              <w:top w:val="single" w:sz="4" w:space="0" w:color="365F91"/>
              <w:left w:val="nil"/>
              <w:bottom w:val="single" w:sz="4" w:space="0" w:color="365F91"/>
              <w:right w:val="nil"/>
            </w:tcBorders>
            <w:vAlign w:val="center"/>
            <w:hideMark/>
          </w:tcPr>
          <w:p w14:paraId="174AE2E5" w14:textId="77777777" w:rsidR="00041DEA" w:rsidRDefault="00041DEA">
            <w:pPr>
              <w:rPr>
                <w:rFonts w:ascii="Verdana" w:eastAsia="Malgun Gothic" w:hAnsi="Verdana" w:cs="Arial"/>
                <w:b/>
                <w:color w:val="365F91"/>
                <w:sz w:val="18"/>
                <w:szCs w:val="18"/>
              </w:rPr>
            </w:pPr>
          </w:p>
        </w:tc>
        <w:tc>
          <w:tcPr>
            <w:tcW w:w="0" w:type="auto"/>
            <w:vMerge/>
            <w:tcBorders>
              <w:top w:val="single" w:sz="4" w:space="0" w:color="365F91"/>
              <w:left w:val="nil"/>
              <w:bottom w:val="single" w:sz="4" w:space="0" w:color="365F91"/>
              <w:right w:val="nil"/>
            </w:tcBorders>
            <w:vAlign w:val="center"/>
            <w:hideMark/>
          </w:tcPr>
          <w:p w14:paraId="2EEF3260" w14:textId="77777777" w:rsidR="00041DEA" w:rsidRDefault="00041DEA">
            <w:pPr>
              <w:rPr>
                <w:rFonts w:ascii="Verdana" w:eastAsia="Malgun Gothic" w:hAnsi="Verdana" w:cs="Arial"/>
                <w:b/>
                <w:color w:val="365F91"/>
                <w:sz w:val="18"/>
                <w:szCs w:val="18"/>
              </w:rPr>
            </w:pPr>
          </w:p>
        </w:tc>
        <w:tc>
          <w:tcPr>
            <w:tcW w:w="1360" w:type="dxa"/>
            <w:tcBorders>
              <w:top w:val="single" w:sz="4" w:space="0" w:color="365F91"/>
              <w:left w:val="nil"/>
              <w:bottom w:val="single" w:sz="4" w:space="0" w:color="365F91"/>
              <w:right w:val="nil"/>
            </w:tcBorders>
            <w:vAlign w:val="center"/>
            <w:hideMark/>
          </w:tcPr>
          <w:p w14:paraId="46BAA47A" w14:textId="41600EE6" w:rsidR="00426870" w:rsidRDefault="00430DCB">
            <w:pPr>
              <w:ind w:left="-142"/>
              <w:jc w:val="center"/>
              <w:rPr>
                <w:rFonts w:ascii="Verdana" w:eastAsia="Malgun Gothic" w:hAnsi="Verdana" w:cs="Arial"/>
                <w:b/>
                <w:color w:val="365F91"/>
                <w:sz w:val="18"/>
                <w:szCs w:val="18"/>
              </w:rPr>
            </w:pPr>
            <w:r>
              <w:rPr>
                <w:rFonts w:ascii="Verdana" w:eastAsia="Malgun Gothic" w:hAnsi="Verdana" w:cs="Arial"/>
                <w:b/>
                <w:color w:val="365F91"/>
                <w:sz w:val="18"/>
                <w:szCs w:val="18"/>
              </w:rPr>
              <w:t>Mar</w:t>
            </w:r>
          </w:p>
          <w:p w14:paraId="296C55C8" w14:textId="10FD98F7" w:rsidR="00041DEA" w:rsidRDefault="00F66B7E">
            <w:pPr>
              <w:ind w:left="-142"/>
              <w:jc w:val="center"/>
              <w:rPr>
                <w:rFonts w:ascii="Verdana" w:eastAsia="Malgun Gothic" w:hAnsi="Verdana" w:cs="Arial"/>
                <w:b/>
                <w:color w:val="365F91"/>
                <w:sz w:val="18"/>
                <w:szCs w:val="18"/>
              </w:rPr>
            </w:pPr>
            <w:r>
              <w:rPr>
                <w:rFonts w:ascii="Verdana" w:eastAsia="Malgun Gothic" w:hAnsi="Verdana" w:cs="Arial"/>
                <w:b/>
                <w:color w:val="365F91"/>
                <w:sz w:val="18"/>
                <w:szCs w:val="18"/>
              </w:rPr>
              <w:t>202</w:t>
            </w:r>
            <w:r w:rsidR="00A1166C">
              <w:rPr>
                <w:rFonts w:ascii="Verdana" w:eastAsia="Malgun Gothic" w:hAnsi="Verdana" w:cs="Arial"/>
                <w:b/>
                <w:color w:val="365F91"/>
                <w:sz w:val="18"/>
                <w:szCs w:val="18"/>
              </w:rPr>
              <w:t>4</w:t>
            </w:r>
          </w:p>
        </w:tc>
        <w:tc>
          <w:tcPr>
            <w:tcW w:w="227" w:type="dxa"/>
            <w:tcBorders>
              <w:top w:val="nil"/>
              <w:left w:val="nil"/>
              <w:bottom w:val="single" w:sz="4" w:space="0" w:color="365F91"/>
              <w:right w:val="nil"/>
            </w:tcBorders>
          </w:tcPr>
          <w:p w14:paraId="3C23A961" w14:textId="77777777" w:rsidR="00041DEA" w:rsidRDefault="00041DEA">
            <w:pPr>
              <w:ind w:left="-142"/>
              <w:jc w:val="center"/>
              <w:rPr>
                <w:rFonts w:ascii="Verdana" w:eastAsia="Malgun Gothic" w:hAnsi="Verdana" w:cs="Arial"/>
                <w:b/>
                <w:color w:val="365F91"/>
                <w:sz w:val="18"/>
                <w:szCs w:val="18"/>
              </w:rPr>
            </w:pPr>
          </w:p>
        </w:tc>
        <w:tc>
          <w:tcPr>
            <w:tcW w:w="1285" w:type="dxa"/>
            <w:tcBorders>
              <w:top w:val="single" w:sz="4" w:space="0" w:color="365F91"/>
              <w:left w:val="nil"/>
              <w:bottom w:val="single" w:sz="4" w:space="0" w:color="365F91"/>
              <w:right w:val="nil"/>
            </w:tcBorders>
            <w:vAlign w:val="center"/>
            <w:hideMark/>
          </w:tcPr>
          <w:p w14:paraId="70600A9A" w14:textId="53DB16C4" w:rsidR="00435CC1" w:rsidRDefault="00430DCB">
            <w:pPr>
              <w:ind w:left="-142"/>
              <w:jc w:val="center"/>
              <w:rPr>
                <w:rFonts w:ascii="Verdana" w:eastAsia="Malgun Gothic" w:hAnsi="Verdana" w:cs="Arial"/>
                <w:b/>
                <w:color w:val="365F91"/>
                <w:sz w:val="18"/>
                <w:szCs w:val="18"/>
              </w:rPr>
            </w:pPr>
            <w:r>
              <w:rPr>
                <w:rFonts w:ascii="Verdana" w:eastAsia="Malgun Gothic" w:hAnsi="Verdana" w:cs="Arial"/>
                <w:b/>
                <w:color w:val="365F91"/>
                <w:sz w:val="18"/>
                <w:szCs w:val="18"/>
              </w:rPr>
              <w:t>Mar</w:t>
            </w:r>
          </w:p>
          <w:p w14:paraId="2900675A" w14:textId="41EB891B" w:rsidR="00041DEA" w:rsidRDefault="00F66B7E" w:rsidP="00435CC1">
            <w:pPr>
              <w:ind w:left="-142"/>
              <w:jc w:val="center"/>
              <w:rPr>
                <w:rFonts w:ascii="Verdana" w:eastAsia="Malgun Gothic" w:hAnsi="Verdana" w:cs="Arial"/>
                <w:b/>
                <w:color w:val="365F91"/>
                <w:sz w:val="18"/>
                <w:szCs w:val="18"/>
                <w:lang w:val="el-GR"/>
              </w:rPr>
            </w:pPr>
            <w:r>
              <w:rPr>
                <w:rFonts w:ascii="Verdana" w:eastAsia="Malgun Gothic" w:hAnsi="Verdana" w:cs="Arial"/>
                <w:b/>
                <w:color w:val="365F91"/>
                <w:sz w:val="18"/>
                <w:szCs w:val="18"/>
              </w:rPr>
              <w:t>202</w:t>
            </w:r>
            <w:r w:rsidR="00A1166C">
              <w:rPr>
                <w:rFonts w:ascii="Verdana" w:eastAsia="Malgun Gothic" w:hAnsi="Verdana" w:cs="Arial"/>
                <w:b/>
                <w:color w:val="365F91"/>
                <w:sz w:val="18"/>
                <w:szCs w:val="18"/>
              </w:rPr>
              <w:t>4</w:t>
            </w:r>
            <w:r w:rsidR="00041DEA">
              <w:rPr>
                <w:rFonts w:ascii="Verdana" w:eastAsia="Malgun Gothic" w:hAnsi="Verdana" w:cs="Arial"/>
                <w:b/>
                <w:color w:val="365F91"/>
                <w:sz w:val="18"/>
                <w:szCs w:val="18"/>
              </w:rPr>
              <w:t>/</w:t>
            </w:r>
            <w:r>
              <w:rPr>
                <w:rFonts w:ascii="Verdana" w:eastAsia="Malgun Gothic" w:hAnsi="Verdana" w:cs="Arial"/>
                <w:b/>
                <w:color w:val="365F91"/>
                <w:sz w:val="18"/>
                <w:szCs w:val="18"/>
              </w:rPr>
              <w:t>202</w:t>
            </w:r>
            <w:r w:rsidR="00A1166C">
              <w:rPr>
                <w:rFonts w:ascii="Verdana" w:eastAsia="Malgun Gothic" w:hAnsi="Verdana" w:cs="Arial"/>
                <w:b/>
                <w:color w:val="365F91"/>
                <w:sz w:val="18"/>
                <w:szCs w:val="18"/>
              </w:rPr>
              <w:t>3</w:t>
            </w:r>
          </w:p>
        </w:tc>
        <w:tc>
          <w:tcPr>
            <w:tcW w:w="1676" w:type="dxa"/>
            <w:tcBorders>
              <w:top w:val="single" w:sz="4" w:space="0" w:color="365F91"/>
              <w:left w:val="nil"/>
              <w:bottom w:val="single" w:sz="4" w:space="0" w:color="365F91"/>
              <w:right w:val="nil"/>
            </w:tcBorders>
            <w:vAlign w:val="center"/>
            <w:hideMark/>
          </w:tcPr>
          <w:p w14:paraId="01F64FD2" w14:textId="1BF21C50" w:rsidR="00435CC1" w:rsidRDefault="00041DEA">
            <w:pPr>
              <w:ind w:left="-142"/>
              <w:jc w:val="center"/>
              <w:rPr>
                <w:rFonts w:ascii="Verdana" w:eastAsia="Malgun Gothic" w:hAnsi="Verdana" w:cs="Arial"/>
                <w:b/>
                <w:color w:val="365F91"/>
                <w:sz w:val="18"/>
                <w:szCs w:val="18"/>
              </w:rPr>
            </w:pPr>
            <w:r>
              <w:rPr>
                <w:rFonts w:ascii="Verdana" w:hAnsi="Verdana" w:cs="Calibri"/>
                <w:b/>
                <w:bCs/>
                <w:color w:val="365F91"/>
                <w:sz w:val="18"/>
                <w:szCs w:val="18"/>
              </w:rPr>
              <w:t>Jan</w:t>
            </w:r>
            <w:r>
              <w:rPr>
                <w:rFonts w:ascii="Verdana" w:hAnsi="Verdana" w:cs="Calibri"/>
                <w:b/>
                <w:bCs/>
                <w:color w:val="365F91"/>
                <w:sz w:val="18"/>
                <w:szCs w:val="18"/>
                <w:lang w:val="el-GR"/>
              </w:rPr>
              <w:t>-</w:t>
            </w:r>
            <w:r w:rsidR="00430DCB">
              <w:rPr>
                <w:rFonts w:ascii="Verdana" w:eastAsia="Malgun Gothic" w:hAnsi="Verdana" w:cs="Arial"/>
                <w:b/>
                <w:color w:val="365F91"/>
                <w:sz w:val="18"/>
                <w:szCs w:val="18"/>
              </w:rPr>
              <w:t>Mar</w:t>
            </w:r>
          </w:p>
          <w:p w14:paraId="2F405F91" w14:textId="640EB8AD" w:rsidR="00041DEA" w:rsidRPr="00435CC1" w:rsidRDefault="00F66B7E" w:rsidP="00435CC1">
            <w:pPr>
              <w:ind w:left="-142"/>
              <w:jc w:val="center"/>
              <w:rPr>
                <w:rFonts w:ascii="Verdana" w:hAnsi="Verdana" w:cs="Calibri"/>
                <w:b/>
                <w:bCs/>
                <w:color w:val="365F91"/>
                <w:sz w:val="18"/>
                <w:szCs w:val="18"/>
                <w:lang w:val="el-GR"/>
              </w:rPr>
            </w:pPr>
            <w:r>
              <w:rPr>
                <w:rFonts w:ascii="Verdana" w:hAnsi="Verdana" w:cs="Calibri"/>
                <w:b/>
                <w:bCs/>
                <w:color w:val="365F91"/>
                <w:sz w:val="18"/>
                <w:szCs w:val="18"/>
                <w:lang w:val="el-GR"/>
              </w:rPr>
              <w:t>202</w:t>
            </w:r>
            <w:r w:rsidR="00DD2E22">
              <w:rPr>
                <w:rFonts w:ascii="Verdana" w:hAnsi="Verdana" w:cs="Calibri"/>
                <w:b/>
                <w:bCs/>
                <w:color w:val="365F91"/>
                <w:sz w:val="18"/>
                <w:szCs w:val="18"/>
              </w:rPr>
              <w:t>4</w:t>
            </w:r>
            <w:r w:rsidR="00041DEA">
              <w:rPr>
                <w:rFonts w:ascii="Verdana" w:hAnsi="Verdana" w:cs="Calibri"/>
                <w:b/>
                <w:bCs/>
                <w:color w:val="365F91"/>
                <w:sz w:val="18"/>
                <w:szCs w:val="18"/>
                <w:lang w:val="el-GR"/>
              </w:rPr>
              <w:t>/</w:t>
            </w:r>
            <w:r>
              <w:rPr>
                <w:rFonts w:ascii="Verdana" w:hAnsi="Verdana" w:cs="Calibri"/>
                <w:b/>
                <w:bCs/>
                <w:color w:val="365F91"/>
                <w:sz w:val="18"/>
                <w:szCs w:val="18"/>
                <w:lang w:val="el-GR"/>
              </w:rPr>
              <w:t>202</w:t>
            </w:r>
            <w:r w:rsidR="00DD2E22">
              <w:rPr>
                <w:rFonts w:ascii="Verdana" w:hAnsi="Verdana" w:cs="Calibri"/>
                <w:b/>
                <w:bCs/>
                <w:color w:val="365F91"/>
                <w:sz w:val="18"/>
                <w:szCs w:val="18"/>
              </w:rPr>
              <w:t>3</w:t>
            </w:r>
          </w:p>
        </w:tc>
      </w:tr>
      <w:tr w:rsidR="00041DEA" w14:paraId="7CEBED21" w14:textId="77777777" w:rsidTr="00041DEA">
        <w:trPr>
          <w:trHeight w:val="113"/>
          <w:jc w:val="center"/>
        </w:trPr>
        <w:tc>
          <w:tcPr>
            <w:tcW w:w="1226" w:type="dxa"/>
            <w:tcBorders>
              <w:top w:val="single" w:sz="4" w:space="0" w:color="365F91"/>
              <w:left w:val="nil"/>
              <w:bottom w:val="nil"/>
              <w:right w:val="nil"/>
            </w:tcBorders>
            <w:vAlign w:val="center"/>
          </w:tcPr>
          <w:p w14:paraId="1A306ACD" w14:textId="77777777" w:rsidR="00041DEA" w:rsidRDefault="00041DEA">
            <w:pPr>
              <w:ind w:left="-142"/>
              <w:jc w:val="center"/>
              <w:rPr>
                <w:rFonts w:ascii="Verdana" w:eastAsia="Malgun Gothic" w:hAnsi="Verdana" w:cs="Arial"/>
                <w:color w:val="365F91"/>
                <w:sz w:val="18"/>
                <w:szCs w:val="18"/>
                <w:lang w:val="el-GR"/>
              </w:rPr>
            </w:pPr>
          </w:p>
        </w:tc>
        <w:tc>
          <w:tcPr>
            <w:tcW w:w="4149" w:type="dxa"/>
            <w:tcBorders>
              <w:top w:val="single" w:sz="4" w:space="0" w:color="365F91"/>
              <w:left w:val="nil"/>
              <w:bottom w:val="nil"/>
              <w:right w:val="nil"/>
            </w:tcBorders>
          </w:tcPr>
          <w:p w14:paraId="4E7DE734" w14:textId="77777777" w:rsidR="00041DEA" w:rsidRDefault="00041DEA">
            <w:pPr>
              <w:ind w:left="-142"/>
              <w:jc w:val="both"/>
              <w:rPr>
                <w:rFonts w:ascii="Verdana" w:eastAsia="Malgun Gothic" w:hAnsi="Verdana" w:cs="Arial"/>
                <w:color w:val="365F91"/>
                <w:sz w:val="18"/>
                <w:szCs w:val="18"/>
                <w:lang w:val="el-GR"/>
              </w:rPr>
            </w:pPr>
          </w:p>
        </w:tc>
        <w:tc>
          <w:tcPr>
            <w:tcW w:w="1360" w:type="dxa"/>
            <w:tcBorders>
              <w:top w:val="single" w:sz="4" w:space="0" w:color="365F91"/>
              <w:left w:val="nil"/>
              <w:bottom w:val="nil"/>
              <w:right w:val="nil"/>
            </w:tcBorders>
          </w:tcPr>
          <w:p w14:paraId="4F1BA097" w14:textId="77777777" w:rsidR="00041DEA" w:rsidRDefault="00041DEA">
            <w:pPr>
              <w:ind w:left="-142"/>
              <w:jc w:val="both"/>
              <w:rPr>
                <w:rFonts w:ascii="Verdana" w:eastAsia="Malgun Gothic" w:hAnsi="Verdana" w:cs="Arial"/>
                <w:color w:val="365F91"/>
                <w:sz w:val="18"/>
                <w:szCs w:val="18"/>
                <w:lang w:val="el-GR"/>
              </w:rPr>
            </w:pPr>
          </w:p>
        </w:tc>
        <w:tc>
          <w:tcPr>
            <w:tcW w:w="227" w:type="dxa"/>
            <w:tcBorders>
              <w:top w:val="single" w:sz="4" w:space="0" w:color="365F91"/>
              <w:left w:val="nil"/>
              <w:bottom w:val="nil"/>
              <w:right w:val="nil"/>
            </w:tcBorders>
          </w:tcPr>
          <w:p w14:paraId="71EC8D81" w14:textId="77777777" w:rsidR="00041DEA" w:rsidRDefault="00041DEA">
            <w:pPr>
              <w:ind w:left="-142"/>
              <w:jc w:val="both"/>
              <w:rPr>
                <w:rFonts w:ascii="Verdana" w:eastAsia="Malgun Gothic" w:hAnsi="Verdana" w:cs="Arial"/>
                <w:color w:val="365F91"/>
                <w:sz w:val="18"/>
                <w:szCs w:val="18"/>
                <w:lang w:val="el-GR"/>
              </w:rPr>
            </w:pPr>
          </w:p>
        </w:tc>
        <w:tc>
          <w:tcPr>
            <w:tcW w:w="1285" w:type="dxa"/>
            <w:tcBorders>
              <w:top w:val="single" w:sz="4" w:space="0" w:color="365F91"/>
              <w:left w:val="nil"/>
              <w:bottom w:val="nil"/>
              <w:right w:val="nil"/>
            </w:tcBorders>
          </w:tcPr>
          <w:p w14:paraId="1AFD871A" w14:textId="77777777" w:rsidR="00041DEA" w:rsidRDefault="00041DEA">
            <w:pPr>
              <w:ind w:left="-142"/>
              <w:jc w:val="both"/>
              <w:rPr>
                <w:rFonts w:ascii="Verdana" w:eastAsia="Malgun Gothic" w:hAnsi="Verdana" w:cs="Arial"/>
                <w:color w:val="365F91"/>
                <w:sz w:val="18"/>
                <w:szCs w:val="18"/>
                <w:lang w:val="el-GR"/>
              </w:rPr>
            </w:pPr>
          </w:p>
        </w:tc>
        <w:tc>
          <w:tcPr>
            <w:tcW w:w="1676" w:type="dxa"/>
            <w:tcBorders>
              <w:top w:val="single" w:sz="4" w:space="0" w:color="365F91"/>
              <w:left w:val="nil"/>
              <w:bottom w:val="nil"/>
              <w:right w:val="nil"/>
            </w:tcBorders>
          </w:tcPr>
          <w:p w14:paraId="0B34A007" w14:textId="77777777" w:rsidR="00041DEA" w:rsidRDefault="00041DEA">
            <w:pPr>
              <w:ind w:left="-142"/>
              <w:jc w:val="both"/>
              <w:rPr>
                <w:rFonts w:ascii="Verdana" w:eastAsia="Malgun Gothic" w:hAnsi="Verdana" w:cs="Arial"/>
                <w:color w:val="365F91"/>
                <w:sz w:val="18"/>
                <w:szCs w:val="18"/>
                <w:lang w:val="el-GR"/>
              </w:rPr>
            </w:pPr>
          </w:p>
        </w:tc>
      </w:tr>
      <w:tr w:rsidR="00430DCB" w14:paraId="3F8F9F63" w14:textId="77777777" w:rsidTr="00041DEA">
        <w:trPr>
          <w:trHeight w:val="170"/>
          <w:jc w:val="center"/>
        </w:trPr>
        <w:tc>
          <w:tcPr>
            <w:tcW w:w="1226" w:type="dxa"/>
            <w:tcBorders>
              <w:top w:val="nil"/>
              <w:left w:val="nil"/>
              <w:bottom w:val="nil"/>
              <w:right w:val="nil"/>
            </w:tcBorders>
            <w:vAlign w:val="center"/>
            <w:hideMark/>
          </w:tcPr>
          <w:p w14:paraId="01F4FADC" w14:textId="77777777" w:rsidR="00430DCB" w:rsidRDefault="00430DCB" w:rsidP="00430DCB">
            <w:pPr>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Β</w:t>
            </w:r>
          </w:p>
        </w:tc>
        <w:tc>
          <w:tcPr>
            <w:tcW w:w="4149" w:type="dxa"/>
            <w:tcBorders>
              <w:top w:val="nil"/>
              <w:left w:val="nil"/>
              <w:bottom w:val="nil"/>
              <w:right w:val="nil"/>
            </w:tcBorders>
            <w:vAlign w:val="center"/>
            <w:hideMark/>
          </w:tcPr>
          <w:p w14:paraId="2E4884BE" w14:textId="77777777" w:rsidR="00430DCB" w:rsidRDefault="00430DCB" w:rsidP="00430DCB">
            <w:pPr>
              <w:rPr>
                <w:rFonts w:ascii="Verdana" w:eastAsia="Times New Roman" w:hAnsi="Verdana" w:cs="Arial"/>
                <w:b/>
                <w:bCs/>
                <w:color w:val="365F91"/>
                <w:sz w:val="18"/>
                <w:szCs w:val="18"/>
              </w:rPr>
            </w:pPr>
            <w:r>
              <w:rPr>
                <w:rFonts w:ascii="Verdana" w:eastAsia="Times New Roman" w:hAnsi="Verdana" w:cs="Arial"/>
                <w:b/>
                <w:bCs/>
                <w:color w:val="365F91"/>
                <w:sz w:val="18"/>
                <w:szCs w:val="18"/>
              </w:rPr>
              <w:t>MINING AND QUARRYING</w:t>
            </w:r>
          </w:p>
        </w:tc>
        <w:tc>
          <w:tcPr>
            <w:tcW w:w="1360" w:type="dxa"/>
            <w:tcBorders>
              <w:top w:val="nil"/>
              <w:left w:val="nil"/>
              <w:bottom w:val="nil"/>
              <w:right w:val="nil"/>
            </w:tcBorders>
            <w:vAlign w:val="center"/>
            <w:hideMark/>
          </w:tcPr>
          <w:p w14:paraId="2F19370E" w14:textId="4D1E8F20" w:rsidR="00430DCB" w:rsidRDefault="00430DCB" w:rsidP="00430DCB">
            <w:pPr>
              <w:ind w:right="227"/>
              <w:jc w:val="right"/>
              <w:rPr>
                <w:rFonts w:ascii="Verdana" w:hAnsi="Verdana"/>
                <w:b/>
                <w:color w:val="365F91"/>
                <w:sz w:val="18"/>
                <w:szCs w:val="18"/>
                <w:lang w:val="el-GR"/>
              </w:rPr>
            </w:pPr>
            <w:r>
              <w:rPr>
                <w:rFonts w:ascii="Verdana" w:hAnsi="Verdana"/>
                <w:b/>
                <w:color w:val="365F91"/>
                <w:sz w:val="18"/>
                <w:szCs w:val="18"/>
                <w:lang w:val="el-GR"/>
              </w:rPr>
              <w:t>146,0</w:t>
            </w:r>
          </w:p>
        </w:tc>
        <w:tc>
          <w:tcPr>
            <w:tcW w:w="227" w:type="dxa"/>
            <w:tcBorders>
              <w:top w:val="nil"/>
              <w:left w:val="nil"/>
              <w:bottom w:val="nil"/>
              <w:right w:val="nil"/>
            </w:tcBorders>
            <w:vAlign w:val="center"/>
          </w:tcPr>
          <w:p w14:paraId="7561F03F" w14:textId="77777777" w:rsidR="00430DCB" w:rsidRDefault="00430DCB" w:rsidP="00430DCB">
            <w:pPr>
              <w:jc w:val="right"/>
              <w:rPr>
                <w:rFonts w:ascii="Verdana" w:eastAsia="Times New Roman" w:hAnsi="Verdana" w:cs="Arial"/>
                <w:b/>
                <w:bCs/>
                <w:color w:val="365F91"/>
                <w:sz w:val="18"/>
                <w:szCs w:val="18"/>
                <w:lang w:val="el-GR"/>
              </w:rPr>
            </w:pPr>
          </w:p>
        </w:tc>
        <w:tc>
          <w:tcPr>
            <w:tcW w:w="1285" w:type="dxa"/>
            <w:tcBorders>
              <w:top w:val="nil"/>
              <w:left w:val="nil"/>
              <w:bottom w:val="nil"/>
              <w:right w:val="nil"/>
            </w:tcBorders>
            <w:vAlign w:val="center"/>
            <w:hideMark/>
          </w:tcPr>
          <w:p w14:paraId="494A8AC3" w14:textId="5CA53E41" w:rsidR="00430DCB" w:rsidRDefault="00430DCB" w:rsidP="00430DCB">
            <w:pPr>
              <w:ind w:right="340"/>
              <w:jc w:val="right"/>
              <w:rPr>
                <w:rFonts w:ascii="Verdana" w:hAnsi="Verdana"/>
                <w:b/>
                <w:color w:val="365F91"/>
                <w:sz w:val="18"/>
                <w:szCs w:val="18"/>
                <w:lang w:val="el-GR"/>
              </w:rPr>
            </w:pPr>
            <w:r>
              <w:rPr>
                <w:rFonts w:ascii="Verdana" w:hAnsi="Verdana"/>
                <w:b/>
                <w:color w:val="365F91"/>
                <w:sz w:val="18"/>
                <w:szCs w:val="18"/>
                <w:lang w:val="el-GR"/>
              </w:rPr>
              <w:t>1,8</w:t>
            </w:r>
          </w:p>
        </w:tc>
        <w:tc>
          <w:tcPr>
            <w:tcW w:w="1676" w:type="dxa"/>
            <w:tcBorders>
              <w:top w:val="nil"/>
              <w:left w:val="nil"/>
              <w:bottom w:val="nil"/>
              <w:right w:val="nil"/>
            </w:tcBorders>
            <w:vAlign w:val="center"/>
            <w:hideMark/>
          </w:tcPr>
          <w:p w14:paraId="4BBA27A4" w14:textId="4DD8BEF0" w:rsidR="00430DCB" w:rsidRDefault="00430DCB" w:rsidP="00430DCB">
            <w:pPr>
              <w:ind w:right="510"/>
              <w:jc w:val="right"/>
              <w:rPr>
                <w:rFonts w:ascii="Verdana" w:hAnsi="Verdana"/>
                <w:b/>
                <w:color w:val="365F91"/>
                <w:sz w:val="18"/>
                <w:szCs w:val="18"/>
                <w:lang w:val="el-GR"/>
              </w:rPr>
            </w:pPr>
            <w:r>
              <w:rPr>
                <w:rFonts w:ascii="Verdana" w:hAnsi="Verdana"/>
                <w:b/>
                <w:color w:val="365F91"/>
                <w:sz w:val="18"/>
                <w:szCs w:val="18"/>
                <w:lang w:val="el-GR"/>
              </w:rPr>
              <w:t>16,0</w:t>
            </w:r>
          </w:p>
        </w:tc>
      </w:tr>
      <w:tr w:rsidR="00430DCB" w14:paraId="7DF564E6" w14:textId="77777777" w:rsidTr="00041DEA">
        <w:trPr>
          <w:trHeight w:val="113"/>
          <w:jc w:val="center"/>
        </w:trPr>
        <w:tc>
          <w:tcPr>
            <w:tcW w:w="1226" w:type="dxa"/>
            <w:tcBorders>
              <w:top w:val="nil"/>
              <w:left w:val="nil"/>
              <w:bottom w:val="nil"/>
              <w:right w:val="nil"/>
            </w:tcBorders>
            <w:vAlign w:val="center"/>
          </w:tcPr>
          <w:p w14:paraId="03E26685" w14:textId="77777777" w:rsidR="00430DCB" w:rsidRDefault="00430DCB" w:rsidP="00430DCB">
            <w:pPr>
              <w:jc w:val="center"/>
              <w:rPr>
                <w:rFonts w:ascii="Verdana" w:eastAsia="Times New Roman" w:hAnsi="Verdana" w:cs="Arial"/>
                <w:b/>
                <w:bCs/>
                <w:color w:val="365F91"/>
                <w:sz w:val="18"/>
                <w:szCs w:val="18"/>
              </w:rPr>
            </w:pPr>
          </w:p>
        </w:tc>
        <w:tc>
          <w:tcPr>
            <w:tcW w:w="4149" w:type="dxa"/>
            <w:tcBorders>
              <w:top w:val="nil"/>
              <w:left w:val="nil"/>
              <w:bottom w:val="nil"/>
              <w:right w:val="nil"/>
            </w:tcBorders>
            <w:vAlign w:val="center"/>
            <w:hideMark/>
          </w:tcPr>
          <w:p w14:paraId="1F83AFB8" w14:textId="77777777" w:rsidR="00430DCB" w:rsidRDefault="00430DCB" w:rsidP="00430DCB">
            <w:pPr>
              <w:rPr>
                <w:rFonts w:ascii="Verdana" w:eastAsia="Times New Roman" w:hAnsi="Verdana" w:cs="Arial"/>
                <w:b/>
                <w:bCs/>
                <w:color w:val="365F91"/>
                <w:sz w:val="18"/>
                <w:szCs w:val="18"/>
              </w:rPr>
            </w:pPr>
            <w:r>
              <w:rPr>
                <w:rFonts w:ascii="Verdana" w:eastAsia="Times New Roman" w:hAnsi="Verdana" w:cs="Arial"/>
                <w:b/>
                <w:bCs/>
                <w:color w:val="365F91"/>
                <w:sz w:val="18"/>
                <w:szCs w:val="18"/>
              </w:rPr>
              <w:t> </w:t>
            </w:r>
          </w:p>
        </w:tc>
        <w:tc>
          <w:tcPr>
            <w:tcW w:w="1360" w:type="dxa"/>
            <w:tcBorders>
              <w:top w:val="nil"/>
              <w:left w:val="nil"/>
              <w:bottom w:val="nil"/>
              <w:right w:val="nil"/>
            </w:tcBorders>
            <w:vAlign w:val="center"/>
          </w:tcPr>
          <w:p w14:paraId="19F8F08D" w14:textId="77777777" w:rsidR="00430DCB" w:rsidRDefault="00430DCB" w:rsidP="00430DCB">
            <w:pPr>
              <w:ind w:right="227"/>
              <w:jc w:val="right"/>
              <w:rPr>
                <w:rFonts w:ascii="Verdana" w:hAnsi="Verdana"/>
                <w:color w:val="365F91"/>
                <w:sz w:val="18"/>
                <w:szCs w:val="18"/>
              </w:rPr>
            </w:pPr>
          </w:p>
        </w:tc>
        <w:tc>
          <w:tcPr>
            <w:tcW w:w="227" w:type="dxa"/>
            <w:tcBorders>
              <w:top w:val="nil"/>
              <w:left w:val="nil"/>
              <w:bottom w:val="nil"/>
              <w:right w:val="nil"/>
            </w:tcBorders>
            <w:vAlign w:val="center"/>
          </w:tcPr>
          <w:p w14:paraId="7E31085E" w14:textId="77777777" w:rsidR="00430DCB" w:rsidRDefault="00430DCB" w:rsidP="00430DCB">
            <w:pPr>
              <w:jc w:val="right"/>
              <w:rPr>
                <w:rFonts w:ascii="Verdana" w:eastAsia="Times New Roman" w:hAnsi="Verdana" w:cs="Arial"/>
                <w:color w:val="365F91"/>
                <w:sz w:val="18"/>
                <w:szCs w:val="18"/>
              </w:rPr>
            </w:pPr>
          </w:p>
        </w:tc>
        <w:tc>
          <w:tcPr>
            <w:tcW w:w="1285" w:type="dxa"/>
            <w:tcBorders>
              <w:top w:val="nil"/>
              <w:left w:val="nil"/>
              <w:bottom w:val="nil"/>
              <w:right w:val="nil"/>
            </w:tcBorders>
            <w:vAlign w:val="center"/>
          </w:tcPr>
          <w:p w14:paraId="3A1AF25D" w14:textId="77777777" w:rsidR="00430DCB" w:rsidRDefault="00430DCB" w:rsidP="00430DCB">
            <w:pPr>
              <w:ind w:right="227"/>
              <w:jc w:val="right"/>
              <w:rPr>
                <w:rFonts w:ascii="Verdana" w:hAnsi="Verdana"/>
                <w:color w:val="365F91"/>
                <w:sz w:val="18"/>
                <w:szCs w:val="18"/>
              </w:rPr>
            </w:pPr>
          </w:p>
        </w:tc>
        <w:tc>
          <w:tcPr>
            <w:tcW w:w="1676" w:type="dxa"/>
            <w:tcBorders>
              <w:top w:val="nil"/>
              <w:left w:val="nil"/>
              <w:bottom w:val="nil"/>
              <w:right w:val="nil"/>
            </w:tcBorders>
            <w:vAlign w:val="center"/>
          </w:tcPr>
          <w:p w14:paraId="36D0A923" w14:textId="77777777" w:rsidR="00430DCB" w:rsidRDefault="00430DCB" w:rsidP="00430DCB">
            <w:pPr>
              <w:jc w:val="right"/>
              <w:rPr>
                <w:rFonts w:ascii="Verdana" w:hAnsi="Verdana"/>
                <w:color w:val="365F91"/>
                <w:sz w:val="18"/>
                <w:szCs w:val="18"/>
              </w:rPr>
            </w:pPr>
          </w:p>
        </w:tc>
      </w:tr>
      <w:tr w:rsidR="00430DCB" w14:paraId="355C9D06" w14:textId="77777777" w:rsidTr="00041DEA">
        <w:trPr>
          <w:trHeight w:val="170"/>
          <w:jc w:val="center"/>
        </w:trPr>
        <w:tc>
          <w:tcPr>
            <w:tcW w:w="1226" w:type="dxa"/>
            <w:tcBorders>
              <w:top w:val="nil"/>
              <w:left w:val="nil"/>
              <w:bottom w:val="nil"/>
              <w:right w:val="nil"/>
            </w:tcBorders>
            <w:vAlign w:val="center"/>
            <w:hideMark/>
          </w:tcPr>
          <w:p w14:paraId="4A2CCCCE" w14:textId="77777777" w:rsidR="00430DCB" w:rsidRDefault="00430DCB" w:rsidP="00430DCB">
            <w:pPr>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C</w:t>
            </w:r>
          </w:p>
        </w:tc>
        <w:tc>
          <w:tcPr>
            <w:tcW w:w="4149" w:type="dxa"/>
            <w:tcBorders>
              <w:top w:val="nil"/>
              <w:left w:val="nil"/>
              <w:bottom w:val="nil"/>
              <w:right w:val="nil"/>
            </w:tcBorders>
            <w:vAlign w:val="center"/>
            <w:hideMark/>
          </w:tcPr>
          <w:p w14:paraId="33B9E16A" w14:textId="77777777" w:rsidR="00430DCB" w:rsidRDefault="00430DCB" w:rsidP="00430DCB">
            <w:pPr>
              <w:rPr>
                <w:rFonts w:ascii="Verdana" w:eastAsia="Times New Roman" w:hAnsi="Verdana" w:cs="Arial"/>
                <w:b/>
                <w:bCs/>
                <w:color w:val="365F91"/>
                <w:sz w:val="18"/>
                <w:szCs w:val="18"/>
              </w:rPr>
            </w:pPr>
            <w:r>
              <w:rPr>
                <w:rFonts w:ascii="Verdana" w:eastAsia="Times New Roman" w:hAnsi="Verdana" w:cs="Arial"/>
                <w:b/>
                <w:bCs/>
                <w:color w:val="365F91"/>
                <w:sz w:val="18"/>
                <w:szCs w:val="18"/>
              </w:rPr>
              <w:t>ΜANUFACTURING</w:t>
            </w:r>
          </w:p>
        </w:tc>
        <w:tc>
          <w:tcPr>
            <w:tcW w:w="1360" w:type="dxa"/>
            <w:tcBorders>
              <w:top w:val="nil"/>
              <w:left w:val="nil"/>
              <w:bottom w:val="nil"/>
              <w:right w:val="nil"/>
            </w:tcBorders>
            <w:vAlign w:val="center"/>
            <w:hideMark/>
          </w:tcPr>
          <w:p w14:paraId="7D096C88" w14:textId="2142CDB5" w:rsidR="00430DCB" w:rsidRDefault="00430DCB" w:rsidP="00430DCB">
            <w:pPr>
              <w:ind w:right="227"/>
              <w:jc w:val="right"/>
              <w:rPr>
                <w:rFonts w:ascii="Verdana" w:hAnsi="Verdana"/>
                <w:b/>
                <w:color w:val="365F91"/>
                <w:sz w:val="18"/>
                <w:szCs w:val="18"/>
              </w:rPr>
            </w:pPr>
            <w:r>
              <w:rPr>
                <w:rFonts w:ascii="Verdana" w:hAnsi="Verdana"/>
                <w:b/>
                <w:color w:val="365F91"/>
                <w:sz w:val="18"/>
                <w:szCs w:val="18"/>
                <w:lang w:val="el-GR"/>
              </w:rPr>
              <w:t>130,2</w:t>
            </w:r>
          </w:p>
        </w:tc>
        <w:tc>
          <w:tcPr>
            <w:tcW w:w="227" w:type="dxa"/>
            <w:tcBorders>
              <w:top w:val="nil"/>
              <w:left w:val="nil"/>
              <w:bottom w:val="nil"/>
              <w:right w:val="nil"/>
            </w:tcBorders>
            <w:vAlign w:val="center"/>
          </w:tcPr>
          <w:p w14:paraId="6D95931E" w14:textId="77777777" w:rsidR="00430DCB" w:rsidRDefault="00430DCB" w:rsidP="00430DCB">
            <w:pPr>
              <w:jc w:val="right"/>
              <w:rPr>
                <w:rFonts w:ascii="Verdana" w:eastAsia="Times New Roman" w:hAnsi="Verdana" w:cs="Arial"/>
                <w:b/>
                <w:bCs/>
                <w:color w:val="365F91"/>
                <w:sz w:val="18"/>
                <w:szCs w:val="18"/>
                <w:lang w:val="el-GR"/>
              </w:rPr>
            </w:pPr>
          </w:p>
        </w:tc>
        <w:tc>
          <w:tcPr>
            <w:tcW w:w="1285" w:type="dxa"/>
            <w:tcBorders>
              <w:top w:val="nil"/>
              <w:left w:val="nil"/>
              <w:bottom w:val="nil"/>
              <w:right w:val="nil"/>
            </w:tcBorders>
            <w:vAlign w:val="center"/>
            <w:hideMark/>
          </w:tcPr>
          <w:p w14:paraId="1E39CD87" w14:textId="4620C8C8" w:rsidR="00430DCB" w:rsidRDefault="00430DCB" w:rsidP="00430DCB">
            <w:pPr>
              <w:ind w:right="340"/>
              <w:jc w:val="right"/>
              <w:rPr>
                <w:rFonts w:ascii="Verdana" w:hAnsi="Verdana"/>
                <w:b/>
                <w:color w:val="365F91"/>
                <w:sz w:val="18"/>
                <w:szCs w:val="18"/>
                <w:lang w:val="el-GR"/>
              </w:rPr>
            </w:pPr>
            <w:r>
              <w:rPr>
                <w:rFonts w:ascii="Verdana" w:hAnsi="Verdana"/>
                <w:b/>
                <w:color w:val="365F91"/>
                <w:sz w:val="18"/>
                <w:szCs w:val="18"/>
                <w:lang w:val="el-GR"/>
              </w:rPr>
              <w:t>-1,5</w:t>
            </w:r>
          </w:p>
        </w:tc>
        <w:tc>
          <w:tcPr>
            <w:tcW w:w="1676" w:type="dxa"/>
            <w:tcBorders>
              <w:top w:val="nil"/>
              <w:left w:val="nil"/>
              <w:bottom w:val="nil"/>
              <w:right w:val="nil"/>
            </w:tcBorders>
            <w:vAlign w:val="center"/>
            <w:hideMark/>
          </w:tcPr>
          <w:p w14:paraId="2A8E6F9D" w14:textId="52E86D28" w:rsidR="00430DCB" w:rsidRDefault="00430DCB" w:rsidP="00430DCB">
            <w:pPr>
              <w:ind w:right="510"/>
              <w:jc w:val="right"/>
              <w:rPr>
                <w:rFonts w:ascii="Verdana" w:hAnsi="Verdana"/>
                <w:b/>
                <w:color w:val="365F91"/>
                <w:sz w:val="18"/>
                <w:szCs w:val="18"/>
                <w:lang w:val="el-GR"/>
              </w:rPr>
            </w:pPr>
            <w:r>
              <w:rPr>
                <w:rFonts w:ascii="Verdana" w:hAnsi="Verdana"/>
                <w:b/>
                <w:color w:val="365F91"/>
                <w:sz w:val="18"/>
                <w:szCs w:val="18"/>
                <w:lang w:val="el-GR"/>
              </w:rPr>
              <w:t>4,9</w:t>
            </w:r>
          </w:p>
        </w:tc>
      </w:tr>
      <w:tr w:rsidR="00430DCB" w14:paraId="3860093C" w14:textId="77777777" w:rsidTr="00041DEA">
        <w:trPr>
          <w:jc w:val="center"/>
        </w:trPr>
        <w:tc>
          <w:tcPr>
            <w:tcW w:w="1226" w:type="dxa"/>
            <w:tcBorders>
              <w:top w:val="nil"/>
              <w:left w:val="nil"/>
              <w:bottom w:val="nil"/>
              <w:right w:val="nil"/>
            </w:tcBorders>
            <w:vAlign w:val="center"/>
          </w:tcPr>
          <w:p w14:paraId="3D00B17E" w14:textId="77777777" w:rsidR="00430DCB" w:rsidRDefault="00430DCB" w:rsidP="00430DCB">
            <w:pPr>
              <w:jc w:val="center"/>
              <w:rPr>
                <w:rFonts w:ascii="Verdana" w:eastAsia="Times New Roman" w:hAnsi="Verdana" w:cs="Arial"/>
                <w:b/>
                <w:bCs/>
                <w:color w:val="365F91"/>
                <w:sz w:val="18"/>
                <w:szCs w:val="18"/>
              </w:rPr>
            </w:pPr>
          </w:p>
        </w:tc>
        <w:tc>
          <w:tcPr>
            <w:tcW w:w="4149" w:type="dxa"/>
            <w:tcBorders>
              <w:top w:val="nil"/>
              <w:left w:val="nil"/>
              <w:bottom w:val="nil"/>
              <w:right w:val="nil"/>
            </w:tcBorders>
            <w:vAlign w:val="center"/>
            <w:hideMark/>
          </w:tcPr>
          <w:p w14:paraId="5EA5FF18" w14:textId="77777777" w:rsidR="00430DCB" w:rsidRDefault="00430DCB" w:rsidP="00430DCB">
            <w:pPr>
              <w:rPr>
                <w:rFonts w:ascii="Verdana" w:eastAsia="Times New Roman" w:hAnsi="Verdana" w:cs="Arial"/>
                <w:b/>
                <w:bCs/>
                <w:color w:val="365F91"/>
                <w:sz w:val="18"/>
                <w:szCs w:val="18"/>
              </w:rPr>
            </w:pPr>
            <w:r>
              <w:rPr>
                <w:rFonts w:ascii="Verdana" w:eastAsia="Times New Roman" w:hAnsi="Verdana" w:cs="Arial"/>
                <w:b/>
                <w:bCs/>
                <w:color w:val="365F91"/>
                <w:sz w:val="18"/>
                <w:szCs w:val="18"/>
              </w:rPr>
              <w:t> </w:t>
            </w:r>
          </w:p>
        </w:tc>
        <w:tc>
          <w:tcPr>
            <w:tcW w:w="1360" w:type="dxa"/>
            <w:tcBorders>
              <w:top w:val="nil"/>
              <w:left w:val="nil"/>
              <w:bottom w:val="nil"/>
              <w:right w:val="nil"/>
            </w:tcBorders>
            <w:vAlign w:val="center"/>
          </w:tcPr>
          <w:p w14:paraId="21383122" w14:textId="77777777" w:rsidR="00430DCB" w:rsidRDefault="00430DCB" w:rsidP="00430DCB">
            <w:pPr>
              <w:ind w:right="227"/>
              <w:jc w:val="right"/>
              <w:rPr>
                <w:rFonts w:ascii="Verdana" w:hAnsi="Verdana"/>
                <w:color w:val="365F91"/>
                <w:sz w:val="18"/>
                <w:szCs w:val="18"/>
              </w:rPr>
            </w:pPr>
          </w:p>
        </w:tc>
        <w:tc>
          <w:tcPr>
            <w:tcW w:w="227" w:type="dxa"/>
            <w:tcBorders>
              <w:top w:val="nil"/>
              <w:left w:val="nil"/>
              <w:bottom w:val="nil"/>
              <w:right w:val="nil"/>
            </w:tcBorders>
            <w:vAlign w:val="center"/>
          </w:tcPr>
          <w:p w14:paraId="03C1B108" w14:textId="77777777" w:rsidR="00430DCB" w:rsidRDefault="00430DCB" w:rsidP="00430DCB">
            <w:pPr>
              <w:jc w:val="right"/>
              <w:rPr>
                <w:rFonts w:ascii="Verdana" w:eastAsia="Times New Roman" w:hAnsi="Verdana" w:cs="Arial"/>
                <w:color w:val="365F91"/>
                <w:sz w:val="18"/>
                <w:szCs w:val="18"/>
              </w:rPr>
            </w:pPr>
          </w:p>
        </w:tc>
        <w:tc>
          <w:tcPr>
            <w:tcW w:w="1285" w:type="dxa"/>
            <w:tcBorders>
              <w:top w:val="nil"/>
              <w:left w:val="nil"/>
              <w:bottom w:val="nil"/>
              <w:right w:val="nil"/>
            </w:tcBorders>
            <w:vAlign w:val="center"/>
          </w:tcPr>
          <w:p w14:paraId="38B144EA" w14:textId="77777777" w:rsidR="00430DCB" w:rsidRDefault="00430DCB" w:rsidP="00430DCB">
            <w:pPr>
              <w:ind w:right="340"/>
              <w:jc w:val="right"/>
              <w:rPr>
                <w:rFonts w:ascii="Verdana" w:hAnsi="Verdana"/>
                <w:b/>
                <w:color w:val="365F91"/>
                <w:sz w:val="18"/>
                <w:szCs w:val="18"/>
              </w:rPr>
            </w:pPr>
          </w:p>
        </w:tc>
        <w:tc>
          <w:tcPr>
            <w:tcW w:w="1676" w:type="dxa"/>
            <w:tcBorders>
              <w:top w:val="nil"/>
              <w:left w:val="nil"/>
              <w:bottom w:val="nil"/>
              <w:right w:val="nil"/>
            </w:tcBorders>
            <w:vAlign w:val="center"/>
          </w:tcPr>
          <w:p w14:paraId="03ADAA04" w14:textId="77777777" w:rsidR="00430DCB" w:rsidRDefault="00430DCB" w:rsidP="00430DCB">
            <w:pPr>
              <w:ind w:right="510"/>
              <w:jc w:val="right"/>
              <w:rPr>
                <w:rFonts w:ascii="Verdana" w:hAnsi="Verdana"/>
                <w:b/>
                <w:color w:val="365F91"/>
                <w:sz w:val="18"/>
                <w:szCs w:val="18"/>
              </w:rPr>
            </w:pPr>
          </w:p>
        </w:tc>
      </w:tr>
      <w:tr w:rsidR="00430DCB" w14:paraId="590ECC89" w14:textId="77777777" w:rsidTr="00041DEA">
        <w:trPr>
          <w:trHeight w:val="567"/>
          <w:jc w:val="center"/>
        </w:trPr>
        <w:tc>
          <w:tcPr>
            <w:tcW w:w="1226" w:type="dxa"/>
            <w:tcBorders>
              <w:top w:val="nil"/>
              <w:left w:val="nil"/>
              <w:bottom w:val="nil"/>
              <w:right w:val="nil"/>
            </w:tcBorders>
            <w:vAlign w:val="center"/>
            <w:hideMark/>
          </w:tcPr>
          <w:p w14:paraId="574F1BF6" w14:textId="77777777" w:rsidR="00430DCB" w:rsidRDefault="00430DCB" w:rsidP="00430DCB">
            <w:pPr>
              <w:jc w:val="center"/>
              <w:rPr>
                <w:rFonts w:ascii="Verdana" w:eastAsia="Times New Roman" w:hAnsi="Verdana" w:cs="Arial"/>
                <w:color w:val="365F91"/>
                <w:sz w:val="18"/>
                <w:szCs w:val="18"/>
              </w:rPr>
            </w:pPr>
            <w:r>
              <w:rPr>
                <w:rFonts w:ascii="Verdana" w:eastAsia="Times New Roman" w:hAnsi="Verdana" w:cs="Arial"/>
                <w:color w:val="365F91"/>
                <w:sz w:val="18"/>
                <w:szCs w:val="18"/>
              </w:rPr>
              <w:t>10+11+12</w:t>
            </w:r>
          </w:p>
        </w:tc>
        <w:tc>
          <w:tcPr>
            <w:tcW w:w="4149" w:type="dxa"/>
            <w:tcBorders>
              <w:top w:val="nil"/>
              <w:left w:val="nil"/>
              <w:bottom w:val="nil"/>
              <w:right w:val="nil"/>
            </w:tcBorders>
            <w:vAlign w:val="center"/>
            <w:hideMark/>
          </w:tcPr>
          <w:p w14:paraId="10F08C0E" w14:textId="77777777" w:rsidR="00430DCB" w:rsidRDefault="00430DCB" w:rsidP="00430DCB">
            <w:pPr>
              <w:rPr>
                <w:rFonts w:ascii="Verdana" w:eastAsia="Times New Roman" w:hAnsi="Verdana" w:cs="Arial"/>
                <w:color w:val="365F91"/>
                <w:sz w:val="18"/>
                <w:szCs w:val="18"/>
              </w:rPr>
            </w:pPr>
            <w:r>
              <w:rPr>
                <w:rFonts w:ascii="Verdana" w:eastAsia="Times New Roman" w:hAnsi="Verdana" w:cs="Arial"/>
                <w:color w:val="365F91"/>
                <w:sz w:val="18"/>
                <w:szCs w:val="18"/>
              </w:rPr>
              <w:t>Manufacture of Food Products, Beverages and Tobacco Products</w:t>
            </w:r>
          </w:p>
        </w:tc>
        <w:tc>
          <w:tcPr>
            <w:tcW w:w="1360" w:type="dxa"/>
            <w:tcBorders>
              <w:top w:val="nil"/>
              <w:left w:val="nil"/>
              <w:bottom w:val="nil"/>
              <w:right w:val="nil"/>
            </w:tcBorders>
            <w:vAlign w:val="center"/>
            <w:hideMark/>
          </w:tcPr>
          <w:p w14:paraId="7739A6D6" w14:textId="4407F802" w:rsidR="00430DCB" w:rsidRDefault="00430DCB" w:rsidP="00430DCB">
            <w:pPr>
              <w:ind w:right="227"/>
              <w:jc w:val="right"/>
              <w:rPr>
                <w:rFonts w:ascii="Verdana" w:hAnsi="Verdana"/>
                <w:color w:val="365F91"/>
                <w:sz w:val="18"/>
                <w:szCs w:val="18"/>
                <w:lang w:val="el-GR"/>
              </w:rPr>
            </w:pPr>
            <w:r>
              <w:rPr>
                <w:rFonts w:ascii="Verdana" w:hAnsi="Verdana"/>
                <w:color w:val="365F91"/>
                <w:sz w:val="18"/>
                <w:szCs w:val="18"/>
                <w:lang w:val="el-GR"/>
              </w:rPr>
              <w:t>124,9</w:t>
            </w:r>
          </w:p>
        </w:tc>
        <w:tc>
          <w:tcPr>
            <w:tcW w:w="227" w:type="dxa"/>
            <w:tcBorders>
              <w:top w:val="nil"/>
              <w:left w:val="nil"/>
              <w:bottom w:val="nil"/>
              <w:right w:val="nil"/>
            </w:tcBorders>
            <w:vAlign w:val="center"/>
          </w:tcPr>
          <w:p w14:paraId="79C250F5" w14:textId="77777777" w:rsidR="00430DCB" w:rsidRDefault="00430DCB" w:rsidP="00430DCB">
            <w:pPr>
              <w:jc w:val="right"/>
              <w:rPr>
                <w:rFonts w:ascii="Verdana" w:eastAsia="Times New Roman" w:hAnsi="Verdana" w:cs="Arial"/>
                <w:color w:val="365F91"/>
                <w:sz w:val="18"/>
                <w:szCs w:val="18"/>
                <w:lang w:val="el-GR"/>
              </w:rPr>
            </w:pPr>
          </w:p>
        </w:tc>
        <w:tc>
          <w:tcPr>
            <w:tcW w:w="1285" w:type="dxa"/>
            <w:tcBorders>
              <w:top w:val="nil"/>
              <w:left w:val="nil"/>
              <w:bottom w:val="nil"/>
              <w:right w:val="nil"/>
            </w:tcBorders>
            <w:vAlign w:val="center"/>
            <w:hideMark/>
          </w:tcPr>
          <w:p w14:paraId="2EA8B287" w14:textId="3593E19C" w:rsidR="00430DCB" w:rsidRDefault="00430DCB" w:rsidP="00430DCB">
            <w:pPr>
              <w:ind w:right="340"/>
              <w:jc w:val="right"/>
              <w:rPr>
                <w:rFonts w:ascii="Verdana" w:hAnsi="Verdana"/>
                <w:color w:val="365F91"/>
                <w:sz w:val="18"/>
                <w:szCs w:val="18"/>
                <w:lang w:val="el-GR"/>
              </w:rPr>
            </w:pPr>
            <w:r>
              <w:rPr>
                <w:rFonts w:ascii="Verdana" w:hAnsi="Verdana"/>
                <w:color w:val="365F91"/>
                <w:sz w:val="18"/>
                <w:szCs w:val="18"/>
                <w:lang w:val="el-GR"/>
              </w:rPr>
              <w:t>-3,7</w:t>
            </w:r>
          </w:p>
        </w:tc>
        <w:tc>
          <w:tcPr>
            <w:tcW w:w="1676" w:type="dxa"/>
            <w:tcBorders>
              <w:top w:val="nil"/>
              <w:left w:val="nil"/>
              <w:bottom w:val="nil"/>
              <w:right w:val="nil"/>
            </w:tcBorders>
            <w:vAlign w:val="center"/>
            <w:hideMark/>
          </w:tcPr>
          <w:p w14:paraId="18D5B1B3" w14:textId="732FCFF8" w:rsidR="00430DCB" w:rsidRDefault="00430DCB" w:rsidP="00430DCB">
            <w:pPr>
              <w:ind w:right="510"/>
              <w:jc w:val="right"/>
              <w:rPr>
                <w:rFonts w:ascii="Verdana" w:hAnsi="Verdana"/>
                <w:color w:val="365F91"/>
                <w:sz w:val="18"/>
                <w:szCs w:val="18"/>
                <w:lang w:val="el-GR"/>
              </w:rPr>
            </w:pPr>
            <w:r>
              <w:rPr>
                <w:rFonts w:ascii="Verdana" w:hAnsi="Verdana"/>
                <w:color w:val="365F91"/>
                <w:sz w:val="18"/>
                <w:szCs w:val="18"/>
                <w:lang w:val="el-GR"/>
              </w:rPr>
              <w:t>2,2</w:t>
            </w:r>
          </w:p>
        </w:tc>
      </w:tr>
      <w:tr w:rsidR="00430DCB" w14:paraId="6386D457" w14:textId="77777777" w:rsidTr="00041DEA">
        <w:trPr>
          <w:trHeight w:val="567"/>
          <w:jc w:val="center"/>
        </w:trPr>
        <w:tc>
          <w:tcPr>
            <w:tcW w:w="1226" w:type="dxa"/>
            <w:tcBorders>
              <w:top w:val="nil"/>
              <w:left w:val="nil"/>
              <w:bottom w:val="nil"/>
              <w:right w:val="nil"/>
            </w:tcBorders>
            <w:vAlign w:val="center"/>
            <w:hideMark/>
          </w:tcPr>
          <w:p w14:paraId="27C97990" w14:textId="77777777" w:rsidR="00430DCB" w:rsidRDefault="00430DCB" w:rsidP="00430DCB">
            <w:pPr>
              <w:jc w:val="center"/>
              <w:rPr>
                <w:rFonts w:ascii="Verdana" w:eastAsia="Times New Roman" w:hAnsi="Verdana" w:cs="Arial"/>
                <w:color w:val="365F91"/>
                <w:sz w:val="18"/>
                <w:szCs w:val="18"/>
              </w:rPr>
            </w:pPr>
            <w:r>
              <w:rPr>
                <w:rFonts w:ascii="Verdana" w:eastAsia="Times New Roman" w:hAnsi="Verdana" w:cs="Arial"/>
                <w:color w:val="365F91"/>
                <w:sz w:val="18"/>
                <w:szCs w:val="18"/>
              </w:rPr>
              <w:t>13+14+15</w:t>
            </w:r>
          </w:p>
        </w:tc>
        <w:tc>
          <w:tcPr>
            <w:tcW w:w="4149" w:type="dxa"/>
            <w:tcBorders>
              <w:top w:val="nil"/>
              <w:left w:val="nil"/>
              <w:bottom w:val="nil"/>
              <w:right w:val="nil"/>
            </w:tcBorders>
            <w:vAlign w:val="center"/>
            <w:hideMark/>
          </w:tcPr>
          <w:p w14:paraId="77496253" w14:textId="77777777" w:rsidR="00430DCB" w:rsidRDefault="00430DCB" w:rsidP="00430DCB">
            <w:pPr>
              <w:rPr>
                <w:rFonts w:ascii="Verdana" w:eastAsia="Times New Roman" w:hAnsi="Verdana" w:cs="Arial"/>
                <w:color w:val="365F91"/>
                <w:sz w:val="18"/>
                <w:szCs w:val="18"/>
              </w:rPr>
            </w:pPr>
            <w:r>
              <w:rPr>
                <w:rFonts w:ascii="Verdana" w:eastAsia="Times New Roman" w:hAnsi="Verdana" w:cs="Arial"/>
                <w:color w:val="365F91"/>
                <w:sz w:val="18"/>
                <w:szCs w:val="18"/>
              </w:rPr>
              <w:t>Manufacture of Textiles, Wearing Apparel and Leather Products</w:t>
            </w:r>
          </w:p>
        </w:tc>
        <w:tc>
          <w:tcPr>
            <w:tcW w:w="1360" w:type="dxa"/>
            <w:tcBorders>
              <w:top w:val="nil"/>
              <w:left w:val="nil"/>
              <w:bottom w:val="nil"/>
              <w:right w:val="nil"/>
            </w:tcBorders>
            <w:vAlign w:val="center"/>
            <w:hideMark/>
          </w:tcPr>
          <w:p w14:paraId="554E0243" w14:textId="17A2CFB5" w:rsidR="00430DCB" w:rsidRDefault="00430DCB" w:rsidP="00430DCB">
            <w:pPr>
              <w:ind w:right="227"/>
              <w:jc w:val="right"/>
              <w:rPr>
                <w:rFonts w:ascii="Verdana" w:hAnsi="Verdana"/>
                <w:color w:val="365F91"/>
                <w:sz w:val="18"/>
                <w:szCs w:val="18"/>
                <w:lang w:val="el-GR"/>
              </w:rPr>
            </w:pPr>
            <w:r>
              <w:rPr>
                <w:rFonts w:ascii="Verdana" w:hAnsi="Verdana"/>
                <w:color w:val="365F91"/>
                <w:sz w:val="18"/>
                <w:szCs w:val="18"/>
                <w:lang w:val="el-GR"/>
              </w:rPr>
              <w:t>127,0</w:t>
            </w:r>
          </w:p>
        </w:tc>
        <w:tc>
          <w:tcPr>
            <w:tcW w:w="227" w:type="dxa"/>
            <w:tcBorders>
              <w:top w:val="nil"/>
              <w:left w:val="nil"/>
              <w:bottom w:val="nil"/>
              <w:right w:val="nil"/>
            </w:tcBorders>
            <w:vAlign w:val="center"/>
          </w:tcPr>
          <w:p w14:paraId="2CB9A4C6" w14:textId="77777777" w:rsidR="00430DCB" w:rsidRDefault="00430DCB" w:rsidP="00430DCB">
            <w:pPr>
              <w:jc w:val="right"/>
              <w:rPr>
                <w:rFonts w:ascii="Verdana" w:eastAsia="Times New Roman" w:hAnsi="Verdana" w:cs="Arial"/>
                <w:color w:val="365F91"/>
                <w:sz w:val="18"/>
                <w:szCs w:val="18"/>
                <w:lang w:val="el-GR"/>
              </w:rPr>
            </w:pPr>
          </w:p>
        </w:tc>
        <w:tc>
          <w:tcPr>
            <w:tcW w:w="1285" w:type="dxa"/>
            <w:tcBorders>
              <w:top w:val="nil"/>
              <w:left w:val="nil"/>
              <w:bottom w:val="nil"/>
              <w:right w:val="nil"/>
            </w:tcBorders>
            <w:vAlign w:val="center"/>
            <w:hideMark/>
          </w:tcPr>
          <w:p w14:paraId="68F31100" w14:textId="1621E49D" w:rsidR="00430DCB" w:rsidRDefault="00430DCB" w:rsidP="00430DCB">
            <w:pPr>
              <w:ind w:right="340"/>
              <w:jc w:val="right"/>
              <w:rPr>
                <w:rFonts w:ascii="Verdana" w:hAnsi="Verdana"/>
                <w:color w:val="365F91"/>
                <w:sz w:val="18"/>
                <w:szCs w:val="18"/>
                <w:lang w:val="el-GR"/>
              </w:rPr>
            </w:pPr>
            <w:r>
              <w:rPr>
                <w:rFonts w:ascii="Verdana" w:hAnsi="Verdana"/>
                <w:color w:val="365F91"/>
                <w:sz w:val="18"/>
                <w:szCs w:val="18"/>
                <w:lang w:val="el-GR"/>
              </w:rPr>
              <w:t>-9,5</w:t>
            </w:r>
          </w:p>
        </w:tc>
        <w:tc>
          <w:tcPr>
            <w:tcW w:w="1676" w:type="dxa"/>
            <w:tcBorders>
              <w:top w:val="nil"/>
              <w:left w:val="nil"/>
              <w:bottom w:val="nil"/>
              <w:right w:val="nil"/>
            </w:tcBorders>
            <w:vAlign w:val="center"/>
            <w:hideMark/>
          </w:tcPr>
          <w:p w14:paraId="4FE01B5E" w14:textId="5D703FBF" w:rsidR="00430DCB" w:rsidRDefault="00430DCB" w:rsidP="00430DCB">
            <w:pPr>
              <w:ind w:right="510"/>
              <w:jc w:val="right"/>
              <w:rPr>
                <w:rFonts w:ascii="Verdana" w:hAnsi="Verdana"/>
                <w:color w:val="365F91"/>
                <w:sz w:val="18"/>
                <w:szCs w:val="18"/>
              </w:rPr>
            </w:pPr>
            <w:r>
              <w:rPr>
                <w:rFonts w:ascii="Verdana" w:hAnsi="Verdana"/>
                <w:color w:val="365F91"/>
                <w:sz w:val="18"/>
                <w:szCs w:val="18"/>
                <w:lang w:val="el-GR"/>
              </w:rPr>
              <w:t>3,0</w:t>
            </w:r>
          </w:p>
        </w:tc>
      </w:tr>
      <w:tr w:rsidR="00430DCB" w14:paraId="2CE16E3F" w14:textId="77777777" w:rsidTr="00041DEA">
        <w:trPr>
          <w:trHeight w:val="794"/>
          <w:jc w:val="center"/>
        </w:trPr>
        <w:tc>
          <w:tcPr>
            <w:tcW w:w="1226" w:type="dxa"/>
            <w:tcBorders>
              <w:top w:val="nil"/>
              <w:left w:val="nil"/>
              <w:bottom w:val="nil"/>
              <w:right w:val="nil"/>
            </w:tcBorders>
            <w:vAlign w:val="center"/>
            <w:hideMark/>
          </w:tcPr>
          <w:p w14:paraId="468CFCB9" w14:textId="77777777" w:rsidR="00430DCB" w:rsidRDefault="00430DCB" w:rsidP="00430DCB">
            <w:pPr>
              <w:jc w:val="center"/>
              <w:rPr>
                <w:rFonts w:ascii="Verdana" w:eastAsia="Times New Roman" w:hAnsi="Verdana" w:cs="Arial"/>
                <w:color w:val="365F91"/>
                <w:sz w:val="18"/>
                <w:szCs w:val="18"/>
              </w:rPr>
            </w:pPr>
            <w:r>
              <w:rPr>
                <w:rFonts w:ascii="Verdana" w:eastAsia="Times New Roman" w:hAnsi="Verdana" w:cs="Arial"/>
                <w:color w:val="365F91"/>
                <w:sz w:val="18"/>
                <w:szCs w:val="18"/>
              </w:rPr>
              <w:t>16</w:t>
            </w:r>
          </w:p>
        </w:tc>
        <w:tc>
          <w:tcPr>
            <w:tcW w:w="4149" w:type="dxa"/>
            <w:tcBorders>
              <w:top w:val="nil"/>
              <w:left w:val="nil"/>
              <w:bottom w:val="nil"/>
              <w:right w:val="nil"/>
            </w:tcBorders>
            <w:vAlign w:val="center"/>
            <w:hideMark/>
          </w:tcPr>
          <w:p w14:paraId="29C82D5C" w14:textId="77777777" w:rsidR="00430DCB" w:rsidRDefault="00430DCB" w:rsidP="00430DCB">
            <w:pPr>
              <w:rPr>
                <w:rFonts w:ascii="Verdana" w:eastAsia="Times New Roman" w:hAnsi="Verdana" w:cs="Arial"/>
                <w:color w:val="365F91"/>
                <w:sz w:val="18"/>
                <w:szCs w:val="18"/>
              </w:rPr>
            </w:pPr>
            <w:r>
              <w:rPr>
                <w:rFonts w:ascii="Verdana" w:eastAsia="Times New Roman" w:hAnsi="Verdana" w:cs="Arial"/>
                <w:color w:val="365F91"/>
                <w:sz w:val="18"/>
                <w:szCs w:val="18"/>
              </w:rPr>
              <w:t>Manufacture of Wood and Products of Wood and Cork, except furniture</w:t>
            </w:r>
          </w:p>
        </w:tc>
        <w:tc>
          <w:tcPr>
            <w:tcW w:w="1360" w:type="dxa"/>
            <w:tcBorders>
              <w:top w:val="nil"/>
              <w:left w:val="nil"/>
              <w:bottom w:val="nil"/>
              <w:right w:val="nil"/>
            </w:tcBorders>
            <w:vAlign w:val="center"/>
            <w:hideMark/>
          </w:tcPr>
          <w:p w14:paraId="7F80E854" w14:textId="60A96D3F" w:rsidR="00430DCB" w:rsidRDefault="00430DCB" w:rsidP="00430DCB">
            <w:pPr>
              <w:ind w:right="227"/>
              <w:jc w:val="right"/>
              <w:rPr>
                <w:rFonts w:ascii="Verdana" w:hAnsi="Verdana"/>
                <w:color w:val="365F91"/>
                <w:sz w:val="18"/>
                <w:szCs w:val="18"/>
                <w:lang w:val="el-GR"/>
              </w:rPr>
            </w:pPr>
            <w:r>
              <w:rPr>
                <w:rFonts w:ascii="Verdana" w:hAnsi="Verdana"/>
                <w:color w:val="365F91"/>
                <w:sz w:val="18"/>
                <w:szCs w:val="18"/>
                <w:lang w:val="el-GR"/>
              </w:rPr>
              <w:t>130,4</w:t>
            </w:r>
          </w:p>
        </w:tc>
        <w:tc>
          <w:tcPr>
            <w:tcW w:w="227" w:type="dxa"/>
            <w:tcBorders>
              <w:top w:val="nil"/>
              <w:left w:val="nil"/>
              <w:bottom w:val="nil"/>
              <w:right w:val="nil"/>
            </w:tcBorders>
            <w:vAlign w:val="center"/>
          </w:tcPr>
          <w:p w14:paraId="0F5DCA6A" w14:textId="77777777" w:rsidR="00430DCB" w:rsidRDefault="00430DCB" w:rsidP="00430DCB">
            <w:pPr>
              <w:spacing w:line="276" w:lineRule="auto"/>
              <w:jc w:val="right"/>
              <w:rPr>
                <w:rFonts w:ascii="Verdana" w:eastAsia="Times New Roman" w:hAnsi="Verdana" w:cs="Arial"/>
                <w:color w:val="365F91"/>
                <w:sz w:val="18"/>
                <w:szCs w:val="18"/>
                <w:lang w:val="el-GR"/>
              </w:rPr>
            </w:pPr>
          </w:p>
        </w:tc>
        <w:tc>
          <w:tcPr>
            <w:tcW w:w="1285" w:type="dxa"/>
            <w:tcBorders>
              <w:top w:val="nil"/>
              <w:left w:val="nil"/>
              <w:bottom w:val="nil"/>
              <w:right w:val="nil"/>
            </w:tcBorders>
            <w:vAlign w:val="center"/>
            <w:hideMark/>
          </w:tcPr>
          <w:p w14:paraId="1C2B0D91" w14:textId="0FB17D41" w:rsidR="00430DCB" w:rsidRDefault="00430DCB" w:rsidP="00430DCB">
            <w:pPr>
              <w:ind w:right="340"/>
              <w:jc w:val="right"/>
              <w:rPr>
                <w:rFonts w:ascii="Verdana" w:hAnsi="Verdana"/>
                <w:color w:val="365F91"/>
                <w:sz w:val="18"/>
                <w:szCs w:val="18"/>
                <w:lang w:val="el-GR"/>
              </w:rPr>
            </w:pPr>
            <w:r>
              <w:rPr>
                <w:rFonts w:ascii="Verdana" w:hAnsi="Verdana"/>
                <w:color w:val="365F91"/>
                <w:sz w:val="18"/>
                <w:szCs w:val="18"/>
                <w:lang w:val="el-GR"/>
              </w:rPr>
              <w:t>-4,2</w:t>
            </w:r>
          </w:p>
        </w:tc>
        <w:tc>
          <w:tcPr>
            <w:tcW w:w="1676" w:type="dxa"/>
            <w:tcBorders>
              <w:top w:val="nil"/>
              <w:left w:val="nil"/>
              <w:bottom w:val="nil"/>
              <w:right w:val="nil"/>
            </w:tcBorders>
            <w:vAlign w:val="center"/>
            <w:hideMark/>
          </w:tcPr>
          <w:p w14:paraId="3AB42AF9" w14:textId="64CF9F77" w:rsidR="00430DCB" w:rsidRDefault="00430DCB" w:rsidP="00430DCB">
            <w:pPr>
              <w:ind w:right="510"/>
              <w:jc w:val="right"/>
              <w:rPr>
                <w:rFonts w:ascii="Verdana" w:hAnsi="Verdana"/>
                <w:color w:val="365F91"/>
                <w:sz w:val="18"/>
                <w:szCs w:val="18"/>
              </w:rPr>
            </w:pPr>
            <w:r>
              <w:rPr>
                <w:rFonts w:ascii="Verdana" w:hAnsi="Verdana"/>
                <w:color w:val="365F91"/>
                <w:sz w:val="18"/>
                <w:szCs w:val="18"/>
                <w:lang w:val="el-GR"/>
              </w:rPr>
              <w:t>4,5</w:t>
            </w:r>
          </w:p>
        </w:tc>
      </w:tr>
      <w:tr w:rsidR="00430DCB" w14:paraId="7F52FDCE" w14:textId="77777777" w:rsidTr="00041DEA">
        <w:trPr>
          <w:trHeight w:val="567"/>
          <w:jc w:val="center"/>
        </w:trPr>
        <w:tc>
          <w:tcPr>
            <w:tcW w:w="1226" w:type="dxa"/>
            <w:tcBorders>
              <w:top w:val="nil"/>
              <w:left w:val="nil"/>
              <w:bottom w:val="nil"/>
              <w:right w:val="nil"/>
            </w:tcBorders>
            <w:vAlign w:val="center"/>
            <w:hideMark/>
          </w:tcPr>
          <w:p w14:paraId="5F4F2DEB" w14:textId="77777777" w:rsidR="00430DCB" w:rsidRDefault="00430DCB" w:rsidP="00430DCB">
            <w:pPr>
              <w:spacing w:line="360" w:lineRule="auto"/>
              <w:jc w:val="center"/>
              <w:rPr>
                <w:rFonts w:ascii="Verdana" w:eastAsia="Times New Roman" w:hAnsi="Verdana" w:cs="Arial"/>
                <w:color w:val="365F91"/>
                <w:sz w:val="18"/>
                <w:szCs w:val="18"/>
              </w:rPr>
            </w:pPr>
            <w:r>
              <w:rPr>
                <w:rFonts w:ascii="Verdana" w:eastAsia="Times New Roman" w:hAnsi="Verdana" w:cs="Arial"/>
                <w:color w:val="365F91"/>
                <w:sz w:val="18"/>
                <w:szCs w:val="18"/>
              </w:rPr>
              <w:t>17+18</w:t>
            </w:r>
          </w:p>
        </w:tc>
        <w:tc>
          <w:tcPr>
            <w:tcW w:w="4149" w:type="dxa"/>
            <w:tcBorders>
              <w:top w:val="nil"/>
              <w:left w:val="nil"/>
              <w:bottom w:val="nil"/>
              <w:right w:val="nil"/>
            </w:tcBorders>
            <w:vAlign w:val="center"/>
            <w:hideMark/>
          </w:tcPr>
          <w:p w14:paraId="7BA171B3" w14:textId="77777777" w:rsidR="00430DCB" w:rsidRDefault="00430DCB" w:rsidP="00430DCB">
            <w:pPr>
              <w:rPr>
                <w:rFonts w:ascii="Verdana" w:eastAsia="Times New Roman" w:hAnsi="Verdana" w:cs="Arial"/>
                <w:color w:val="365F91"/>
                <w:sz w:val="18"/>
                <w:szCs w:val="18"/>
              </w:rPr>
            </w:pPr>
            <w:r>
              <w:rPr>
                <w:rFonts w:ascii="Verdana" w:eastAsia="Times New Roman" w:hAnsi="Verdana" w:cs="Arial"/>
                <w:color w:val="365F91"/>
                <w:sz w:val="18"/>
                <w:szCs w:val="18"/>
              </w:rPr>
              <w:t>Manufacture of Paper and Paper Products and Printing</w:t>
            </w:r>
          </w:p>
        </w:tc>
        <w:tc>
          <w:tcPr>
            <w:tcW w:w="1360" w:type="dxa"/>
            <w:tcBorders>
              <w:top w:val="nil"/>
              <w:left w:val="nil"/>
              <w:bottom w:val="nil"/>
              <w:right w:val="nil"/>
            </w:tcBorders>
            <w:vAlign w:val="center"/>
            <w:hideMark/>
          </w:tcPr>
          <w:p w14:paraId="7B93DE5A" w14:textId="185B9740" w:rsidR="00430DCB" w:rsidRDefault="00430DCB" w:rsidP="00430DCB">
            <w:pPr>
              <w:ind w:right="227"/>
              <w:jc w:val="right"/>
              <w:rPr>
                <w:rFonts w:ascii="Verdana" w:hAnsi="Verdana"/>
                <w:color w:val="365F91"/>
                <w:sz w:val="18"/>
                <w:szCs w:val="18"/>
                <w:lang w:val="el-GR"/>
              </w:rPr>
            </w:pPr>
            <w:r>
              <w:rPr>
                <w:rFonts w:ascii="Verdana" w:hAnsi="Verdana"/>
                <w:color w:val="365F91"/>
                <w:sz w:val="18"/>
                <w:szCs w:val="18"/>
                <w:lang w:val="el-GR"/>
              </w:rPr>
              <w:t>110,5</w:t>
            </w:r>
          </w:p>
        </w:tc>
        <w:tc>
          <w:tcPr>
            <w:tcW w:w="227" w:type="dxa"/>
            <w:tcBorders>
              <w:top w:val="nil"/>
              <w:left w:val="nil"/>
              <w:bottom w:val="nil"/>
              <w:right w:val="nil"/>
            </w:tcBorders>
            <w:vAlign w:val="center"/>
          </w:tcPr>
          <w:p w14:paraId="72C62C7C" w14:textId="77777777" w:rsidR="00430DCB" w:rsidRDefault="00430DCB" w:rsidP="00430DCB">
            <w:pPr>
              <w:spacing w:line="480" w:lineRule="auto"/>
              <w:jc w:val="right"/>
              <w:rPr>
                <w:rFonts w:ascii="Verdana" w:eastAsia="Times New Roman" w:hAnsi="Verdana" w:cs="Arial"/>
                <w:color w:val="365F91"/>
                <w:sz w:val="18"/>
                <w:szCs w:val="18"/>
                <w:lang w:val="el-GR"/>
              </w:rPr>
            </w:pPr>
          </w:p>
        </w:tc>
        <w:tc>
          <w:tcPr>
            <w:tcW w:w="1285" w:type="dxa"/>
            <w:tcBorders>
              <w:top w:val="nil"/>
              <w:left w:val="nil"/>
              <w:bottom w:val="nil"/>
              <w:right w:val="nil"/>
            </w:tcBorders>
            <w:vAlign w:val="center"/>
            <w:hideMark/>
          </w:tcPr>
          <w:p w14:paraId="37A592C0" w14:textId="2A8DAC21" w:rsidR="00430DCB" w:rsidRDefault="00430DCB" w:rsidP="00430DCB">
            <w:pPr>
              <w:ind w:right="340"/>
              <w:jc w:val="right"/>
              <w:rPr>
                <w:rFonts w:ascii="Verdana" w:hAnsi="Verdana"/>
                <w:color w:val="365F91"/>
                <w:sz w:val="18"/>
                <w:szCs w:val="18"/>
                <w:lang w:val="el-GR"/>
              </w:rPr>
            </w:pPr>
            <w:r>
              <w:rPr>
                <w:rFonts w:ascii="Verdana" w:hAnsi="Verdana"/>
                <w:color w:val="365F91"/>
                <w:sz w:val="18"/>
                <w:szCs w:val="18"/>
                <w:lang w:val="el-GR"/>
              </w:rPr>
              <w:t>-20,9</w:t>
            </w:r>
          </w:p>
        </w:tc>
        <w:tc>
          <w:tcPr>
            <w:tcW w:w="1676" w:type="dxa"/>
            <w:tcBorders>
              <w:top w:val="nil"/>
              <w:left w:val="nil"/>
              <w:bottom w:val="nil"/>
              <w:right w:val="nil"/>
            </w:tcBorders>
            <w:vAlign w:val="center"/>
            <w:hideMark/>
          </w:tcPr>
          <w:p w14:paraId="65FB9369" w14:textId="67CCDAE7" w:rsidR="00430DCB" w:rsidRDefault="00430DCB" w:rsidP="00430DCB">
            <w:pPr>
              <w:ind w:right="510"/>
              <w:jc w:val="right"/>
              <w:rPr>
                <w:rFonts w:ascii="Verdana" w:hAnsi="Verdana"/>
                <w:color w:val="365F91"/>
                <w:sz w:val="18"/>
                <w:szCs w:val="18"/>
              </w:rPr>
            </w:pPr>
            <w:r>
              <w:rPr>
                <w:rFonts w:ascii="Verdana" w:hAnsi="Verdana"/>
                <w:color w:val="365F91"/>
                <w:sz w:val="18"/>
                <w:szCs w:val="18"/>
                <w:lang w:val="el-GR"/>
              </w:rPr>
              <w:t>-13,6</w:t>
            </w:r>
          </w:p>
        </w:tc>
      </w:tr>
      <w:tr w:rsidR="00430DCB" w14:paraId="43E922E1" w14:textId="77777777" w:rsidTr="00041DEA">
        <w:trPr>
          <w:trHeight w:val="1077"/>
          <w:jc w:val="center"/>
        </w:trPr>
        <w:tc>
          <w:tcPr>
            <w:tcW w:w="1226" w:type="dxa"/>
            <w:tcBorders>
              <w:top w:val="nil"/>
              <w:left w:val="nil"/>
              <w:bottom w:val="nil"/>
              <w:right w:val="nil"/>
            </w:tcBorders>
            <w:vAlign w:val="center"/>
            <w:hideMark/>
          </w:tcPr>
          <w:p w14:paraId="2DDFBFCC" w14:textId="77777777" w:rsidR="00430DCB" w:rsidRDefault="00430DCB" w:rsidP="00430DCB">
            <w:pPr>
              <w:spacing w:line="480" w:lineRule="auto"/>
              <w:jc w:val="center"/>
              <w:rPr>
                <w:rFonts w:ascii="Verdana" w:eastAsia="Times New Roman" w:hAnsi="Verdana" w:cs="Arial"/>
                <w:color w:val="365F91"/>
                <w:sz w:val="18"/>
                <w:szCs w:val="18"/>
              </w:rPr>
            </w:pPr>
            <w:r>
              <w:rPr>
                <w:rFonts w:ascii="Verdana" w:eastAsia="Times New Roman" w:hAnsi="Verdana" w:cs="Arial"/>
                <w:color w:val="365F91"/>
                <w:sz w:val="18"/>
                <w:szCs w:val="18"/>
              </w:rPr>
              <w:t>19+20+21</w:t>
            </w:r>
          </w:p>
        </w:tc>
        <w:tc>
          <w:tcPr>
            <w:tcW w:w="4149" w:type="dxa"/>
            <w:tcBorders>
              <w:top w:val="nil"/>
              <w:left w:val="nil"/>
              <w:bottom w:val="nil"/>
              <w:right w:val="nil"/>
            </w:tcBorders>
            <w:vAlign w:val="center"/>
            <w:hideMark/>
          </w:tcPr>
          <w:p w14:paraId="7BCDC79A" w14:textId="77777777" w:rsidR="00430DCB" w:rsidRDefault="00430DCB" w:rsidP="00430DCB">
            <w:pPr>
              <w:rPr>
                <w:rFonts w:ascii="Verdana" w:eastAsia="Times New Roman" w:hAnsi="Verdana" w:cs="Arial"/>
                <w:color w:val="365F91"/>
                <w:sz w:val="18"/>
                <w:szCs w:val="18"/>
              </w:rPr>
            </w:pPr>
            <w:r>
              <w:rPr>
                <w:rFonts w:ascii="Verdana" w:eastAsia="Times New Roman" w:hAnsi="Verdana" w:cs="Arial"/>
                <w:color w:val="365F91"/>
                <w:sz w:val="18"/>
                <w:szCs w:val="18"/>
              </w:rPr>
              <w:t>Manufacture of Refined Petroleum Products, Chemicals and Chemical Products and Pharmaceutical Products and Preparations</w:t>
            </w:r>
          </w:p>
        </w:tc>
        <w:tc>
          <w:tcPr>
            <w:tcW w:w="1360" w:type="dxa"/>
            <w:tcBorders>
              <w:top w:val="nil"/>
              <w:left w:val="nil"/>
              <w:bottom w:val="nil"/>
              <w:right w:val="nil"/>
            </w:tcBorders>
            <w:vAlign w:val="center"/>
            <w:hideMark/>
          </w:tcPr>
          <w:p w14:paraId="206F5EA0" w14:textId="6F3C2B33" w:rsidR="00430DCB" w:rsidRPr="003A7E26" w:rsidRDefault="00430DCB" w:rsidP="00430DCB">
            <w:pPr>
              <w:ind w:right="227"/>
              <w:jc w:val="right"/>
              <w:rPr>
                <w:rFonts w:ascii="Verdana" w:hAnsi="Verdana"/>
                <w:color w:val="365F91"/>
                <w:sz w:val="18"/>
                <w:szCs w:val="18"/>
              </w:rPr>
            </w:pPr>
            <w:r>
              <w:rPr>
                <w:rFonts w:ascii="Verdana" w:hAnsi="Verdana"/>
                <w:color w:val="365F91"/>
                <w:sz w:val="18"/>
                <w:szCs w:val="18"/>
                <w:lang w:val="el-GR"/>
              </w:rPr>
              <w:t>133,2</w:t>
            </w:r>
          </w:p>
        </w:tc>
        <w:tc>
          <w:tcPr>
            <w:tcW w:w="227" w:type="dxa"/>
            <w:tcBorders>
              <w:top w:val="nil"/>
              <w:left w:val="nil"/>
              <w:bottom w:val="nil"/>
              <w:right w:val="nil"/>
            </w:tcBorders>
            <w:vAlign w:val="center"/>
          </w:tcPr>
          <w:p w14:paraId="6B8DE761" w14:textId="77777777" w:rsidR="00430DCB" w:rsidRDefault="00430DCB" w:rsidP="00430DCB">
            <w:pPr>
              <w:spacing w:line="720" w:lineRule="auto"/>
              <w:jc w:val="right"/>
              <w:rPr>
                <w:rFonts w:ascii="Verdana" w:eastAsia="Times New Roman" w:hAnsi="Verdana" w:cs="Arial"/>
                <w:color w:val="365F91"/>
                <w:sz w:val="18"/>
                <w:szCs w:val="18"/>
                <w:lang w:val="el-GR"/>
              </w:rPr>
            </w:pPr>
          </w:p>
        </w:tc>
        <w:tc>
          <w:tcPr>
            <w:tcW w:w="1285" w:type="dxa"/>
            <w:tcBorders>
              <w:top w:val="nil"/>
              <w:left w:val="nil"/>
              <w:bottom w:val="nil"/>
              <w:right w:val="nil"/>
            </w:tcBorders>
            <w:vAlign w:val="center"/>
            <w:hideMark/>
          </w:tcPr>
          <w:p w14:paraId="3DF26A7A" w14:textId="564E2D83" w:rsidR="00430DCB" w:rsidRDefault="00430DCB" w:rsidP="00430DCB">
            <w:pPr>
              <w:ind w:right="340"/>
              <w:jc w:val="right"/>
              <w:rPr>
                <w:rFonts w:ascii="Verdana" w:hAnsi="Verdana"/>
                <w:color w:val="365F91"/>
                <w:sz w:val="18"/>
                <w:szCs w:val="18"/>
                <w:lang w:val="el-GR"/>
              </w:rPr>
            </w:pPr>
            <w:r>
              <w:rPr>
                <w:rFonts w:ascii="Verdana" w:hAnsi="Verdana"/>
                <w:color w:val="365F91"/>
                <w:sz w:val="18"/>
                <w:szCs w:val="18"/>
                <w:lang w:val="el-GR"/>
              </w:rPr>
              <w:t>4,1</w:t>
            </w:r>
          </w:p>
        </w:tc>
        <w:tc>
          <w:tcPr>
            <w:tcW w:w="1676" w:type="dxa"/>
            <w:tcBorders>
              <w:top w:val="nil"/>
              <w:left w:val="nil"/>
              <w:bottom w:val="nil"/>
              <w:right w:val="nil"/>
            </w:tcBorders>
            <w:vAlign w:val="center"/>
            <w:hideMark/>
          </w:tcPr>
          <w:p w14:paraId="17EB9613" w14:textId="5997A5A9" w:rsidR="00430DCB" w:rsidRDefault="00430DCB" w:rsidP="00430DCB">
            <w:pPr>
              <w:ind w:right="510"/>
              <w:jc w:val="right"/>
              <w:rPr>
                <w:rFonts w:ascii="Verdana" w:hAnsi="Verdana"/>
                <w:color w:val="365F91"/>
                <w:sz w:val="18"/>
                <w:szCs w:val="18"/>
              </w:rPr>
            </w:pPr>
            <w:r>
              <w:rPr>
                <w:rFonts w:ascii="Verdana" w:hAnsi="Verdana"/>
                <w:color w:val="365F91"/>
                <w:sz w:val="18"/>
                <w:szCs w:val="18"/>
                <w:lang w:val="el-GR"/>
              </w:rPr>
              <w:t>3,3</w:t>
            </w:r>
          </w:p>
        </w:tc>
      </w:tr>
      <w:tr w:rsidR="00430DCB" w14:paraId="70C7D837" w14:textId="77777777" w:rsidTr="00041DEA">
        <w:trPr>
          <w:trHeight w:val="567"/>
          <w:jc w:val="center"/>
        </w:trPr>
        <w:tc>
          <w:tcPr>
            <w:tcW w:w="1226" w:type="dxa"/>
            <w:tcBorders>
              <w:top w:val="nil"/>
              <w:left w:val="nil"/>
              <w:bottom w:val="nil"/>
              <w:right w:val="nil"/>
            </w:tcBorders>
            <w:vAlign w:val="center"/>
            <w:hideMark/>
          </w:tcPr>
          <w:p w14:paraId="61EBF29E" w14:textId="77777777" w:rsidR="00430DCB" w:rsidRDefault="00430DCB" w:rsidP="00430DCB">
            <w:pPr>
              <w:jc w:val="center"/>
              <w:rPr>
                <w:rFonts w:ascii="Verdana" w:eastAsia="Times New Roman" w:hAnsi="Verdana" w:cs="Arial"/>
                <w:color w:val="365F91"/>
                <w:sz w:val="18"/>
                <w:szCs w:val="18"/>
              </w:rPr>
            </w:pPr>
            <w:r>
              <w:rPr>
                <w:rFonts w:ascii="Verdana" w:eastAsia="Times New Roman" w:hAnsi="Verdana" w:cs="Arial"/>
                <w:color w:val="365F91"/>
                <w:sz w:val="18"/>
                <w:szCs w:val="18"/>
              </w:rPr>
              <w:t>22</w:t>
            </w:r>
          </w:p>
        </w:tc>
        <w:tc>
          <w:tcPr>
            <w:tcW w:w="4149" w:type="dxa"/>
            <w:tcBorders>
              <w:top w:val="nil"/>
              <w:left w:val="nil"/>
              <w:bottom w:val="nil"/>
              <w:right w:val="nil"/>
            </w:tcBorders>
            <w:vAlign w:val="center"/>
            <w:hideMark/>
          </w:tcPr>
          <w:p w14:paraId="33C79248" w14:textId="77777777" w:rsidR="00430DCB" w:rsidRDefault="00430DCB" w:rsidP="00430DCB">
            <w:pPr>
              <w:rPr>
                <w:rFonts w:ascii="Verdana" w:eastAsia="Times New Roman" w:hAnsi="Verdana" w:cs="Arial"/>
                <w:color w:val="365F91"/>
                <w:sz w:val="18"/>
                <w:szCs w:val="18"/>
              </w:rPr>
            </w:pPr>
            <w:r>
              <w:rPr>
                <w:rFonts w:ascii="Verdana" w:eastAsia="Times New Roman" w:hAnsi="Verdana" w:cs="Arial"/>
                <w:color w:val="365F91"/>
                <w:sz w:val="18"/>
                <w:szCs w:val="18"/>
              </w:rPr>
              <w:t>Manufacture of Rubber and Plastic Products</w:t>
            </w:r>
          </w:p>
        </w:tc>
        <w:tc>
          <w:tcPr>
            <w:tcW w:w="1360" w:type="dxa"/>
            <w:tcBorders>
              <w:top w:val="nil"/>
              <w:left w:val="nil"/>
              <w:bottom w:val="nil"/>
              <w:right w:val="nil"/>
            </w:tcBorders>
            <w:vAlign w:val="center"/>
            <w:hideMark/>
          </w:tcPr>
          <w:p w14:paraId="0A43A9CE" w14:textId="0D2FD6B1" w:rsidR="00430DCB" w:rsidRDefault="00430DCB" w:rsidP="00430DCB">
            <w:pPr>
              <w:ind w:right="227"/>
              <w:jc w:val="right"/>
              <w:rPr>
                <w:rFonts w:ascii="Verdana" w:hAnsi="Verdana"/>
                <w:color w:val="365F91"/>
                <w:sz w:val="18"/>
                <w:szCs w:val="18"/>
                <w:lang w:val="el-GR"/>
              </w:rPr>
            </w:pPr>
            <w:r>
              <w:rPr>
                <w:rFonts w:ascii="Verdana" w:hAnsi="Verdana"/>
                <w:color w:val="365F91"/>
                <w:sz w:val="18"/>
                <w:szCs w:val="18"/>
                <w:lang w:val="el-GR"/>
              </w:rPr>
              <w:t>116,3</w:t>
            </w:r>
          </w:p>
        </w:tc>
        <w:tc>
          <w:tcPr>
            <w:tcW w:w="227" w:type="dxa"/>
            <w:tcBorders>
              <w:top w:val="nil"/>
              <w:left w:val="nil"/>
              <w:bottom w:val="nil"/>
              <w:right w:val="nil"/>
            </w:tcBorders>
            <w:vAlign w:val="center"/>
          </w:tcPr>
          <w:p w14:paraId="60D5E88D" w14:textId="77777777" w:rsidR="00430DCB" w:rsidRDefault="00430DCB" w:rsidP="00430DCB">
            <w:pPr>
              <w:spacing w:line="480" w:lineRule="auto"/>
              <w:jc w:val="right"/>
              <w:rPr>
                <w:rFonts w:ascii="Verdana" w:eastAsia="Times New Roman" w:hAnsi="Verdana" w:cs="Arial"/>
                <w:color w:val="365F91"/>
                <w:sz w:val="18"/>
                <w:szCs w:val="18"/>
                <w:lang w:val="el-GR"/>
              </w:rPr>
            </w:pPr>
          </w:p>
        </w:tc>
        <w:tc>
          <w:tcPr>
            <w:tcW w:w="1285" w:type="dxa"/>
            <w:tcBorders>
              <w:top w:val="nil"/>
              <w:left w:val="nil"/>
              <w:bottom w:val="nil"/>
              <w:right w:val="nil"/>
            </w:tcBorders>
            <w:vAlign w:val="center"/>
            <w:hideMark/>
          </w:tcPr>
          <w:p w14:paraId="09474337" w14:textId="22DA4308" w:rsidR="00430DCB" w:rsidRDefault="00430DCB" w:rsidP="00430DCB">
            <w:pPr>
              <w:ind w:right="340"/>
              <w:jc w:val="right"/>
              <w:rPr>
                <w:rFonts w:ascii="Verdana" w:hAnsi="Verdana"/>
                <w:color w:val="365F91"/>
                <w:sz w:val="18"/>
                <w:szCs w:val="18"/>
                <w:lang w:val="el-GR"/>
              </w:rPr>
            </w:pPr>
            <w:r>
              <w:rPr>
                <w:rFonts w:ascii="Verdana" w:hAnsi="Verdana"/>
                <w:color w:val="365F91"/>
                <w:sz w:val="18"/>
                <w:szCs w:val="18"/>
                <w:lang w:val="el-GR"/>
              </w:rPr>
              <w:t>-14,1</w:t>
            </w:r>
          </w:p>
        </w:tc>
        <w:tc>
          <w:tcPr>
            <w:tcW w:w="1676" w:type="dxa"/>
            <w:tcBorders>
              <w:top w:val="nil"/>
              <w:left w:val="nil"/>
              <w:bottom w:val="nil"/>
              <w:right w:val="nil"/>
            </w:tcBorders>
            <w:vAlign w:val="center"/>
            <w:hideMark/>
          </w:tcPr>
          <w:p w14:paraId="0DEA4E3B" w14:textId="01AAF608" w:rsidR="00430DCB" w:rsidRDefault="00430DCB" w:rsidP="00430DCB">
            <w:pPr>
              <w:ind w:right="510"/>
              <w:jc w:val="right"/>
              <w:rPr>
                <w:rFonts w:ascii="Verdana" w:hAnsi="Verdana"/>
                <w:color w:val="365F91"/>
                <w:sz w:val="18"/>
                <w:szCs w:val="18"/>
              </w:rPr>
            </w:pPr>
            <w:r>
              <w:rPr>
                <w:rFonts w:ascii="Verdana" w:hAnsi="Verdana"/>
                <w:color w:val="365F91"/>
                <w:sz w:val="18"/>
                <w:szCs w:val="18"/>
                <w:lang w:val="el-GR"/>
              </w:rPr>
              <w:t>-3,4</w:t>
            </w:r>
          </w:p>
        </w:tc>
      </w:tr>
      <w:tr w:rsidR="00430DCB" w14:paraId="0A361C25" w14:textId="77777777" w:rsidTr="00403408">
        <w:trPr>
          <w:trHeight w:val="567"/>
          <w:jc w:val="center"/>
        </w:trPr>
        <w:tc>
          <w:tcPr>
            <w:tcW w:w="1226" w:type="dxa"/>
            <w:tcBorders>
              <w:top w:val="nil"/>
              <w:left w:val="nil"/>
              <w:bottom w:val="nil"/>
              <w:right w:val="nil"/>
            </w:tcBorders>
            <w:vAlign w:val="bottom"/>
            <w:hideMark/>
          </w:tcPr>
          <w:p w14:paraId="3DBEAB52" w14:textId="77777777" w:rsidR="00430DCB" w:rsidRDefault="00430DCB" w:rsidP="00403408">
            <w:pPr>
              <w:spacing w:line="480" w:lineRule="auto"/>
              <w:jc w:val="center"/>
              <w:rPr>
                <w:rFonts w:ascii="Verdana" w:eastAsia="Times New Roman" w:hAnsi="Verdana" w:cs="Arial"/>
                <w:color w:val="365F91"/>
                <w:sz w:val="18"/>
                <w:szCs w:val="18"/>
              </w:rPr>
            </w:pPr>
            <w:r>
              <w:rPr>
                <w:rFonts w:ascii="Verdana" w:eastAsia="Times New Roman" w:hAnsi="Verdana" w:cs="Arial"/>
                <w:color w:val="365F91"/>
                <w:sz w:val="18"/>
                <w:szCs w:val="18"/>
              </w:rPr>
              <w:t>23</w:t>
            </w:r>
          </w:p>
        </w:tc>
        <w:tc>
          <w:tcPr>
            <w:tcW w:w="4149" w:type="dxa"/>
            <w:tcBorders>
              <w:top w:val="nil"/>
              <w:left w:val="nil"/>
              <w:bottom w:val="nil"/>
              <w:right w:val="nil"/>
            </w:tcBorders>
            <w:vAlign w:val="center"/>
            <w:hideMark/>
          </w:tcPr>
          <w:p w14:paraId="56BF2DA6" w14:textId="77777777" w:rsidR="00430DCB" w:rsidRDefault="00430DCB" w:rsidP="00430DCB">
            <w:pPr>
              <w:spacing w:line="276" w:lineRule="auto"/>
              <w:rPr>
                <w:rFonts w:ascii="Verdana" w:eastAsia="Times New Roman" w:hAnsi="Verdana" w:cs="Arial"/>
                <w:color w:val="365F91"/>
                <w:sz w:val="18"/>
                <w:szCs w:val="18"/>
              </w:rPr>
            </w:pPr>
            <w:r>
              <w:rPr>
                <w:rFonts w:ascii="Verdana" w:eastAsia="Times New Roman" w:hAnsi="Verdana" w:cs="Arial"/>
                <w:color w:val="365F91"/>
                <w:sz w:val="18"/>
                <w:szCs w:val="18"/>
              </w:rPr>
              <w:t>Manufacture of Other Non-Metallic Mineral Products</w:t>
            </w:r>
          </w:p>
        </w:tc>
        <w:tc>
          <w:tcPr>
            <w:tcW w:w="1360" w:type="dxa"/>
            <w:tcBorders>
              <w:top w:val="nil"/>
              <w:left w:val="nil"/>
              <w:bottom w:val="nil"/>
              <w:right w:val="nil"/>
            </w:tcBorders>
            <w:vAlign w:val="center"/>
            <w:hideMark/>
          </w:tcPr>
          <w:p w14:paraId="7F47105E" w14:textId="0DC99070" w:rsidR="00430DCB" w:rsidRDefault="00430DCB" w:rsidP="00430DCB">
            <w:pPr>
              <w:ind w:right="227"/>
              <w:jc w:val="right"/>
              <w:rPr>
                <w:rFonts w:ascii="Verdana" w:hAnsi="Verdana"/>
                <w:color w:val="365F91"/>
                <w:sz w:val="18"/>
                <w:szCs w:val="18"/>
              </w:rPr>
            </w:pPr>
            <w:r>
              <w:rPr>
                <w:rFonts w:ascii="Verdana" w:hAnsi="Verdana"/>
                <w:color w:val="365F91"/>
                <w:sz w:val="18"/>
                <w:szCs w:val="18"/>
                <w:lang w:val="el-GR"/>
              </w:rPr>
              <w:t>141,9</w:t>
            </w:r>
          </w:p>
        </w:tc>
        <w:tc>
          <w:tcPr>
            <w:tcW w:w="227" w:type="dxa"/>
            <w:tcBorders>
              <w:top w:val="nil"/>
              <w:left w:val="nil"/>
              <w:bottom w:val="nil"/>
              <w:right w:val="nil"/>
            </w:tcBorders>
            <w:vAlign w:val="center"/>
          </w:tcPr>
          <w:p w14:paraId="644BE8E5" w14:textId="77777777" w:rsidR="00430DCB" w:rsidRDefault="00430DCB" w:rsidP="00430DCB">
            <w:pPr>
              <w:spacing w:line="360" w:lineRule="auto"/>
              <w:jc w:val="right"/>
              <w:rPr>
                <w:rFonts w:ascii="Verdana" w:eastAsia="Times New Roman" w:hAnsi="Verdana" w:cs="Arial"/>
                <w:color w:val="365F91"/>
                <w:sz w:val="18"/>
                <w:szCs w:val="18"/>
                <w:lang w:val="el-GR"/>
              </w:rPr>
            </w:pPr>
          </w:p>
        </w:tc>
        <w:tc>
          <w:tcPr>
            <w:tcW w:w="1285" w:type="dxa"/>
            <w:tcBorders>
              <w:top w:val="nil"/>
              <w:left w:val="nil"/>
              <w:bottom w:val="nil"/>
              <w:right w:val="nil"/>
            </w:tcBorders>
            <w:vAlign w:val="center"/>
            <w:hideMark/>
          </w:tcPr>
          <w:p w14:paraId="4F32980B" w14:textId="689ACF3A" w:rsidR="00430DCB" w:rsidRDefault="00430DCB" w:rsidP="00430DCB">
            <w:pPr>
              <w:ind w:right="340"/>
              <w:jc w:val="right"/>
              <w:rPr>
                <w:rFonts w:ascii="Verdana" w:hAnsi="Verdana"/>
                <w:color w:val="365F91"/>
                <w:sz w:val="18"/>
                <w:szCs w:val="18"/>
                <w:lang w:val="el-GR"/>
              </w:rPr>
            </w:pPr>
            <w:r>
              <w:rPr>
                <w:rFonts w:ascii="Verdana" w:hAnsi="Verdana"/>
                <w:color w:val="365F91"/>
                <w:sz w:val="18"/>
                <w:szCs w:val="18"/>
                <w:lang w:val="el-GR"/>
              </w:rPr>
              <w:t>-4,3</w:t>
            </w:r>
          </w:p>
        </w:tc>
        <w:tc>
          <w:tcPr>
            <w:tcW w:w="1676" w:type="dxa"/>
            <w:tcBorders>
              <w:top w:val="nil"/>
              <w:left w:val="nil"/>
              <w:bottom w:val="nil"/>
              <w:right w:val="nil"/>
            </w:tcBorders>
            <w:vAlign w:val="center"/>
            <w:hideMark/>
          </w:tcPr>
          <w:p w14:paraId="62FFCBB0" w14:textId="073987A2" w:rsidR="00430DCB" w:rsidRDefault="00430DCB" w:rsidP="00430DCB">
            <w:pPr>
              <w:ind w:right="510"/>
              <w:jc w:val="right"/>
              <w:rPr>
                <w:rFonts w:ascii="Verdana" w:hAnsi="Verdana"/>
                <w:color w:val="365F91"/>
                <w:sz w:val="18"/>
                <w:szCs w:val="18"/>
              </w:rPr>
            </w:pPr>
            <w:r>
              <w:rPr>
                <w:rFonts w:ascii="Verdana" w:hAnsi="Verdana"/>
                <w:color w:val="365F91"/>
                <w:sz w:val="18"/>
                <w:szCs w:val="18"/>
                <w:lang w:val="el-GR"/>
              </w:rPr>
              <w:t>4,0</w:t>
            </w:r>
          </w:p>
        </w:tc>
      </w:tr>
      <w:tr w:rsidR="00430DCB" w14:paraId="7F89D26E" w14:textId="77777777" w:rsidTr="00041DEA">
        <w:trPr>
          <w:trHeight w:val="567"/>
          <w:jc w:val="center"/>
        </w:trPr>
        <w:tc>
          <w:tcPr>
            <w:tcW w:w="1226" w:type="dxa"/>
            <w:tcBorders>
              <w:top w:val="nil"/>
              <w:left w:val="nil"/>
              <w:bottom w:val="nil"/>
              <w:right w:val="nil"/>
            </w:tcBorders>
            <w:vAlign w:val="center"/>
            <w:hideMark/>
          </w:tcPr>
          <w:p w14:paraId="58E27EEC" w14:textId="77777777" w:rsidR="00430DCB" w:rsidRDefault="00430DCB" w:rsidP="00430DCB">
            <w:pPr>
              <w:jc w:val="center"/>
              <w:rPr>
                <w:rFonts w:ascii="Verdana" w:eastAsia="Times New Roman" w:hAnsi="Verdana" w:cs="Arial"/>
                <w:color w:val="365F91"/>
                <w:sz w:val="18"/>
                <w:szCs w:val="18"/>
              </w:rPr>
            </w:pPr>
            <w:r>
              <w:rPr>
                <w:rFonts w:ascii="Verdana" w:eastAsia="Times New Roman" w:hAnsi="Verdana" w:cs="Arial"/>
                <w:color w:val="365F91"/>
                <w:sz w:val="18"/>
                <w:szCs w:val="18"/>
              </w:rPr>
              <w:t>24+25</w:t>
            </w:r>
          </w:p>
        </w:tc>
        <w:tc>
          <w:tcPr>
            <w:tcW w:w="4149" w:type="dxa"/>
            <w:tcBorders>
              <w:top w:val="nil"/>
              <w:left w:val="nil"/>
              <w:bottom w:val="nil"/>
              <w:right w:val="nil"/>
            </w:tcBorders>
            <w:vAlign w:val="center"/>
            <w:hideMark/>
          </w:tcPr>
          <w:p w14:paraId="042C0884" w14:textId="77777777" w:rsidR="00430DCB" w:rsidRDefault="00430DCB" w:rsidP="00430DCB">
            <w:pPr>
              <w:rPr>
                <w:rFonts w:ascii="Verdana" w:eastAsia="Times New Roman" w:hAnsi="Verdana" w:cs="Arial"/>
                <w:color w:val="365F91"/>
                <w:sz w:val="18"/>
                <w:szCs w:val="18"/>
              </w:rPr>
            </w:pPr>
            <w:r>
              <w:rPr>
                <w:rFonts w:ascii="Verdana" w:eastAsia="Times New Roman" w:hAnsi="Verdana" w:cs="Arial"/>
                <w:color w:val="365F91"/>
                <w:sz w:val="18"/>
                <w:szCs w:val="18"/>
              </w:rPr>
              <w:t>Manufacture of Basic Metals and Fabricated Metal Products</w:t>
            </w:r>
          </w:p>
        </w:tc>
        <w:tc>
          <w:tcPr>
            <w:tcW w:w="1360" w:type="dxa"/>
            <w:tcBorders>
              <w:top w:val="nil"/>
              <w:left w:val="nil"/>
              <w:bottom w:val="nil"/>
              <w:right w:val="nil"/>
            </w:tcBorders>
            <w:vAlign w:val="center"/>
            <w:hideMark/>
          </w:tcPr>
          <w:p w14:paraId="284F6F32" w14:textId="510769DF" w:rsidR="00430DCB" w:rsidRDefault="00430DCB" w:rsidP="00430DCB">
            <w:pPr>
              <w:ind w:right="227"/>
              <w:jc w:val="right"/>
              <w:rPr>
                <w:rFonts w:ascii="Verdana" w:hAnsi="Verdana"/>
                <w:color w:val="365F91"/>
                <w:sz w:val="18"/>
                <w:szCs w:val="18"/>
                <w:lang w:val="el-GR"/>
              </w:rPr>
            </w:pPr>
            <w:r>
              <w:rPr>
                <w:rFonts w:ascii="Verdana" w:hAnsi="Verdana"/>
                <w:color w:val="365F91"/>
                <w:sz w:val="18"/>
                <w:szCs w:val="18"/>
                <w:lang w:val="el-GR"/>
              </w:rPr>
              <w:t>139,4</w:t>
            </w:r>
          </w:p>
        </w:tc>
        <w:tc>
          <w:tcPr>
            <w:tcW w:w="227" w:type="dxa"/>
            <w:tcBorders>
              <w:top w:val="nil"/>
              <w:left w:val="nil"/>
              <w:bottom w:val="nil"/>
              <w:right w:val="nil"/>
            </w:tcBorders>
            <w:vAlign w:val="center"/>
          </w:tcPr>
          <w:p w14:paraId="0A699055" w14:textId="77777777" w:rsidR="00430DCB" w:rsidRDefault="00430DCB" w:rsidP="00430DCB">
            <w:pPr>
              <w:spacing w:line="276" w:lineRule="auto"/>
              <w:jc w:val="right"/>
              <w:rPr>
                <w:rFonts w:ascii="Verdana" w:eastAsia="Times New Roman" w:hAnsi="Verdana" w:cs="Arial"/>
                <w:color w:val="365F91"/>
                <w:sz w:val="18"/>
                <w:szCs w:val="18"/>
                <w:lang w:val="el-GR"/>
              </w:rPr>
            </w:pPr>
          </w:p>
        </w:tc>
        <w:tc>
          <w:tcPr>
            <w:tcW w:w="1285" w:type="dxa"/>
            <w:tcBorders>
              <w:top w:val="nil"/>
              <w:left w:val="nil"/>
              <w:bottom w:val="nil"/>
              <w:right w:val="nil"/>
            </w:tcBorders>
            <w:vAlign w:val="center"/>
            <w:hideMark/>
          </w:tcPr>
          <w:p w14:paraId="0ED2C514" w14:textId="46878C15" w:rsidR="00430DCB" w:rsidRDefault="00430DCB" w:rsidP="00430DCB">
            <w:pPr>
              <w:ind w:right="340"/>
              <w:jc w:val="right"/>
              <w:rPr>
                <w:rFonts w:ascii="Verdana" w:hAnsi="Verdana"/>
                <w:color w:val="365F91"/>
                <w:sz w:val="18"/>
                <w:szCs w:val="18"/>
                <w:lang w:val="el-GR"/>
              </w:rPr>
            </w:pPr>
            <w:r>
              <w:rPr>
                <w:rFonts w:ascii="Verdana" w:hAnsi="Verdana"/>
                <w:color w:val="365F91"/>
                <w:sz w:val="18"/>
                <w:szCs w:val="18"/>
                <w:lang w:val="el-GR"/>
              </w:rPr>
              <w:t>2,4</w:t>
            </w:r>
          </w:p>
        </w:tc>
        <w:tc>
          <w:tcPr>
            <w:tcW w:w="1676" w:type="dxa"/>
            <w:tcBorders>
              <w:top w:val="nil"/>
              <w:left w:val="nil"/>
              <w:bottom w:val="nil"/>
              <w:right w:val="nil"/>
            </w:tcBorders>
            <w:vAlign w:val="center"/>
            <w:hideMark/>
          </w:tcPr>
          <w:p w14:paraId="46DF4C95" w14:textId="394BDCD7" w:rsidR="00430DCB" w:rsidRDefault="00430DCB" w:rsidP="00430DCB">
            <w:pPr>
              <w:ind w:right="510"/>
              <w:jc w:val="right"/>
              <w:rPr>
                <w:rFonts w:ascii="Verdana" w:hAnsi="Verdana"/>
                <w:color w:val="365F91"/>
                <w:sz w:val="18"/>
                <w:szCs w:val="18"/>
              </w:rPr>
            </w:pPr>
            <w:r>
              <w:rPr>
                <w:rFonts w:ascii="Verdana" w:hAnsi="Verdana"/>
                <w:color w:val="365F91"/>
                <w:sz w:val="18"/>
                <w:szCs w:val="18"/>
                <w:lang w:val="el-GR"/>
              </w:rPr>
              <w:t>12,2</w:t>
            </w:r>
          </w:p>
        </w:tc>
      </w:tr>
      <w:tr w:rsidR="00430DCB" w14:paraId="73E2DDF7" w14:textId="77777777" w:rsidTr="00041DEA">
        <w:trPr>
          <w:trHeight w:val="567"/>
          <w:jc w:val="center"/>
        </w:trPr>
        <w:tc>
          <w:tcPr>
            <w:tcW w:w="1226" w:type="dxa"/>
            <w:tcBorders>
              <w:top w:val="nil"/>
              <w:left w:val="nil"/>
              <w:bottom w:val="nil"/>
              <w:right w:val="nil"/>
            </w:tcBorders>
            <w:vAlign w:val="center"/>
            <w:hideMark/>
          </w:tcPr>
          <w:p w14:paraId="655AD226" w14:textId="77777777" w:rsidR="00430DCB" w:rsidRDefault="00430DCB" w:rsidP="00430DCB">
            <w:pPr>
              <w:jc w:val="center"/>
              <w:rPr>
                <w:rFonts w:ascii="Verdana" w:eastAsia="Times New Roman" w:hAnsi="Verdana" w:cs="Arial"/>
                <w:color w:val="365F91"/>
                <w:sz w:val="18"/>
                <w:szCs w:val="18"/>
              </w:rPr>
            </w:pPr>
            <w:r>
              <w:rPr>
                <w:rFonts w:ascii="Verdana" w:eastAsia="Times New Roman" w:hAnsi="Verdana" w:cs="Arial"/>
                <w:color w:val="365F91"/>
                <w:sz w:val="18"/>
                <w:szCs w:val="18"/>
              </w:rPr>
              <w:t>26+27</w:t>
            </w:r>
          </w:p>
        </w:tc>
        <w:tc>
          <w:tcPr>
            <w:tcW w:w="4149" w:type="dxa"/>
            <w:tcBorders>
              <w:top w:val="nil"/>
              <w:left w:val="nil"/>
              <w:bottom w:val="nil"/>
              <w:right w:val="nil"/>
            </w:tcBorders>
            <w:vAlign w:val="center"/>
            <w:hideMark/>
          </w:tcPr>
          <w:p w14:paraId="683CF64F" w14:textId="77777777" w:rsidR="00430DCB" w:rsidRDefault="00430DCB" w:rsidP="00430DCB">
            <w:pPr>
              <w:rPr>
                <w:rFonts w:ascii="Verdana" w:eastAsia="Times New Roman" w:hAnsi="Verdana" w:cs="Arial"/>
                <w:color w:val="365F91"/>
                <w:sz w:val="18"/>
                <w:szCs w:val="18"/>
              </w:rPr>
            </w:pPr>
            <w:r>
              <w:rPr>
                <w:rFonts w:ascii="Verdana" w:eastAsia="Times New Roman" w:hAnsi="Verdana" w:cs="Arial"/>
                <w:color w:val="365F91"/>
                <w:sz w:val="18"/>
                <w:szCs w:val="18"/>
              </w:rPr>
              <w:t>Manufacture of Electronic and Optical Products and Electrical Equipment</w:t>
            </w:r>
          </w:p>
        </w:tc>
        <w:tc>
          <w:tcPr>
            <w:tcW w:w="1360" w:type="dxa"/>
            <w:tcBorders>
              <w:top w:val="nil"/>
              <w:left w:val="nil"/>
              <w:bottom w:val="nil"/>
              <w:right w:val="nil"/>
            </w:tcBorders>
            <w:vAlign w:val="center"/>
            <w:hideMark/>
          </w:tcPr>
          <w:p w14:paraId="05C2343B" w14:textId="4C686637" w:rsidR="00430DCB" w:rsidRDefault="00430DCB" w:rsidP="00430DCB">
            <w:pPr>
              <w:ind w:right="227"/>
              <w:jc w:val="right"/>
              <w:rPr>
                <w:rFonts w:ascii="Verdana" w:hAnsi="Verdana"/>
                <w:color w:val="365F91"/>
                <w:sz w:val="18"/>
                <w:szCs w:val="18"/>
                <w:lang w:val="el-GR"/>
              </w:rPr>
            </w:pPr>
            <w:r>
              <w:rPr>
                <w:rFonts w:ascii="Verdana" w:hAnsi="Verdana"/>
                <w:color w:val="365F91"/>
                <w:sz w:val="18"/>
                <w:szCs w:val="18"/>
                <w:lang w:val="el-GR"/>
              </w:rPr>
              <w:t>97,5</w:t>
            </w:r>
          </w:p>
        </w:tc>
        <w:tc>
          <w:tcPr>
            <w:tcW w:w="227" w:type="dxa"/>
            <w:tcBorders>
              <w:top w:val="nil"/>
              <w:left w:val="nil"/>
              <w:bottom w:val="nil"/>
              <w:right w:val="nil"/>
            </w:tcBorders>
            <w:vAlign w:val="center"/>
          </w:tcPr>
          <w:p w14:paraId="065A74C2" w14:textId="77777777" w:rsidR="00430DCB" w:rsidRDefault="00430DCB" w:rsidP="00430DCB">
            <w:pPr>
              <w:jc w:val="right"/>
              <w:rPr>
                <w:rFonts w:ascii="Verdana" w:eastAsia="Times New Roman" w:hAnsi="Verdana" w:cs="Arial"/>
                <w:color w:val="365F91"/>
                <w:sz w:val="18"/>
                <w:szCs w:val="18"/>
                <w:lang w:val="el-GR"/>
              </w:rPr>
            </w:pPr>
          </w:p>
        </w:tc>
        <w:tc>
          <w:tcPr>
            <w:tcW w:w="1285" w:type="dxa"/>
            <w:tcBorders>
              <w:top w:val="nil"/>
              <w:left w:val="nil"/>
              <w:bottom w:val="nil"/>
              <w:right w:val="nil"/>
            </w:tcBorders>
            <w:vAlign w:val="center"/>
            <w:hideMark/>
          </w:tcPr>
          <w:p w14:paraId="573DE83A" w14:textId="4065C55D" w:rsidR="00430DCB" w:rsidRDefault="00430DCB" w:rsidP="00430DCB">
            <w:pPr>
              <w:ind w:right="340"/>
              <w:jc w:val="right"/>
              <w:rPr>
                <w:rFonts w:ascii="Verdana" w:hAnsi="Verdana"/>
                <w:color w:val="365F91"/>
                <w:sz w:val="18"/>
                <w:szCs w:val="18"/>
                <w:lang w:val="el-GR"/>
              </w:rPr>
            </w:pPr>
            <w:r>
              <w:rPr>
                <w:rFonts w:ascii="Verdana" w:hAnsi="Verdana"/>
                <w:color w:val="365F91"/>
                <w:sz w:val="18"/>
                <w:szCs w:val="18"/>
                <w:lang w:val="el-GR"/>
              </w:rPr>
              <w:t>3,7</w:t>
            </w:r>
          </w:p>
        </w:tc>
        <w:tc>
          <w:tcPr>
            <w:tcW w:w="1676" w:type="dxa"/>
            <w:tcBorders>
              <w:top w:val="nil"/>
              <w:left w:val="nil"/>
              <w:bottom w:val="nil"/>
              <w:right w:val="nil"/>
            </w:tcBorders>
            <w:vAlign w:val="center"/>
            <w:hideMark/>
          </w:tcPr>
          <w:p w14:paraId="7D02EA49" w14:textId="1B565A91" w:rsidR="00430DCB" w:rsidRDefault="00430DCB" w:rsidP="00430DCB">
            <w:pPr>
              <w:ind w:right="510"/>
              <w:jc w:val="right"/>
              <w:rPr>
                <w:rFonts w:ascii="Verdana" w:hAnsi="Verdana"/>
                <w:color w:val="365F91"/>
                <w:sz w:val="18"/>
                <w:szCs w:val="18"/>
              </w:rPr>
            </w:pPr>
            <w:r>
              <w:rPr>
                <w:rFonts w:ascii="Verdana" w:hAnsi="Verdana"/>
                <w:color w:val="365F91"/>
                <w:sz w:val="18"/>
                <w:szCs w:val="18"/>
                <w:lang w:val="el-GR"/>
              </w:rPr>
              <w:t>25,5</w:t>
            </w:r>
          </w:p>
        </w:tc>
      </w:tr>
      <w:tr w:rsidR="00430DCB" w14:paraId="56D53EFD" w14:textId="77777777" w:rsidTr="00041DEA">
        <w:trPr>
          <w:trHeight w:val="794"/>
          <w:jc w:val="center"/>
        </w:trPr>
        <w:tc>
          <w:tcPr>
            <w:tcW w:w="1226" w:type="dxa"/>
            <w:tcBorders>
              <w:top w:val="nil"/>
              <w:left w:val="nil"/>
              <w:bottom w:val="nil"/>
              <w:right w:val="nil"/>
            </w:tcBorders>
            <w:vAlign w:val="center"/>
            <w:hideMark/>
          </w:tcPr>
          <w:p w14:paraId="616A38DA" w14:textId="77777777" w:rsidR="00430DCB" w:rsidRDefault="00430DCB" w:rsidP="00430DCB">
            <w:pPr>
              <w:jc w:val="center"/>
              <w:rPr>
                <w:rFonts w:ascii="Verdana" w:eastAsia="Times New Roman" w:hAnsi="Verdana" w:cs="Arial"/>
                <w:color w:val="365F91"/>
                <w:sz w:val="18"/>
                <w:szCs w:val="18"/>
              </w:rPr>
            </w:pPr>
            <w:r>
              <w:rPr>
                <w:rFonts w:ascii="Verdana" w:eastAsia="Times New Roman" w:hAnsi="Verdana" w:cs="Arial"/>
                <w:color w:val="365F91"/>
                <w:sz w:val="18"/>
                <w:szCs w:val="18"/>
              </w:rPr>
              <w:t>28+29+30</w:t>
            </w:r>
          </w:p>
        </w:tc>
        <w:tc>
          <w:tcPr>
            <w:tcW w:w="4149" w:type="dxa"/>
            <w:tcBorders>
              <w:top w:val="nil"/>
              <w:left w:val="nil"/>
              <w:bottom w:val="nil"/>
              <w:right w:val="nil"/>
            </w:tcBorders>
            <w:vAlign w:val="center"/>
            <w:hideMark/>
          </w:tcPr>
          <w:p w14:paraId="4313E13B" w14:textId="77777777" w:rsidR="00430DCB" w:rsidRDefault="00430DCB" w:rsidP="00430DCB">
            <w:pPr>
              <w:rPr>
                <w:rFonts w:ascii="Verdana" w:eastAsia="Times New Roman" w:hAnsi="Verdana" w:cs="Arial"/>
                <w:color w:val="365F91"/>
                <w:sz w:val="18"/>
                <w:szCs w:val="18"/>
              </w:rPr>
            </w:pPr>
            <w:r>
              <w:rPr>
                <w:rFonts w:ascii="Verdana" w:eastAsia="Times New Roman" w:hAnsi="Verdana" w:cs="Arial"/>
                <w:color w:val="365F91"/>
                <w:sz w:val="18"/>
                <w:szCs w:val="18"/>
              </w:rPr>
              <w:t>Manufacture of Machinery and Equipment, Motor Vehicles and Other Transport Equipment</w:t>
            </w:r>
          </w:p>
        </w:tc>
        <w:tc>
          <w:tcPr>
            <w:tcW w:w="1360" w:type="dxa"/>
            <w:tcBorders>
              <w:top w:val="nil"/>
              <w:left w:val="nil"/>
              <w:bottom w:val="nil"/>
              <w:right w:val="nil"/>
            </w:tcBorders>
            <w:vAlign w:val="center"/>
            <w:hideMark/>
          </w:tcPr>
          <w:p w14:paraId="6CB46CB2" w14:textId="71E4D5CB" w:rsidR="00430DCB" w:rsidRDefault="00430DCB" w:rsidP="00430DCB">
            <w:pPr>
              <w:ind w:right="227"/>
              <w:jc w:val="right"/>
              <w:rPr>
                <w:rFonts w:ascii="Verdana" w:hAnsi="Verdana"/>
                <w:color w:val="365F91"/>
                <w:sz w:val="18"/>
                <w:szCs w:val="18"/>
                <w:lang w:val="el-GR"/>
              </w:rPr>
            </w:pPr>
            <w:r>
              <w:rPr>
                <w:rFonts w:ascii="Verdana" w:hAnsi="Verdana"/>
                <w:color w:val="365F91"/>
                <w:sz w:val="18"/>
                <w:szCs w:val="18"/>
                <w:lang w:val="el-GR"/>
              </w:rPr>
              <w:t>151,3</w:t>
            </w:r>
          </w:p>
        </w:tc>
        <w:tc>
          <w:tcPr>
            <w:tcW w:w="227" w:type="dxa"/>
            <w:tcBorders>
              <w:top w:val="nil"/>
              <w:left w:val="nil"/>
              <w:bottom w:val="nil"/>
              <w:right w:val="nil"/>
            </w:tcBorders>
            <w:vAlign w:val="center"/>
          </w:tcPr>
          <w:p w14:paraId="60BAE7D1" w14:textId="77777777" w:rsidR="00430DCB" w:rsidRDefault="00430DCB" w:rsidP="00430DCB">
            <w:pPr>
              <w:jc w:val="right"/>
              <w:rPr>
                <w:rFonts w:ascii="Verdana" w:eastAsia="Times New Roman" w:hAnsi="Verdana" w:cs="Arial"/>
                <w:color w:val="365F91"/>
                <w:sz w:val="18"/>
                <w:szCs w:val="18"/>
                <w:lang w:val="el-GR"/>
              </w:rPr>
            </w:pPr>
          </w:p>
        </w:tc>
        <w:tc>
          <w:tcPr>
            <w:tcW w:w="1285" w:type="dxa"/>
            <w:tcBorders>
              <w:top w:val="nil"/>
              <w:left w:val="nil"/>
              <w:bottom w:val="nil"/>
              <w:right w:val="nil"/>
            </w:tcBorders>
            <w:vAlign w:val="center"/>
            <w:hideMark/>
          </w:tcPr>
          <w:p w14:paraId="7D5C2034" w14:textId="30F6E3CB" w:rsidR="00430DCB" w:rsidRDefault="00430DCB" w:rsidP="00430DCB">
            <w:pPr>
              <w:ind w:right="340"/>
              <w:jc w:val="right"/>
              <w:rPr>
                <w:rFonts w:ascii="Verdana" w:hAnsi="Verdana"/>
                <w:color w:val="365F91"/>
                <w:sz w:val="18"/>
                <w:szCs w:val="18"/>
                <w:lang w:val="el-GR"/>
              </w:rPr>
            </w:pPr>
            <w:r>
              <w:rPr>
                <w:rFonts w:ascii="Verdana" w:hAnsi="Verdana"/>
                <w:color w:val="365F91"/>
                <w:sz w:val="18"/>
                <w:szCs w:val="18"/>
                <w:lang w:val="el-GR"/>
              </w:rPr>
              <w:t>18,4</w:t>
            </w:r>
          </w:p>
        </w:tc>
        <w:tc>
          <w:tcPr>
            <w:tcW w:w="1676" w:type="dxa"/>
            <w:tcBorders>
              <w:top w:val="nil"/>
              <w:left w:val="nil"/>
              <w:bottom w:val="nil"/>
              <w:right w:val="nil"/>
            </w:tcBorders>
            <w:vAlign w:val="center"/>
            <w:hideMark/>
          </w:tcPr>
          <w:p w14:paraId="524C5E94" w14:textId="771EBF7A" w:rsidR="00430DCB" w:rsidRDefault="00430DCB" w:rsidP="00430DCB">
            <w:pPr>
              <w:ind w:right="510"/>
              <w:jc w:val="right"/>
              <w:rPr>
                <w:rFonts w:ascii="Verdana" w:hAnsi="Verdana"/>
                <w:color w:val="365F91"/>
                <w:sz w:val="18"/>
                <w:szCs w:val="18"/>
                <w:lang w:val="el-GR"/>
              </w:rPr>
            </w:pPr>
            <w:r>
              <w:rPr>
                <w:rFonts w:ascii="Verdana" w:hAnsi="Verdana"/>
                <w:color w:val="365F91"/>
                <w:sz w:val="18"/>
                <w:szCs w:val="18"/>
                <w:lang w:val="el-GR"/>
              </w:rPr>
              <w:t>19,3</w:t>
            </w:r>
          </w:p>
        </w:tc>
      </w:tr>
      <w:tr w:rsidR="00430DCB" w14:paraId="577AE02C" w14:textId="77777777" w:rsidTr="00041DEA">
        <w:trPr>
          <w:trHeight w:val="794"/>
          <w:jc w:val="center"/>
        </w:trPr>
        <w:tc>
          <w:tcPr>
            <w:tcW w:w="1226" w:type="dxa"/>
            <w:tcBorders>
              <w:top w:val="nil"/>
              <w:left w:val="nil"/>
              <w:bottom w:val="nil"/>
              <w:right w:val="nil"/>
            </w:tcBorders>
            <w:vAlign w:val="center"/>
            <w:hideMark/>
          </w:tcPr>
          <w:p w14:paraId="4DDE46FA" w14:textId="77777777" w:rsidR="00430DCB" w:rsidRDefault="00430DCB" w:rsidP="00430DCB">
            <w:pPr>
              <w:jc w:val="center"/>
              <w:rPr>
                <w:rFonts w:ascii="Verdana" w:eastAsia="Times New Roman" w:hAnsi="Verdana" w:cs="Arial"/>
                <w:color w:val="365F91"/>
                <w:sz w:val="18"/>
                <w:szCs w:val="18"/>
              </w:rPr>
            </w:pPr>
            <w:r>
              <w:rPr>
                <w:rFonts w:ascii="Verdana" w:eastAsia="Times New Roman" w:hAnsi="Verdana" w:cs="Arial"/>
                <w:color w:val="365F91"/>
                <w:sz w:val="18"/>
                <w:szCs w:val="18"/>
              </w:rPr>
              <w:t>31+32+33</w:t>
            </w:r>
          </w:p>
        </w:tc>
        <w:tc>
          <w:tcPr>
            <w:tcW w:w="4149" w:type="dxa"/>
            <w:tcBorders>
              <w:top w:val="nil"/>
              <w:left w:val="nil"/>
              <w:bottom w:val="nil"/>
              <w:right w:val="nil"/>
            </w:tcBorders>
            <w:vAlign w:val="center"/>
            <w:hideMark/>
          </w:tcPr>
          <w:p w14:paraId="6355C134" w14:textId="77777777" w:rsidR="00430DCB" w:rsidRDefault="00430DCB" w:rsidP="00430DCB">
            <w:pPr>
              <w:rPr>
                <w:rFonts w:ascii="Verdana" w:eastAsia="Times New Roman" w:hAnsi="Verdana" w:cs="Arial"/>
                <w:color w:val="365F91"/>
                <w:sz w:val="18"/>
                <w:szCs w:val="18"/>
              </w:rPr>
            </w:pPr>
            <w:r>
              <w:rPr>
                <w:rFonts w:ascii="Verdana" w:eastAsia="Times New Roman" w:hAnsi="Verdana" w:cs="Arial"/>
                <w:color w:val="365F91"/>
                <w:sz w:val="18"/>
                <w:szCs w:val="18"/>
              </w:rPr>
              <w:t>Manufacture of Furniture, Other Manufacturing and Repair and Installation of Machinery and Equipment</w:t>
            </w:r>
          </w:p>
        </w:tc>
        <w:tc>
          <w:tcPr>
            <w:tcW w:w="1360" w:type="dxa"/>
            <w:tcBorders>
              <w:top w:val="nil"/>
              <w:left w:val="nil"/>
              <w:bottom w:val="nil"/>
              <w:right w:val="nil"/>
            </w:tcBorders>
            <w:vAlign w:val="center"/>
            <w:hideMark/>
          </w:tcPr>
          <w:p w14:paraId="6BE1E6AB" w14:textId="5349DCF7" w:rsidR="00430DCB" w:rsidRDefault="00430DCB" w:rsidP="00430DCB">
            <w:pPr>
              <w:ind w:right="227"/>
              <w:jc w:val="right"/>
              <w:rPr>
                <w:rFonts w:ascii="Verdana" w:hAnsi="Verdana"/>
                <w:color w:val="365F91"/>
                <w:sz w:val="18"/>
                <w:szCs w:val="18"/>
                <w:lang w:val="el-GR"/>
              </w:rPr>
            </w:pPr>
            <w:r>
              <w:rPr>
                <w:rFonts w:ascii="Verdana" w:hAnsi="Verdana"/>
                <w:color w:val="365F91"/>
                <w:sz w:val="18"/>
                <w:szCs w:val="18"/>
                <w:lang w:val="el-GR"/>
              </w:rPr>
              <w:t>141,2</w:t>
            </w:r>
          </w:p>
        </w:tc>
        <w:tc>
          <w:tcPr>
            <w:tcW w:w="227" w:type="dxa"/>
            <w:tcBorders>
              <w:top w:val="nil"/>
              <w:left w:val="nil"/>
              <w:bottom w:val="nil"/>
              <w:right w:val="nil"/>
            </w:tcBorders>
            <w:vAlign w:val="center"/>
          </w:tcPr>
          <w:p w14:paraId="545B14D9" w14:textId="77777777" w:rsidR="00430DCB" w:rsidRDefault="00430DCB" w:rsidP="00430DCB">
            <w:pPr>
              <w:spacing w:line="480" w:lineRule="auto"/>
              <w:jc w:val="right"/>
              <w:rPr>
                <w:rFonts w:ascii="Verdana" w:eastAsia="Times New Roman" w:hAnsi="Verdana" w:cs="Arial"/>
                <w:color w:val="365F91"/>
                <w:sz w:val="18"/>
                <w:szCs w:val="18"/>
                <w:lang w:val="el-GR"/>
              </w:rPr>
            </w:pPr>
          </w:p>
        </w:tc>
        <w:tc>
          <w:tcPr>
            <w:tcW w:w="1285" w:type="dxa"/>
            <w:tcBorders>
              <w:top w:val="nil"/>
              <w:left w:val="nil"/>
              <w:bottom w:val="nil"/>
              <w:right w:val="nil"/>
            </w:tcBorders>
            <w:vAlign w:val="center"/>
            <w:hideMark/>
          </w:tcPr>
          <w:p w14:paraId="453BA3DF" w14:textId="71DF8A13" w:rsidR="00430DCB" w:rsidRDefault="00430DCB" w:rsidP="00430DCB">
            <w:pPr>
              <w:ind w:right="340"/>
              <w:jc w:val="right"/>
              <w:rPr>
                <w:rFonts w:ascii="Verdana" w:hAnsi="Verdana"/>
                <w:color w:val="365F91"/>
                <w:sz w:val="18"/>
                <w:szCs w:val="18"/>
                <w:lang w:val="el-GR"/>
              </w:rPr>
            </w:pPr>
            <w:r>
              <w:rPr>
                <w:rFonts w:ascii="Verdana" w:hAnsi="Verdana"/>
                <w:color w:val="365F91"/>
                <w:sz w:val="18"/>
                <w:szCs w:val="18"/>
                <w:lang w:val="el-GR"/>
              </w:rPr>
              <w:t>10,1</w:t>
            </w:r>
          </w:p>
        </w:tc>
        <w:tc>
          <w:tcPr>
            <w:tcW w:w="1676" w:type="dxa"/>
            <w:tcBorders>
              <w:top w:val="nil"/>
              <w:left w:val="nil"/>
              <w:bottom w:val="nil"/>
              <w:right w:val="nil"/>
            </w:tcBorders>
            <w:vAlign w:val="center"/>
            <w:hideMark/>
          </w:tcPr>
          <w:p w14:paraId="1C0A7017" w14:textId="2D12BEBC" w:rsidR="00430DCB" w:rsidRDefault="00430DCB" w:rsidP="00430DCB">
            <w:pPr>
              <w:ind w:right="510"/>
              <w:jc w:val="right"/>
              <w:rPr>
                <w:rFonts w:ascii="Verdana" w:hAnsi="Verdana"/>
                <w:color w:val="365F91"/>
                <w:sz w:val="18"/>
                <w:szCs w:val="18"/>
              </w:rPr>
            </w:pPr>
            <w:r>
              <w:rPr>
                <w:rFonts w:ascii="Verdana" w:hAnsi="Verdana"/>
                <w:color w:val="365F91"/>
                <w:sz w:val="18"/>
                <w:szCs w:val="18"/>
                <w:lang w:val="el-GR"/>
              </w:rPr>
              <w:t>12,5</w:t>
            </w:r>
          </w:p>
        </w:tc>
      </w:tr>
      <w:tr w:rsidR="00430DCB" w14:paraId="6CF3AA44" w14:textId="77777777" w:rsidTr="00041DEA">
        <w:trPr>
          <w:trHeight w:val="113"/>
          <w:jc w:val="center"/>
        </w:trPr>
        <w:tc>
          <w:tcPr>
            <w:tcW w:w="1226" w:type="dxa"/>
            <w:tcBorders>
              <w:top w:val="nil"/>
              <w:left w:val="nil"/>
              <w:bottom w:val="nil"/>
              <w:right w:val="nil"/>
            </w:tcBorders>
            <w:vAlign w:val="center"/>
          </w:tcPr>
          <w:p w14:paraId="1FF6CC35" w14:textId="77777777" w:rsidR="00430DCB" w:rsidRDefault="00430DCB" w:rsidP="00430DCB">
            <w:pPr>
              <w:spacing w:line="276" w:lineRule="auto"/>
              <w:jc w:val="center"/>
              <w:rPr>
                <w:rFonts w:ascii="Verdana" w:eastAsia="Times New Roman" w:hAnsi="Verdana" w:cs="Arial"/>
                <w:b/>
                <w:bCs/>
                <w:color w:val="365F91"/>
                <w:sz w:val="18"/>
                <w:szCs w:val="18"/>
              </w:rPr>
            </w:pPr>
          </w:p>
        </w:tc>
        <w:tc>
          <w:tcPr>
            <w:tcW w:w="4149" w:type="dxa"/>
            <w:tcBorders>
              <w:top w:val="nil"/>
              <w:left w:val="nil"/>
              <w:bottom w:val="nil"/>
              <w:right w:val="nil"/>
            </w:tcBorders>
            <w:vAlign w:val="center"/>
          </w:tcPr>
          <w:p w14:paraId="5A04C706" w14:textId="77777777" w:rsidR="00430DCB" w:rsidRDefault="00430DCB" w:rsidP="00430DCB">
            <w:pPr>
              <w:spacing w:line="276" w:lineRule="auto"/>
              <w:rPr>
                <w:rFonts w:ascii="Verdana" w:eastAsia="Times New Roman" w:hAnsi="Verdana" w:cs="Arial"/>
                <w:b/>
                <w:bCs/>
                <w:color w:val="365F91"/>
                <w:sz w:val="18"/>
                <w:szCs w:val="18"/>
              </w:rPr>
            </w:pPr>
          </w:p>
        </w:tc>
        <w:tc>
          <w:tcPr>
            <w:tcW w:w="1360" w:type="dxa"/>
            <w:tcBorders>
              <w:top w:val="nil"/>
              <w:left w:val="nil"/>
              <w:bottom w:val="nil"/>
              <w:right w:val="nil"/>
            </w:tcBorders>
            <w:vAlign w:val="center"/>
          </w:tcPr>
          <w:p w14:paraId="04540CBF" w14:textId="77777777" w:rsidR="00430DCB" w:rsidRDefault="00430DCB" w:rsidP="00430DCB">
            <w:pPr>
              <w:ind w:right="227"/>
              <w:jc w:val="right"/>
              <w:rPr>
                <w:rFonts w:ascii="Verdana" w:hAnsi="Verdana"/>
                <w:b/>
                <w:color w:val="365F91"/>
                <w:sz w:val="18"/>
                <w:szCs w:val="18"/>
              </w:rPr>
            </w:pPr>
          </w:p>
        </w:tc>
        <w:tc>
          <w:tcPr>
            <w:tcW w:w="227" w:type="dxa"/>
            <w:tcBorders>
              <w:top w:val="nil"/>
              <w:left w:val="nil"/>
              <w:bottom w:val="nil"/>
              <w:right w:val="nil"/>
            </w:tcBorders>
            <w:vAlign w:val="center"/>
          </w:tcPr>
          <w:p w14:paraId="2779AD84" w14:textId="77777777" w:rsidR="00430DCB" w:rsidRDefault="00430DCB" w:rsidP="00430DCB">
            <w:pPr>
              <w:spacing w:line="276" w:lineRule="auto"/>
              <w:jc w:val="right"/>
              <w:rPr>
                <w:rFonts w:ascii="Verdana" w:eastAsia="Times New Roman" w:hAnsi="Verdana" w:cs="Arial"/>
                <w:b/>
                <w:bCs/>
                <w:color w:val="365F91"/>
                <w:sz w:val="18"/>
                <w:szCs w:val="18"/>
                <w:lang w:val="el-GR"/>
              </w:rPr>
            </w:pPr>
          </w:p>
        </w:tc>
        <w:tc>
          <w:tcPr>
            <w:tcW w:w="1285" w:type="dxa"/>
            <w:tcBorders>
              <w:top w:val="nil"/>
              <w:left w:val="nil"/>
              <w:bottom w:val="nil"/>
              <w:right w:val="nil"/>
            </w:tcBorders>
            <w:vAlign w:val="center"/>
          </w:tcPr>
          <w:p w14:paraId="0202684A" w14:textId="77777777" w:rsidR="00430DCB" w:rsidRDefault="00430DCB" w:rsidP="00430DCB">
            <w:pPr>
              <w:ind w:right="340"/>
              <w:jc w:val="right"/>
              <w:rPr>
                <w:rFonts w:ascii="Verdana" w:hAnsi="Verdana"/>
                <w:b/>
                <w:color w:val="365F91"/>
                <w:sz w:val="18"/>
                <w:szCs w:val="18"/>
              </w:rPr>
            </w:pPr>
          </w:p>
        </w:tc>
        <w:tc>
          <w:tcPr>
            <w:tcW w:w="1676" w:type="dxa"/>
            <w:tcBorders>
              <w:top w:val="nil"/>
              <w:left w:val="nil"/>
              <w:bottom w:val="nil"/>
              <w:right w:val="nil"/>
            </w:tcBorders>
            <w:vAlign w:val="center"/>
          </w:tcPr>
          <w:p w14:paraId="31678F5D" w14:textId="77777777" w:rsidR="00430DCB" w:rsidRDefault="00430DCB" w:rsidP="00430DCB">
            <w:pPr>
              <w:ind w:right="510"/>
              <w:jc w:val="right"/>
              <w:rPr>
                <w:rFonts w:ascii="Verdana" w:hAnsi="Verdana"/>
                <w:b/>
                <w:color w:val="365F91"/>
                <w:sz w:val="18"/>
                <w:szCs w:val="18"/>
              </w:rPr>
            </w:pPr>
          </w:p>
        </w:tc>
      </w:tr>
      <w:tr w:rsidR="00430DCB" w14:paraId="234C61AE" w14:textId="77777777" w:rsidTr="00041DEA">
        <w:trPr>
          <w:trHeight w:val="113"/>
          <w:jc w:val="center"/>
        </w:trPr>
        <w:tc>
          <w:tcPr>
            <w:tcW w:w="1226" w:type="dxa"/>
            <w:tcBorders>
              <w:top w:val="nil"/>
              <w:left w:val="nil"/>
              <w:bottom w:val="nil"/>
              <w:right w:val="nil"/>
            </w:tcBorders>
            <w:vAlign w:val="center"/>
            <w:hideMark/>
          </w:tcPr>
          <w:p w14:paraId="5AD7EE7C" w14:textId="77777777" w:rsidR="00430DCB" w:rsidRDefault="00430DCB" w:rsidP="00430DCB">
            <w:pPr>
              <w:spacing w:line="276" w:lineRule="auto"/>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D</w:t>
            </w:r>
          </w:p>
        </w:tc>
        <w:tc>
          <w:tcPr>
            <w:tcW w:w="4149" w:type="dxa"/>
            <w:tcBorders>
              <w:top w:val="nil"/>
              <w:left w:val="nil"/>
              <w:bottom w:val="nil"/>
              <w:right w:val="nil"/>
            </w:tcBorders>
            <w:vAlign w:val="center"/>
            <w:hideMark/>
          </w:tcPr>
          <w:p w14:paraId="28E4E796" w14:textId="77777777" w:rsidR="00430DCB" w:rsidRDefault="00430DCB" w:rsidP="00430DCB">
            <w:pPr>
              <w:spacing w:line="276" w:lineRule="auto"/>
              <w:rPr>
                <w:rFonts w:ascii="Verdana" w:eastAsia="Times New Roman" w:hAnsi="Verdana" w:cs="Arial"/>
                <w:b/>
                <w:bCs/>
                <w:color w:val="365F91"/>
                <w:sz w:val="18"/>
                <w:szCs w:val="18"/>
              </w:rPr>
            </w:pPr>
            <w:r>
              <w:rPr>
                <w:rFonts w:ascii="Verdana" w:eastAsia="Times New Roman" w:hAnsi="Verdana" w:cs="Arial"/>
                <w:b/>
                <w:bCs/>
                <w:color w:val="365F91"/>
                <w:sz w:val="18"/>
                <w:szCs w:val="18"/>
              </w:rPr>
              <w:t>ELECTRICITY SUPPLY</w:t>
            </w:r>
          </w:p>
        </w:tc>
        <w:tc>
          <w:tcPr>
            <w:tcW w:w="1360" w:type="dxa"/>
            <w:tcBorders>
              <w:top w:val="nil"/>
              <w:left w:val="nil"/>
              <w:bottom w:val="nil"/>
              <w:right w:val="nil"/>
            </w:tcBorders>
            <w:vAlign w:val="center"/>
            <w:hideMark/>
          </w:tcPr>
          <w:p w14:paraId="7095257A" w14:textId="0AFD1659" w:rsidR="00430DCB" w:rsidRDefault="00430DCB" w:rsidP="00430DCB">
            <w:pPr>
              <w:ind w:right="227"/>
              <w:jc w:val="right"/>
              <w:rPr>
                <w:rFonts w:ascii="Verdana" w:hAnsi="Verdana"/>
                <w:b/>
                <w:color w:val="365F91"/>
                <w:sz w:val="18"/>
                <w:szCs w:val="18"/>
                <w:lang w:val="el-GR"/>
              </w:rPr>
            </w:pPr>
            <w:r>
              <w:rPr>
                <w:rFonts w:ascii="Verdana" w:hAnsi="Verdana"/>
                <w:b/>
                <w:color w:val="365F91"/>
                <w:sz w:val="18"/>
                <w:szCs w:val="18"/>
                <w:lang w:val="el-GR"/>
              </w:rPr>
              <w:t>139,7</w:t>
            </w:r>
          </w:p>
        </w:tc>
        <w:tc>
          <w:tcPr>
            <w:tcW w:w="227" w:type="dxa"/>
            <w:tcBorders>
              <w:top w:val="nil"/>
              <w:left w:val="nil"/>
              <w:bottom w:val="nil"/>
              <w:right w:val="nil"/>
            </w:tcBorders>
            <w:vAlign w:val="center"/>
          </w:tcPr>
          <w:p w14:paraId="24CBBE2C" w14:textId="77777777" w:rsidR="00430DCB" w:rsidRDefault="00430DCB" w:rsidP="00430DCB">
            <w:pPr>
              <w:spacing w:line="276" w:lineRule="auto"/>
              <w:jc w:val="right"/>
              <w:rPr>
                <w:rFonts w:ascii="Verdana" w:eastAsia="Times New Roman" w:hAnsi="Verdana" w:cs="Arial"/>
                <w:b/>
                <w:bCs/>
                <w:color w:val="365F91"/>
                <w:sz w:val="18"/>
                <w:szCs w:val="18"/>
                <w:lang w:val="el-GR"/>
              </w:rPr>
            </w:pPr>
          </w:p>
        </w:tc>
        <w:tc>
          <w:tcPr>
            <w:tcW w:w="1285" w:type="dxa"/>
            <w:tcBorders>
              <w:top w:val="nil"/>
              <w:left w:val="nil"/>
              <w:bottom w:val="nil"/>
              <w:right w:val="nil"/>
            </w:tcBorders>
            <w:vAlign w:val="center"/>
            <w:hideMark/>
          </w:tcPr>
          <w:p w14:paraId="374B5369" w14:textId="3669B0AC" w:rsidR="00430DCB" w:rsidRDefault="00430DCB" w:rsidP="00430DCB">
            <w:pPr>
              <w:ind w:right="340"/>
              <w:jc w:val="right"/>
              <w:rPr>
                <w:rFonts w:ascii="Verdana" w:hAnsi="Verdana"/>
                <w:b/>
                <w:color w:val="365F91"/>
                <w:sz w:val="18"/>
                <w:szCs w:val="18"/>
              </w:rPr>
            </w:pPr>
            <w:r>
              <w:rPr>
                <w:rFonts w:ascii="Verdana" w:hAnsi="Verdana"/>
                <w:b/>
                <w:color w:val="365F91"/>
                <w:sz w:val="18"/>
                <w:szCs w:val="18"/>
                <w:lang w:val="el-GR"/>
              </w:rPr>
              <w:t>-18,4</w:t>
            </w:r>
          </w:p>
        </w:tc>
        <w:tc>
          <w:tcPr>
            <w:tcW w:w="1676" w:type="dxa"/>
            <w:tcBorders>
              <w:top w:val="nil"/>
              <w:left w:val="nil"/>
              <w:bottom w:val="nil"/>
              <w:right w:val="nil"/>
            </w:tcBorders>
            <w:vAlign w:val="center"/>
            <w:hideMark/>
          </w:tcPr>
          <w:p w14:paraId="5FCBAA2D" w14:textId="4214C59C" w:rsidR="00430DCB" w:rsidRDefault="00430DCB" w:rsidP="00430DCB">
            <w:pPr>
              <w:ind w:right="510"/>
              <w:jc w:val="right"/>
              <w:rPr>
                <w:rFonts w:ascii="Verdana" w:hAnsi="Verdana"/>
                <w:b/>
                <w:color w:val="365F91"/>
                <w:sz w:val="18"/>
                <w:szCs w:val="18"/>
              </w:rPr>
            </w:pPr>
            <w:r>
              <w:rPr>
                <w:rFonts w:ascii="Verdana" w:hAnsi="Verdana"/>
                <w:b/>
                <w:color w:val="365F91"/>
                <w:sz w:val="18"/>
                <w:szCs w:val="18"/>
                <w:lang w:val="el-GR"/>
              </w:rPr>
              <w:t>-17,9</w:t>
            </w:r>
          </w:p>
        </w:tc>
      </w:tr>
      <w:tr w:rsidR="00430DCB" w14:paraId="6927EFA7" w14:textId="77777777" w:rsidTr="00041DEA">
        <w:trPr>
          <w:trHeight w:val="113"/>
          <w:jc w:val="center"/>
        </w:trPr>
        <w:tc>
          <w:tcPr>
            <w:tcW w:w="1226" w:type="dxa"/>
            <w:tcBorders>
              <w:top w:val="nil"/>
              <w:left w:val="nil"/>
              <w:bottom w:val="nil"/>
              <w:right w:val="nil"/>
            </w:tcBorders>
            <w:vAlign w:val="center"/>
          </w:tcPr>
          <w:p w14:paraId="444C282D" w14:textId="77777777" w:rsidR="00430DCB" w:rsidRDefault="00430DCB" w:rsidP="00430DCB">
            <w:pPr>
              <w:jc w:val="center"/>
              <w:rPr>
                <w:rFonts w:ascii="Verdana" w:eastAsia="Times New Roman" w:hAnsi="Verdana" w:cs="Arial"/>
                <w:b/>
                <w:bCs/>
                <w:color w:val="365F91"/>
                <w:sz w:val="18"/>
                <w:szCs w:val="18"/>
              </w:rPr>
            </w:pPr>
          </w:p>
        </w:tc>
        <w:tc>
          <w:tcPr>
            <w:tcW w:w="4149" w:type="dxa"/>
            <w:tcBorders>
              <w:top w:val="nil"/>
              <w:left w:val="nil"/>
              <w:bottom w:val="nil"/>
              <w:right w:val="nil"/>
            </w:tcBorders>
            <w:vAlign w:val="center"/>
          </w:tcPr>
          <w:p w14:paraId="38AE29A1" w14:textId="77777777" w:rsidR="00430DCB" w:rsidRDefault="00430DCB" w:rsidP="00430DCB">
            <w:pPr>
              <w:rPr>
                <w:rFonts w:ascii="Verdana" w:eastAsia="Times New Roman" w:hAnsi="Verdana" w:cs="Arial"/>
                <w:b/>
                <w:bCs/>
                <w:color w:val="365F91"/>
                <w:sz w:val="18"/>
                <w:szCs w:val="18"/>
              </w:rPr>
            </w:pPr>
          </w:p>
        </w:tc>
        <w:tc>
          <w:tcPr>
            <w:tcW w:w="1360" w:type="dxa"/>
            <w:tcBorders>
              <w:top w:val="nil"/>
              <w:left w:val="nil"/>
              <w:bottom w:val="nil"/>
              <w:right w:val="nil"/>
            </w:tcBorders>
            <w:vAlign w:val="center"/>
          </w:tcPr>
          <w:p w14:paraId="0C7FD2D1" w14:textId="77777777" w:rsidR="00430DCB" w:rsidRDefault="00430DCB" w:rsidP="00430DCB">
            <w:pPr>
              <w:ind w:right="227"/>
              <w:jc w:val="right"/>
              <w:rPr>
                <w:rFonts w:ascii="Verdana" w:hAnsi="Verdana"/>
                <w:color w:val="365F91"/>
                <w:sz w:val="18"/>
                <w:szCs w:val="18"/>
              </w:rPr>
            </w:pPr>
          </w:p>
        </w:tc>
        <w:tc>
          <w:tcPr>
            <w:tcW w:w="227" w:type="dxa"/>
            <w:tcBorders>
              <w:top w:val="nil"/>
              <w:left w:val="nil"/>
              <w:bottom w:val="nil"/>
              <w:right w:val="nil"/>
            </w:tcBorders>
            <w:vAlign w:val="center"/>
          </w:tcPr>
          <w:p w14:paraId="1EC760CA" w14:textId="77777777" w:rsidR="00430DCB" w:rsidRDefault="00430DCB" w:rsidP="00430DCB">
            <w:pPr>
              <w:jc w:val="right"/>
              <w:rPr>
                <w:rFonts w:ascii="Verdana" w:eastAsia="Times New Roman" w:hAnsi="Verdana" w:cs="Arial"/>
                <w:color w:val="365F91"/>
                <w:sz w:val="18"/>
                <w:szCs w:val="18"/>
              </w:rPr>
            </w:pPr>
          </w:p>
        </w:tc>
        <w:tc>
          <w:tcPr>
            <w:tcW w:w="1285" w:type="dxa"/>
            <w:tcBorders>
              <w:top w:val="nil"/>
              <w:left w:val="nil"/>
              <w:bottom w:val="nil"/>
              <w:right w:val="nil"/>
            </w:tcBorders>
            <w:vAlign w:val="center"/>
          </w:tcPr>
          <w:p w14:paraId="61D8D616" w14:textId="77777777" w:rsidR="00430DCB" w:rsidRDefault="00430DCB" w:rsidP="00430DCB">
            <w:pPr>
              <w:ind w:right="340"/>
              <w:jc w:val="right"/>
              <w:rPr>
                <w:rFonts w:ascii="Verdana" w:hAnsi="Verdana"/>
                <w:color w:val="365F91"/>
                <w:sz w:val="18"/>
                <w:szCs w:val="18"/>
              </w:rPr>
            </w:pPr>
          </w:p>
        </w:tc>
        <w:tc>
          <w:tcPr>
            <w:tcW w:w="1676" w:type="dxa"/>
            <w:tcBorders>
              <w:top w:val="nil"/>
              <w:left w:val="nil"/>
              <w:bottom w:val="nil"/>
              <w:right w:val="nil"/>
            </w:tcBorders>
            <w:vAlign w:val="center"/>
          </w:tcPr>
          <w:p w14:paraId="5699E661" w14:textId="77777777" w:rsidR="00430DCB" w:rsidRDefault="00430DCB" w:rsidP="00430DCB">
            <w:pPr>
              <w:ind w:right="510"/>
              <w:jc w:val="right"/>
              <w:rPr>
                <w:rFonts w:ascii="Verdana" w:hAnsi="Verdana"/>
                <w:b/>
                <w:color w:val="365F91"/>
                <w:sz w:val="18"/>
                <w:szCs w:val="18"/>
              </w:rPr>
            </w:pPr>
          </w:p>
        </w:tc>
      </w:tr>
      <w:tr w:rsidR="00430DCB" w14:paraId="6B050499" w14:textId="77777777" w:rsidTr="00041DEA">
        <w:trPr>
          <w:trHeight w:val="170"/>
          <w:jc w:val="center"/>
        </w:trPr>
        <w:tc>
          <w:tcPr>
            <w:tcW w:w="1226" w:type="dxa"/>
            <w:tcBorders>
              <w:top w:val="nil"/>
              <w:left w:val="nil"/>
              <w:bottom w:val="nil"/>
              <w:right w:val="nil"/>
            </w:tcBorders>
            <w:vAlign w:val="center"/>
            <w:hideMark/>
          </w:tcPr>
          <w:p w14:paraId="3C21C065" w14:textId="77777777" w:rsidR="00430DCB" w:rsidRDefault="00430DCB" w:rsidP="00430DCB">
            <w:pPr>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Ε</w:t>
            </w:r>
          </w:p>
        </w:tc>
        <w:tc>
          <w:tcPr>
            <w:tcW w:w="4149" w:type="dxa"/>
            <w:tcBorders>
              <w:top w:val="nil"/>
              <w:left w:val="nil"/>
              <w:bottom w:val="nil"/>
              <w:right w:val="nil"/>
            </w:tcBorders>
            <w:vAlign w:val="center"/>
            <w:hideMark/>
          </w:tcPr>
          <w:p w14:paraId="75DEBDA7" w14:textId="77777777" w:rsidR="00430DCB" w:rsidRDefault="00430DCB" w:rsidP="00430DCB">
            <w:pPr>
              <w:rPr>
                <w:rFonts w:ascii="Verdana" w:eastAsia="Times New Roman" w:hAnsi="Verdana" w:cs="Arial"/>
                <w:b/>
                <w:bCs/>
                <w:color w:val="365F91"/>
                <w:sz w:val="18"/>
                <w:szCs w:val="18"/>
              </w:rPr>
            </w:pPr>
            <w:r>
              <w:rPr>
                <w:rFonts w:ascii="Verdana" w:eastAsia="Times New Roman" w:hAnsi="Verdana" w:cs="Arial"/>
                <w:b/>
                <w:bCs/>
                <w:color w:val="365F91"/>
                <w:sz w:val="18"/>
                <w:szCs w:val="18"/>
              </w:rPr>
              <w:t>WATER SUPPLY AND MATERIALS RECOVERY</w:t>
            </w:r>
          </w:p>
        </w:tc>
        <w:tc>
          <w:tcPr>
            <w:tcW w:w="1360" w:type="dxa"/>
            <w:tcBorders>
              <w:top w:val="nil"/>
              <w:left w:val="nil"/>
              <w:bottom w:val="nil"/>
              <w:right w:val="nil"/>
            </w:tcBorders>
            <w:vAlign w:val="center"/>
            <w:hideMark/>
          </w:tcPr>
          <w:p w14:paraId="7D1E9D23" w14:textId="0D14F634" w:rsidR="00430DCB" w:rsidRDefault="00430DCB" w:rsidP="00430DCB">
            <w:pPr>
              <w:ind w:right="227"/>
              <w:jc w:val="right"/>
              <w:rPr>
                <w:rFonts w:ascii="Verdana" w:eastAsia="Times New Roman" w:hAnsi="Verdana" w:cs="Arial"/>
                <w:b/>
                <w:bCs/>
                <w:color w:val="365F91"/>
                <w:sz w:val="18"/>
                <w:szCs w:val="18"/>
                <w:lang w:val="el-GR"/>
              </w:rPr>
            </w:pPr>
            <w:r>
              <w:rPr>
                <w:rFonts w:ascii="Verdana" w:eastAsia="Times New Roman" w:hAnsi="Verdana" w:cs="Arial"/>
                <w:b/>
                <w:bCs/>
                <w:color w:val="365F91"/>
                <w:sz w:val="18"/>
                <w:szCs w:val="18"/>
                <w:lang w:val="el-GR"/>
              </w:rPr>
              <w:t>129,9</w:t>
            </w:r>
          </w:p>
        </w:tc>
        <w:tc>
          <w:tcPr>
            <w:tcW w:w="227" w:type="dxa"/>
            <w:tcBorders>
              <w:top w:val="nil"/>
              <w:left w:val="nil"/>
              <w:bottom w:val="nil"/>
              <w:right w:val="nil"/>
            </w:tcBorders>
            <w:vAlign w:val="center"/>
          </w:tcPr>
          <w:p w14:paraId="1A7F3018" w14:textId="77777777" w:rsidR="00430DCB" w:rsidRDefault="00430DCB" w:rsidP="00430DCB">
            <w:pPr>
              <w:jc w:val="right"/>
              <w:rPr>
                <w:rFonts w:ascii="Verdana" w:eastAsia="Times New Roman" w:hAnsi="Verdana" w:cs="Arial"/>
                <w:b/>
                <w:bCs/>
                <w:color w:val="365F91"/>
                <w:sz w:val="18"/>
                <w:szCs w:val="18"/>
              </w:rPr>
            </w:pPr>
          </w:p>
        </w:tc>
        <w:tc>
          <w:tcPr>
            <w:tcW w:w="1285" w:type="dxa"/>
            <w:tcBorders>
              <w:top w:val="nil"/>
              <w:left w:val="nil"/>
              <w:bottom w:val="nil"/>
              <w:right w:val="nil"/>
            </w:tcBorders>
            <w:vAlign w:val="center"/>
            <w:hideMark/>
          </w:tcPr>
          <w:p w14:paraId="1C64BD3F" w14:textId="43798929" w:rsidR="00430DCB" w:rsidRDefault="00430DCB" w:rsidP="00430DCB">
            <w:pPr>
              <w:ind w:right="340"/>
              <w:jc w:val="right"/>
              <w:rPr>
                <w:rFonts w:ascii="Verdana" w:hAnsi="Verdana"/>
                <w:b/>
                <w:color w:val="365F91"/>
                <w:sz w:val="18"/>
                <w:szCs w:val="18"/>
                <w:lang w:val="el-GR"/>
              </w:rPr>
            </w:pPr>
            <w:r>
              <w:rPr>
                <w:rFonts w:ascii="Verdana" w:hAnsi="Verdana"/>
                <w:b/>
                <w:color w:val="365F91"/>
                <w:sz w:val="18"/>
                <w:szCs w:val="18"/>
                <w:lang w:val="el-GR"/>
              </w:rPr>
              <w:t>6,7</w:t>
            </w:r>
          </w:p>
        </w:tc>
        <w:tc>
          <w:tcPr>
            <w:tcW w:w="1676" w:type="dxa"/>
            <w:tcBorders>
              <w:top w:val="nil"/>
              <w:left w:val="nil"/>
              <w:bottom w:val="nil"/>
              <w:right w:val="nil"/>
            </w:tcBorders>
            <w:vAlign w:val="center"/>
            <w:hideMark/>
          </w:tcPr>
          <w:p w14:paraId="5FBCDA06" w14:textId="2CB127DA" w:rsidR="00430DCB" w:rsidRDefault="00430DCB" w:rsidP="00430DCB">
            <w:pPr>
              <w:ind w:right="510"/>
              <w:jc w:val="right"/>
              <w:rPr>
                <w:rFonts w:ascii="Verdana" w:hAnsi="Verdana"/>
                <w:b/>
                <w:color w:val="365F91"/>
                <w:sz w:val="18"/>
                <w:szCs w:val="18"/>
                <w:lang w:val="el-GR"/>
              </w:rPr>
            </w:pPr>
            <w:r>
              <w:rPr>
                <w:rFonts w:ascii="Verdana" w:hAnsi="Verdana"/>
                <w:b/>
                <w:color w:val="365F91"/>
                <w:sz w:val="18"/>
                <w:szCs w:val="18"/>
                <w:lang w:val="el-GR"/>
              </w:rPr>
              <w:t>14,4</w:t>
            </w:r>
          </w:p>
        </w:tc>
      </w:tr>
      <w:tr w:rsidR="00430DCB" w14:paraId="7DF4A85D" w14:textId="77777777" w:rsidTr="00041DEA">
        <w:trPr>
          <w:trHeight w:val="113"/>
          <w:jc w:val="center"/>
        </w:trPr>
        <w:tc>
          <w:tcPr>
            <w:tcW w:w="1226" w:type="dxa"/>
            <w:tcBorders>
              <w:top w:val="nil"/>
              <w:left w:val="nil"/>
              <w:bottom w:val="nil"/>
              <w:right w:val="nil"/>
            </w:tcBorders>
            <w:vAlign w:val="center"/>
          </w:tcPr>
          <w:p w14:paraId="3A8E5B6B" w14:textId="77777777" w:rsidR="00430DCB" w:rsidRDefault="00430DCB" w:rsidP="00430DCB">
            <w:pPr>
              <w:jc w:val="center"/>
              <w:rPr>
                <w:rFonts w:ascii="Verdana" w:eastAsia="Times New Roman" w:hAnsi="Verdana" w:cs="Arial"/>
                <w:b/>
                <w:bCs/>
                <w:color w:val="365F91"/>
                <w:sz w:val="18"/>
                <w:szCs w:val="18"/>
              </w:rPr>
            </w:pPr>
          </w:p>
        </w:tc>
        <w:tc>
          <w:tcPr>
            <w:tcW w:w="4149" w:type="dxa"/>
            <w:tcBorders>
              <w:top w:val="nil"/>
              <w:left w:val="nil"/>
              <w:bottom w:val="nil"/>
              <w:right w:val="nil"/>
            </w:tcBorders>
            <w:vAlign w:val="center"/>
          </w:tcPr>
          <w:p w14:paraId="0255D8D7" w14:textId="77777777" w:rsidR="00430DCB" w:rsidRDefault="00430DCB" w:rsidP="00430DCB">
            <w:pPr>
              <w:rPr>
                <w:rFonts w:ascii="Verdana" w:eastAsia="Times New Roman" w:hAnsi="Verdana" w:cs="Arial"/>
                <w:b/>
                <w:bCs/>
                <w:color w:val="365F91"/>
                <w:sz w:val="18"/>
                <w:szCs w:val="18"/>
              </w:rPr>
            </w:pPr>
          </w:p>
        </w:tc>
        <w:tc>
          <w:tcPr>
            <w:tcW w:w="1360" w:type="dxa"/>
            <w:tcBorders>
              <w:top w:val="nil"/>
              <w:left w:val="nil"/>
              <w:bottom w:val="nil"/>
              <w:right w:val="nil"/>
            </w:tcBorders>
            <w:vAlign w:val="center"/>
          </w:tcPr>
          <w:p w14:paraId="326C4FBA" w14:textId="77777777" w:rsidR="00430DCB" w:rsidRDefault="00430DCB" w:rsidP="00430DCB">
            <w:pPr>
              <w:ind w:right="227"/>
              <w:jc w:val="right"/>
              <w:rPr>
                <w:rFonts w:ascii="Verdana" w:hAnsi="Verdana"/>
                <w:color w:val="365F91"/>
                <w:sz w:val="18"/>
                <w:szCs w:val="18"/>
              </w:rPr>
            </w:pPr>
          </w:p>
        </w:tc>
        <w:tc>
          <w:tcPr>
            <w:tcW w:w="227" w:type="dxa"/>
            <w:tcBorders>
              <w:top w:val="nil"/>
              <w:left w:val="nil"/>
              <w:bottom w:val="nil"/>
              <w:right w:val="nil"/>
            </w:tcBorders>
            <w:vAlign w:val="center"/>
          </w:tcPr>
          <w:p w14:paraId="003B5F14" w14:textId="77777777" w:rsidR="00430DCB" w:rsidRDefault="00430DCB" w:rsidP="00430DCB">
            <w:pPr>
              <w:jc w:val="right"/>
              <w:rPr>
                <w:rFonts w:ascii="Verdana" w:eastAsia="Times New Roman" w:hAnsi="Verdana" w:cs="Arial"/>
                <w:color w:val="365F91"/>
                <w:sz w:val="18"/>
                <w:szCs w:val="18"/>
              </w:rPr>
            </w:pPr>
          </w:p>
        </w:tc>
        <w:tc>
          <w:tcPr>
            <w:tcW w:w="1285" w:type="dxa"/>
            <w:tcBorders>
              <w:top w:val="nil"/>
              <w:left w:val="nil"/>
              <w:bottom w:val="nil"/>
              <w:right w:val="nil"/>
            </w:tcBorders>
            <w:vAlign w:val="center"/>
          </w:tcPr>
          <w:p w14:paraId="00BB37D8" w14:textId="77777777" w:rsidR="00430DCB" w:rsidRDefault="00430DCB" w:rsidP="00430DCB">
            <w:pPr>
              <w:ind w:right="340"/>
              <w:jc w:val="right"/>
              <w:rPr>
                <w:rFonts w:ascii="Verdana" w:hAnsi="Verdana"/>
                <w:b/>
                <w:color w:val="365F91"/>
                <w:sz w:val="18"/>
                <w:szCs w:val="18"/>
              </w:rPr>
            </w:pPr>
          </w:p>
        </w:tc>
        <w:tc>
          <w:tcPr>
            <w:tcW w:w="1676" w:type="dxa"/>
            <w:tcBorders>
              <w:top w:val="nil"/>
              <w:left w:val="nil"/>
              <w:bottom w:val="nil"/>
              <w:right w:val="nil"/>
            </w:tcBorders>
            <w:vAlign w:val="center"/>
          </w:tcPr>
          <w:p w14:paraId="295A0814" w14:textId="77777777" w:rsidR="00430DCB" w:rsidRDefault="00430DCB" w:rsidP="00430DCB">
            <w:pPr>
              <w:ind w:right="510"/>
              <w:jc w:val="right"/>
              <w:rPr>
                <w:rFonts w:ascii="Verdana" w:hAnsi="Verdana"/>
                <w:b/>
                <w:color w:val="365F91"/>
                <w:sz w:val="18"/>
                <w:szCs w:val="18"/>
              </w:rPr>
            </w:pPr>
          </w:p>
        </w:tc>
      </w:tr>
      <w:tr w:rsidR="00430DCB" w14:paraId="44136C46" w14:textId="77777777" w:rsidTr="00041DEA">
        <w:trPr>
          <w:trHeight w:val="284"/>
          <w:jc w:val="center"/>
        </w:trPr>
        <w:tc>
          <w:tcPr>
            <w:tcW w:w="1226" w:type="dxa"/>
            <w:tcBorders>
              <w:top w:val="nil"/>
              <w:left w:val="nil"/>
              <w:bottom w:val="nil"/>
              <w:right w:val="nil"/>
            </w:tcBorders>
            <w:vAlign w:val="center"/>
            <w:hideMark/>
          </w:tcPr>
          <w:p w14:paraId="2DEBE6AE" w14:textId="77777777" w:rsidR="00430DCB" w:rsidRDefault="00430DCB" w:rsidP="00430DCB">
            <w:pPr>
              <w:jc w:val="center"/>
              <w:rPr>
                <w:rFonts w:ascii="Verdana" w:eastAsia="Times New Roman" w:hAnsi="Verdana" w:cs="Arial"/>
                <w:color w:val="365F91"/>
                <w:sz w:val="18"/>
                <w:szCs w:val="18"/>
              </w:rPr>
            </w:pPr>
            <w:r>
              <w:rPr>
                <w:rFonts w:ascii="Verdana" w:eastAsia="Times New Roman" w:hAnsi="Verdana" w:cs="Arial"/>
                <w:color w:val="365F91"/>
                <w:sz w:val="18"/>
                <w:szCs w:val="18"/>
              </w:rPr>
              <w:t>36</w:t>
            </w:r>
          </w:p>
        </w:tc>
        <w:tc>
          <w:tcPr>
            <w:tcW w:w="4149" w:type="dxa"/>
            <w:tcBorders>
              <w:top w:val="nil"/>
              <w:left w:val="nil"/>
              <w:bottom w:val="nil"/>
              <w:right w:val="nil"/>
            </w:tcBorders>
            <w:vAlign w:val="center"/>
            <w:hideMark/>
          </w:tcPr>
          <w:p w14:paraId="4DFD7475" w14:textId="77777777" w:rsidR="00430DCB" w:rsidRDefault="00430DCB" w:rsidP="00430DCB">
            <w:pPr>
              <w:rPr>
                <w:rFonts w:ascii="Verdana" w:eastAsia="Times New Roman" w:hAnsi="Verdana" w:cs="Arial"/>
                <w:color w:val="365F91"/>
                <w:sz w:val="18"/>
                <w:szCs w:val="18"/>
              </w:rPr>
            </w:pPr>
            <w:r>
              <w:rPr>
                <w:rFonts w:ascii="Verdana" w:eastAsia="Times New Roman" w:hAnsi="Verdana" w:cs="Arial"/>
                <w:color w:val="365F91"/>
                <w:sz w:val="18"/>
                <w:szCs w:val="18"/>
              </w:rPr>
              <w:t>Water Collection, Treatment and Supply</w:t>
            </w:r>
          </w:p>
        </w:tc>
        <w:tc>
          <w:tcPr>
            <w:tcW w:w="1360" w:type="dxa"/>
            <w:tcBorders>
              <w:top w:val="nil"/>
              <w:left w:val="nil"/>
              <w:bottom w:val="nil"/>
              <w:right w:val="nil"/>
            </w:tcBorders>
            <w:vAlign w:val="center"/>
            <w:hideMark/>
          </w:tcPr>
          <w:p w14:paraId="0F697EC7" w14:textId="345530AB" w:rsidR="00430DCB" w:rsidRDefault="00430DCB" w:rsidP="00430DCB">
            <w:pPr>
              <w:ind w:right="227"/>
              <w:jc w:val="right"/>
              <w:rPr>
                <w:rFonts w:ascii="Verdana" w:hAnsi="Verdana"/>
                <w:color w:val="365F91"/>
                <w:sz w:val="18"/>
                <w:szCs w:val="18"/>
                <w:lang w:val="el-GR"/>
              </w:rPr>
            </w:pPr>
            <w:r>
              <w:rPr>
                <w:rFonts w:ascii="Verdana" w:hAnsi="Verdana"/>
                <w:color w:val="365F91"/>
                <w:sz w:val="18"/>
                <w:szCs w:val="18"/>
                <w:lang w:val="el-GR"/>
              </w:rPr>
              <w:t>153,0</w:t>
            </w:r>
          </w:p>
        </w:tc>
        <w:tc>
          <w:tcPr>
            <w:tcW w:w="227" w:type="dxa"/>
            <w:tcBorders>
              <w:top w:val="nil"/>
              <w:left w:val="nil"/>
              <w:bottom w:val="nil"/>
              <w:right w:val="nil"/>
            </w:tcBorders>
            <w:vAlign w:val="center"/>
          </w:tcPr>
          <w:p w14:paraId="5D315CB3" w14:textId="77777777" w:rsidR="00430DCB" w:rsidRDefault="00430DCB" w:rsidP="00430DCB">
            <w:pPr>
              <w:jc w:val="right"/>
              <w:rPr>
                <w:rFonts w:ascii="Verdana" w:hAnsi="Verdana"/>
                <w:color w:val="365F91"/>
                <w:sz w:val="18"/>
                <w:szCs w:val="18"/>
                <w:lang w:val="el-GR"/>
              </w:rPr>
            </w:pPr>
          </w:p>
        </w:tc>
        <w:tc>
          <w:tcPr>
            <w:tcW w:w="1285" w:type="dxa"/>
            <w:tcBorders>
              <w:top w:val="nil"/>
              <w:left w:val="nil"/>
              <w:bottom w:val="nil"/>
              <w:right w:val="nil"/>
            </w:tcBorders>
            <w:vAlign w:val="center"/>
            <w:hideMark/>
          </w:tcPr>
          <w:p w14:paraId="49BE3903" w14:textId="79A811B5" w:rsidR="00430DCB" w:rsidRDefault="00430DCB" w:rsidP="00430DCB">
            <w:pPr>
              <w:ind w:right="340"/>
              <w:jc w:val="right"/>
              <w:rPr>
                <w:rFonts w:ascii="Verdana" w:hAnsi="Verdana"/>
                <w:color w:val="365F91"/>
                <w:sz w:val="18"/>
                <w:szCs w:val="18"/>
              </w:rPr>
            </w:pPr>
            <w:r>
              <w:rPr>
                <w:rFonts w:ascii="Verdana" w:hAnsi="Verdana"/>
                <w:color w:val="365F91"/>
                <w:sz w:val="18"/>
                <w:szCs w:val="18"/>
                <w:lang w:val="el-GR"/>
              </w:rPr>
              <w:t>24,4</w:t>
            </w:r>
          </w:p>
        </w:tc>
        <w:tc>
          <w:tcPr>
            <w:tcW w:w="1676" w:type="dxa"/>
            <w:tcBorders>
              <w:top w:val="nil"/>
              <w:left w:val="nil"/>
              <w:bottom w:val="nil"/>
              <w:right w:val="nil"/>
            </w:tcBorders>
            <w:vAlign w:val="center"/>
            <w:hideMark/>
          </w:tcPr>
          <w:p w14:paraId="219DF6D7" w14:textId="3631A121" w:rsidR="00430DCB" w:rsidRDefault="00430DCB" w:rsidP="00430DCB">
            <w:pPr>
              <w:ind w:right="510"/>
              <w:jc w:val="right"/>
              <w:rPr>
                <w:rFonts w:ascii="Verdana" w:hAnsi="Verdana"/>
                <w:color w:val="365F91"/>
                <w:sz w:val="18"/>
                <w:szCs w:val="18"/>
                <w:lang w:val="el-GR"/>
              </w:rPr>
            </w:pPr>
            <w:r>
              <w:rPr>
                <w:rFonts w:ascii="Verdana" w:hAnsi="Verdana"/>
                <w:color w:val="365F91"/>
                <w:sz w:val="18"/>
                <w:szCs w:val="18"/>
                <w:lang w:val="el-GR"/>
              </w:rPr>
              <w:t>35,3</w:t>
            </w:r>
          </w:p>
        </w:tc>
      </w:tr>
      <w:tr w:rsidR="00430DCB" w14:paraId="4C13F106" w14:textId="77777777" w:rsidTr="00041DEA">
        <w:trPr>
          <w:trHeight w:val="397"/>
          <w:jc w:val="center"/>
        </w:trPr>
        <w:tc>
          <w:tcPr>
            <w:tcW w:w="1226" w:type="dxa"/>
            <w:tcBorders>
              <w:top w:val="nil"/>
              <w:left w:val="nil"/>
              <w:bottom w:val="nil"/>
              <w:right w:val="nil"/>
            </w:tcBorders>
            <w:vAlign w:val="center"/>
            <w:hideMark/>
          </w:tcPr>
          <w:p w14:paraId="382D8EEC" w14:textId="77777777" w:rsidR="00430DCB" w:rsidRDefault="00430DCB" w:rsidP="00430DCB">
            <w:pPr>
              <w:jc w:val="center"/>
              <w:rPr>
                <w:rFonts w:ascii="Verdana" w:eastAsia="Times New Roman" w:hAnsi="Verdana" w:cs="Arial"/>
                <w:color w:val="365F91"/>
                <w:sz w:val="18"/>
                <w:szCs w:val="18"/>
              </w:rPr>
            </w:pPr>
            <w:r>
              <w:rPr>
                <w:rFonts w:ascii="Verdana" w:eastAsia="Times New Roman" w:hAnsi="Verdana" w:cs="Arial"/>
                <w:color w:val="365F91"/>
                <w:sz w:val="18"/>
                <w:szCs w:val="18"/>
              </w:rPr>
              <w:t>38.3</w:t>
            </w:r>
          </w:p>
        </w:tc>
        <w:tc>
          <w:tcPr>
            <w:tcW w:w="4149" w:type="dxa"/>
            <w:tcBorders>
              <w:top w:val="nil"/>
              <w:left w:val="nil"/>
              <w:bottom w:val="nil"/>
              <w:right w:val="nil"/>
            </w:tcBorders>
            <w:vAlign w:val="center"/>
            <w:hideMark/>
          </w:tcPr>
          <w:p w14:paraId="46D0D73D" w14:textId="77777777" w:rsidR="00430DCB" w:rsidRDefault="00430DCB" w:rsidP="00430DCB">
            <w:pPr>
              <w:rPr>
                <w:rFonts w:ascii="Verdana" w:eastAsia="Times New Roman" w:hAnsi="Verdana" w:cs="Arial"/>
                <w:color w:val="365F91"/>
                <w:sz w:val="18"/>
                <w:szCs w:val="18"/>
              </w:rPr>
            </w:pPr>
            <w:r>
              <w:rPr>
                <w:rFonts w:ascii="Verdana" w:eastAsia="Times New Roman" w:hAnsi="Verdana" w:cs="Arial"/>
                <w:color w:val="365F91"/>
                <w:sz w:val="18"/>
                <w:szCs w:val="18"/>
              </w:rPr>
              <w:t>Materials Recovery</w:t>
            </w:r>
          </w:p>
        </w:tc>
        <w:tc>
          <w:tcPr>
            <w:tcW w:w="1360" w:type="dxa"/>
            <w:tcBorders>
              <w:top w:val="nil"/>
              <w:left w:val="nil"/>
              <w:bottom w:val="nil"/>
              <w:right w:val="nil"/>
            </w:tcBorders>
            <w:vAlign w:val="center"/>
            <w:hideMark/>
          </w:tcPr>
          <w:p w14:paraId="54DE2164" w14:textId="658853F4" w:rsidR="00430DCB" w:rsidRDefault="00430DCB" w:rsidP="00430DCB">
            <w:pPr>
              <w:ind w:right="227"/>
              <w:jc w:val="right"/>
              <w:rPr>
                <w:rFonts w:ascii="Verdana" w:hAnsi="Verdana"/>
                <w:color w:val="365F91"/>
                <w:sz w:val="18"/>
                <w:szCs w:val="18"/>
                <w:lang w:val="el-GR"/>
              </w:rPr>
            </w:pPr>
            <w:r>
              <w:rPr>
                <w:rFonts w:ascii="Verdana" w:hAnsi="Verdana"/>
                <w:color w:val="365F91"/>
                <w:sz w:val="18"/>
                <w:szCs w:val="18"/>
                <w:lang w:val="el-GR"/>
              </w:rPr>
              <w:t>103,6</w:t>
            </w:r>
          </w:p>
        </w:tc>
        <w:tc>
          <w:tcPr>
            <w:tcW w:w="227" w:type="dxa"/>
            <w:tcBorders>
              <w:top w:val="nil"/>
              <w:left w:val="nil"/>
              <w:bottom w:val="nil"/>
              <w:right w:val="nil"/>
            </w:tcBorders>
            <w:vAlign w:val="center"/>
          </w:tcPr>
          <w:p w14:paraId="68B3D82F" w14:textId="77777777" w:rsidR="00430DCB" w:rsidRDefault="00430DCB" w:rsidP="00430DCB">
            <w:pPr>
              <w:jc w:val="right"/>
              <w:rPr>
                <w:rFonts w:ascii="Verdana" w:hAnsi="Verdana"/>
                <w:color w:val="365F91"/>
                <w:sz w:val="18"/>
                <w:szCs w:val="18"/>
                <w:lang w:val="el-GR"/>
              </w:rPr>
            </w:pPr>
          </w:p>
        </w:tc>
        <w:tc>
          <w:tcPr>
            <w:tcW w:w="1285" w:type="dxa"/>
            <w:tcBorders>
              <w:top w:val="nil"/>
              <w:left w:val="nil"/>
              <w:bottom w:val="nil"/>
              <w:right w:val="nil"/>
            </w:tcBorders>
            <w:vAlign w:val="center"/>
            <w:hideMark/>
          </w:tcPr>
          <w:p w14:paraId="567981A1" w14:textId="1C894893" w:rsidR="00430DCB" w:rsidRDefault="00430DCB" w:rsidP="00430DCB">
            <w:pPr>
              <w:ind w:right="340"/>
              <w:jc w:val="right"/>
              <w:rPr>
                <w:rFonts w:ascii="Verdana" w:hAnsi="Verdana"/>
                <w:color w:val="365F91"/>
                <w:sz w:val="18"/>
                <w:szCs w:val="18"/>
              </w:rPr>
            </w:pPr>
            <w:r>
              <w:rPr>
                <w:rFonts w:ascii="Verdana" w:hAnsi="Verdana"/>
                <w:color w:val="365F91"/>
                <w:sz w:val="18"/>
                <w:szCs w:val="18"/>
                <w:lang w:val="el-GR"/>
              </w:rPr>
              <w:t>-13,8</w:t>
            </w:r>
          </w:p>
        </w:tc>
        <w:tc>
          <w:tcPr>
            <w:tcW w:w="1676" w:type="dxa"/>
            <w:tcBorders>
              <w:top w:val="nil"/>
              <w:left w:val="nil"/>
              <w:bottom w:val="nil"/>
              <w:right w:val="nil"/>
            </w:tcBorders>
            <w:vAlign w:val="center"/>
            <w:hideMark/>
          </w:tcPr>
          <w:p w14:paraId="0E6ECF50" w14:textId="186DC282" w:rsidR="00430DCB" w:rsidRDefault="00430DCB" w:rsidP="00430DCB">
            <w:pPr>
              <w:ind w:right="510"/>
              <w:jc w:val="right"/>
              <w:rPr>
                <w:rFonts w:ascii="Verdana" w:hAnsi="Verdana"/>
                <w:color w:val="365F91"/>
                <w:sz w:val="18"/>
                <w:szCs w:val="18"/>
              </w:rPr>
            </w:pPr>
            <w:r>
              <w:rPr>
                <w:rFonts w:ascii="Verdana" w:hAnsi="Verdana"/>
                <w:color w:val="365F91"/>
                <w:sz w:val="18"/>
                <w:szCs w:val="18"/>
                <w:lang w:val="el-GR"/>
              </w:rPr>
              <w:t>-7,4</w:t>
            </w:r>
          </w:p>
        </w:tc>
      </w:tr>
      <w:tr w:rsidR="00430DCB" w14:paraId="60CF03E2" w14:textId="77777777" w:rsidTr="00041DEA">
        <w:trPr>
          <w:trHeight w:val="284"/>
          <w:jc w:val="center"/>
        </w:trPr>
        <w:tc>
          <w:tcPr>
            <w:tcW w:w="1226" w:type="dxa"/>
            <w:tcBorders>
              <w:top w:val="nil"/>
              <w:left w:val="nil"/>
              <w:bottom w:val="single" w:sz="4" w:space="0" w:color="2F5496"/>
              <w:right w:val="nil"/>
            </w:tcBorders>
            <w:vAlign w:val="center"/>
          </w:tcPr>
          <w:p w14:paraId="34125F87" w14:textId="77777777" w:rsidR="00430DCB" w:rsidRDefault="00430DCB" w:rsidP="00430DCB">
            <w:pPr>
              <w:spacing w:line="276" w:lineRule="auto"/>
              <w:jc w:val="center"/>
              <w:rPr>
                <w:rFonts w:ascii="Verdana" w:eastAsia="Times New Roman" w:hAnsi="Verdana" w:cs="Arial"/>
                <w:b/>
                <w:bCs/>
                <w:color w:val="365F91"/>
                <w:sz w:val="18"/>
                <w:szCs w:val="18"/>
              </w:rPr>
            </w:pPr>
          </w:p>
        </w:tc>
        <w:tc>
          <w:tcPr>
            <w:tcW w:w="4149" w:type="dxa"/>
            <w:tcBorders>
              <w:top w:val="nil"/>
              <w:left w:val="nil"/>
              <w:bottom w:val="single" w:sz="4" w:space="0" w:color="2F5496"/>
              <w:right w:val="nil"/>
            </w:tcBorders>
            <w:vAlign w:val="center"/>
          </w:tcPr>
          <w:p w14:paraId="3FE78A8C" w14:textId="77777777" w:rsidR="00430DCB" w:rsidRDefault="00430DCB" w:rsidP="00430DCB">
            <w:pPr>
              <w:spacing w:line="276" w:lineRule="auto"/>
              <w:rPr>
                <w:rFonts w:ascii="Verdana" w:eastAsia="Times New Roman" w:hAnsi="Verdana" w:cs="Arial"/>
                <w:b/>
                <w:bCs/>
                <w:color w:val="365F91"/>
                <w:sz w:val="18"/>
                <w:szCs w:val="18"/>
              </w:rPr>
            </w:pPr>
          </w:p>
        </w:tc>
        <w:tc>
          <w:tcPr>
            <w:tcW w:w="1360" w:type="dxa"/>
            <w:tcBorders>
              <w:top w:val="nil"/>
              <w:left w:val="nil"/>
              <w:bottom w:val="single" w:sz="4" w:space="0" w:color="2F5496"/>
              <w:right w:val="nil"/>
            </w:tcBorders>
            <w:vAlign w:val="center"/>
          </w:tcPr>
          <w:p w14:paraId="30BAE1CB" w14:textId="77777777" w:rsidR="00430DCB" w:rsidRDefault="00430DCB" w:rsidP="00430DCB">
            <w:pPr>
              <w:ind w:right="227"/>
              <w:jc w:val="right"/>
              <w:rPr>
                <w:rFonts w:ascii="Verdana" w:hAnsi="Verdana"/>
                <w:b/>
                <w:color w:val="365F91"/>
                <w:sz w:val="18"/>
                <w:szCs w:val="18"/>
              </w:rPr>
            </w:pPr>
          </w:p>
        </w:tc>
        <w:tc>
          <w:tcPr>
            <w:tcW w:w="227" w:type="dxa"/>
            <w:tcBorders>
              <w:top w:val="nil"/>
              <w:left w:val="nil"/>
              <w:bottom w:val="single" w:sz="4" w:space="0" w:color="2F5496"/>
              <w:right w:val="nil"/>
            </w:tcBorders>
            <w:vAlign w:val="center"/>
          </w:tcPr>
          <w:p w14:paraId="0C7506C9" w14:textId="77777777" w:rsidR="00430DCB" w:rsidRDefault="00430DCB" w:rsidP="00430DCB">
            <w:pPr>
              <w:spacing w:line="276" w:lineRule="auto"/>
              <w:jc w:val="right"/>
              <w:rPr>
                <w:rFonts w:ascii="Verdana" w:eastAsia="Times New Roman" w:hAnsi="Verdana" w:cs="Arial"/>
                <w:b/>
                <w:bCs/>
                <w:color w:val="365F91"/>
                <w:sz w:val="18"/>
                <w:szCs w:val="18"/>
                <w:lang w:val="el-GR"/>
              </w:rPr>
            </w:pPr>
          </w:p>
        </w:tc>
        <w:tc>
          <w:tcPr>
            <w:tcW w:w="1285" w:type="dxa"/>
            <w:tcBorders>
              <w:top w:val="nil"/>
              <w:left w:val="nil"/>
              <w:bottom w:val="single" w:sz="4" w:space="0" w:color="2F5496"/>
              <w:right w:val="nil"/>
            </w:tcBorders>
            <w:vAlign w:val="center"/>
          </w:tcPr>
          <w:p w14:paraId="0091FEED" w14:textId="77777777" w:rsidR="00430DCB" w:rsidRDefault="00430DCB" w:rsidP="00430DCB">
            <w:pPr>
              <w:ind w:right="340"/>
              <w:jc w:val="right"/>
              <w:rPr>
                <w:rFonts w:ascii="Verdana" w:hAnsi="Verdana"/>
                <w:b/>
                <w:color w:val="365F91"/>
                <w:sz w:val="18"/>
                <w:szCs w:val="18"/>
              </w:rPr>
            </w:pPr>
          </w:p>
        </w:tc>
        <w:tc>
          <w:tcPr>
            <w:tcW w:w="1676" w:type="dxa"/>
            <w:tcBorders>
              <w:top w:val="nil"/>
              <w:left w:val="nil"/>
              <w:bottom w:val="single" w:sz="4" w:space="0" w:color="2F5496"/>
              <w:right w:val="nil"/>
            </w:tcBorders>
            <w:vAlign w:val="center"/>
          </w:tcPr>
          <w:p w14:paraId="7BED7C85" w14:textId="77777777" w:rsidR="00430DCB" w:rsidRDefault="00430DCB" w:rsidP="00430DCB">
            <w:pPr>
              <w:ind w:right="510"/>
              <w:jc w:val="right"/>
              <w:rPr>
                <w:rFonts w:ascii="Verdana" w:hAnsi="Verdana"/>
                <w:b/>
                <w:color w:val="365F91"/>
                <w:sz w:val="18"/>
                <w:szCs w:val="18"/>
              </w:rPr>
            </w:pPr>
          </w:p>
        </w:tc>
      </w:tr>
      <w:tr w:rsidR="00430DCB" w14:paraId="43CF3D30" w14:textId="77777777" w:rsidTr="00041DEA">
        <w:trPr>
          <w:trHeight w:val="284"/>
          <w:jc w:val="center"/>
        </w:trPr>
        <w:tc>
          <w:tcPr>
            <w:tcW w:w="1226" w:type="dxa"/>
            <w:tcBorders>
              <w:top w:val="single" w:sz="4" w:space="0" w:color="2F5496"/>
              <w:left w:val="nil"/>
              <w:bottom w:val="nil"/>
              <w:right w:val="nil"/>
            </w:tcBorders>
            <w:vAlign w:val="center"/>
            <w:hideMark/>
          </w:tcPr>
          <w:p w14:paraId="00D4ED5E" w14:textId="77777777" w:rsidR="00430DCB" w:rsidRDefault="00430DCB" w:rsidP="00430DCB">
            <w:pPr>
              <w:spacing w:line="276" w:lineRule="auto"/>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B+C+D+E</w:t>
            </w:r>
          </w:p>
        </w:tc>
        <w:tc>
          <w:tcPr>
            <w:tcW w:w="4149" w:type="dxa"/>
            <w:tcBorders>
              <w:top w:val="single" w:sz="4" w:space="0" w:color="2F5496"/>
              <w:left w:val="nil"/>
              <w:bottom w:val="nil"/>
              <w:right w:val="nil"/>
            </w:tcBorders>
            <w:vAlign w:val="center"/>
            <w:hideMark/>
          </w:tcPr>
          <w:p w14:paraId="03A2D0B8" w14:textId="77777777" w:rsidR="00430DCB" w:rsidRDefault="00430DCB" w:rsidP="00430DCB">
            <w:pPr>
              <w:spacing w:line="276" w:lineRule="auto"/>
              <w:rPr>
                <w:rFonts w:ascii="Verdana" w:eastAsia="Times New Roman" w:hAnsi="Verdana" w:cs="Arial"/>
                <w:b/>
                <w:bCs/>
                <w:color w:val="365F91"/>
                <w:sz w:val="18"/>
                <w:szCs w:val="18"/>
              </w:rPr>
            </w:pPr>
            <w:r>
              <w:rPr>
                <w:rFonts w:ascii="Verdana" w:eastAsia="Times New Roman" w:hAnsi="Verdana" w:cs="Arial"/>
                <w:b/>
                <w:bCs/>
                <w:color w:val="365F91"/>
                <w:sz w:val="18"/>
                <w:szCs w:val="18"/>
              </w:rPr>
              <w:t>GENERAL INDEX</w:t>
            </w:r>
          </w:p>
        </w:tc>
        <w:tc>
          <w:tcPr>
            <w:tcW w:w="1360" w:type="dxa"/>
            <w:tcBorders>
              <w:top w:val="single" w:sz="4" w:space="0" w:color="2F5496"/>
              <w:left w:val="nil"/>
              <w:bottom w:val="nil"/>
              <w:right w:val="nil"/>
            </w:tcBorders>
            <w:vAlign w:val="center"/>
            <w:hideMark/>
          </w:tcPr>
          <w:p w14:paraId="182DE4B6" w14:textId="326FA36A" w:rsidR="00430DCB" w:rsidRDefault="00430DCB" w:rsidP="00430DCB">
            <w:pPr>
              <w:ind w:right="227"/>
              <w:jc w:val="right"/>
              <w:rPr>
                <w:rFonts w:ascii="Verdana" w:hAnsi="Verdana"/>
                <w:b/>
                <w:color w:val="365F91"/>
                <w:sz w:val="18"/>
                <w:szCs w:val="18"/>
              </w:rPr>
            </w:pPr>
            <w:r>
              <w:rPr>
                <w:rFonts w:ascii="Verdana" w:hAnsi="Verdana"/>
                <w:b/>
                <w:color w:val="365F91"/>
                <w:sz w:val="18"/>
                <w:szCs w:val="18"/>
                <w:lang w:val="el-GR"/>
              </w:rPr>
              <w:t>132,0</w:t>
            </w:r>
          </w:p>
        </w:tc>
        <w:tc>
          <w:tcPr>
            <w:tcW w:w="227" w:type="dxa"/>
            <w:tcBorders>
              <w:top w:val="single" w:sz="4" w:space="0" w:color="2F5496"/>
              <w:left w:val="nil"/>
              <w:bottom w:val="nil"/>
              <w:right w:val="nil"/>
            </w:tcBorders>
            <w:vAlign w:val="center"/>
          </w:tcPr>
          <w:p w14:paraId="33ABCC21" w14:textId="77777777" w:rsidR="00430DCB" w:rsidRDefault="00430DCB" w:rsidP="00430DCB">
            <w:pPr>
              <w:spacing w:line="276" w:lineRule="auto"/>
              <w:jc w:val="right"/>
              <w:rPr>
                <w:rFonts w:ascii="Verdana" w:eastAsia="Times New Roman" w:hAnsi="Verdana" w:cs="Arial"/>
                <w:b/>
                <w:bCs/>
                <w:color w:val="365F91"/>
                <w:sz w:val="18"/>
                <w:szCs w:val="18"/>
                <w:lang w:val="el-GR"/>
              </w:rPr>
            </w:pPr>
          </w:p>
        </w:tc>
        <w:tc>
          <w:tcPr>
            <w:tcW w:w="1285" w:type="dxa"/>
            <w:tcBorders>
              <w:top w:val="single" w:sz="4" w:space="0" w:color="2F5496"/>
              <w:left w:val="nil"/>
              <w:bottom w:val="nil"/>
              <w:right w:val="nil"/>
            </w:tcBorders>
            <w:vAlign w:val="center"/>
            <w:hideMark/>
          </w:tcPr>
          <w:p w14:paraId="60C2D66C" w14:textId="5A620FA6" w:rsidR="00430DCB" w:rsidRDefault="00430DCB" w:rsidP="00430DCB">
            <w:pPr>
              <w:ind w:right="340"/>
              <w:jc w:val="right"/>
              <w:rPr>
                <w:rFonts w:ascii="Verdana" w:hAnsi="Verdana"/>
                <w:b/>
                <w:color w:val="365F91"/>
                <w:sz w:val="18"/>
                <w:szCs w:val="18"/>
              </w:rPr>
            </w:pPr>
            <w:r>
              <w:rPr>
                <w:rFonts w:ascii="Verdana" w:hAnsi="Verdana"/>
                <w:b/>
                <w:color w:val="365F91"/>
                <w:sz w:val="18"/>
                <w:szCs w:val="18"/>
                <w:lang w:val="el-GR"/>
              </w:rPr>
              <w:t>-4,4</w:t>
            </w:r>
          </w:p>
        </w:tc>
        <w:tc>
          <w:tcPr>
            <w:tcW w:w="1676" w:type="dxa"/>
            <w:tcBorders>
              <w:top w:val="single" w:sz="4" w:space="0" w:color="2F5496"/>
              <w:left w:val="nil"/>
              <w:bottom w:val="nil"/>
              <w:right w:val="nil"/>
            </w:tcBorders>
            <w:vAlign w:val="center"/>
            <w:hideMark/>
          </w:tcPr>
          <w:p w14:paraId="2DA8E7BE" w14:textId="217BD333" w:rsidR="00430DCB" w:rsidRDefault="00430DCB" w:rsidP="00430DCB">
            <w:pPr>
              <w:ind w:right="510"/>
              <w:jc w:val="right"/>
              <w:rPr>
                <w:rFonts w:ascii="Verdana" w:hAnsi="Verdana"/>
                <w:b/>
                <w:color w:val="365F91"/>
                <w:sz w:val="18"/>
                <w:szCs w:val="18"/>
              </w:rPr>
            </w:pPr>
            <w:r>
              <w:rPr>
                <w:rFonts w:ascii="Verdana" w:hAnsi="Verdana"/>
                <w:b/>
                <w:color w:val="365F91"/>
                <w:sz w:val="18"/>
                <w:szCs w:val="18"/>
                <w:lang w:val="el-GR"/>
              </w:rPr>
              <w:t>0,8</w:t>
            </w:r>
          </w:p>
        </w:tc>
      </w:tr>
      <w:tr w:rsidR="00430DCB" w14:paraId="1119417C" w14:textId="77777777" w:rsidTr="00041DEA">
        <w:trPr>
          <w:trHeight w:val="284"/>
          <w:jc w:val="center"/>
        </w:trPr>
        <w:tc>
          <w:tcPr>
            <w:tcW w:w="1226" w:type="dxa"/>
            <w:tcBorders>
              <w:top w:val="nil"/>
              <w:left w:val="nil"/>
              <w:bottom w:val="nil"/>
              <w:right w:val="nil"/>
            </w:tcBorders>
            <w:vAlign w:val="center"/>
          </w:tcPr>
          <w:p w14:paraId="006B3A20" w14:textId="77777777" w:rsidR="00430DCB" w:rsidRDefault="00430DCB" w:rsidP="00430DCB">
            <w:pPr>
              <w:jc w:val="center"/>
              <w:rPr>
                <w:rFonts w:ascii="Verdana" w:eastAsia="Times New Roman" w:hAnsi="Verdana" w:cs="Arial"/>
                <w:b/>
                <w:bCs/>
                <w:color w:val="FF0000"/>
                <w:sz w:val="18"/>
                <w:szCs w:val="18"/>
              </w:rPr>
            </w:pPr>
          </w:p>
        </w:tc>
        <w:tc>
          <w:tcPr>
            <w:tcW w:w="4149" w:type="dxa"/>
            <w:tcBorders>
              <w:top w:val="nil"/>
              <w:left w:val="nil"/>
              <w:bottom w:val="nil"/>
              <w:right w:val="nil"/>
            </w:tcBorders>
            <w:vAlign w:val="center"/>
            <w:hideMark/>
          </w:tcPr>
          <w:p w14:paraId="2CA18F61" w14:textId="77777777" w:rsidR="00430DCB" w:rsidRDefault="00430DCB" w:rsidP="00430DCB">
            <w:pPr>
              <w:rPr>
                <w:rFonts w:ascii="Verdana" w:eastAsia="Times New Roman" w:hAnsi="Verdana" w:cs="Arial"/>
                <w:bCs/>
                <w:color w:val="365F91"/>
                <w:sz w:val="18"/>
                <w:szCs w:val="18"/>
              </w:rPr>
            </w:pPr>
            <w:r>
              <w:rPr>
                <w:rFonts w:ascii="Verdana" w:eastAsia="Times New Roman" w:hAnsi="Verdana" w:cs="Arial"/>
                <w:bCs/>
                <w:color w:val="365F91"/>
                <w:sz w:val="18"/>
                <w:szCs w:val="18"/>
              </w:rPr>
              <w:t xml:space="preserve">Local </w:t>
            </w:r>
          </w:p>
        </w:tc>
        <w:tc>
          <w:tcPr>
            <w:tcW w:w="1360" w:type="dxa"/>
            <w:tcBorders>
              <w:top w:val="nil"/>
              <w:left w:val="nil"/>
              <w:bottom w:val="nil"/>
              <w:right w:val="nil"/>
            </w:tcBorders>
            <w:vAlign w:val="center"/>
            <w:hideMark/>
          </w:tcPr>
          <w:p w14:paraId="4D064718" w14:textId="18699C13" w:rsidR="00430DCB" w:rsidRDefault="00430DCB" w:rsidP="00430DCB">
            <w:pPr>
              <w:ind w:right="227"/>
              <w:jc w:val="right"/>
              <w:rPr>
                <w:rFonts w:ascii="Verdana" w:hAnsi="Verdana"/>
                <w:color w:val="365F91"/>
                <w:sz w:val="18"/>
                <w:szCs w:val="18"/>
              </w:rPr>
            </w:pPr>
            <w:r>
              <w:rPr>
                <w:rFonts w:ascii="Verdana" w:hAnsi="Verdana"/>
                <w:color w:val="365F91"/>
                <w:sz w:val="18"/>
                <w:szCs w:val="18"/>
                <w:lang w:val="el-GR"/>
              </w:rPr>
              <w:t>133,1</w:t>
            </w:r>
          </w:p>
        </w:tc>
        <w:tc>
          <w:tcPr>
            <w:tcW w:w="227" w:type="dxa"/>
            <w:tcBorders>
              <w:top w:val="nil"/>
              <w:left w:val="nil"/>
              <w:bottom w:val="nil"/>
              <w:right w:val="nil"/>
            </w:tcBorders>
            <w:vAlign w:val="center"/>
          </w:tcPr>
          <w:p w14:paraId="04E2344F" w14:textId="77777777" w:rsidR="00430DCB" w:rsidRDefault="00430DCB" w:rsidP="00430DCB">
            <w:pPr>
              <w:jc w:val="right"/>
              <w:rPr>
                <w:rFonts w:ascii="Verdana" w:eastAsia="Times New Roman" w:hAnsi="Verdana" w:cs="Arial"/>
                <w:color w:val="365F91"/>
                <w:sz w:val="18"/>
                <w:szCs w:val="18"/>
              </w:rPr>
            </w:pPr>
          </w:p>
        </w:tc>
        <w:tc>
          <w:tcPr>
            <w:tcW w:w="1285" w:type="dxa"/>
            <w:tcBorders>
              <w:top w:val="nil"/>
              <w:left w:val="nil"/>
              <w:bottom w:val="nil"/>
              <w:right w:val="nil"/>
            </w:tcBorders>
            <w:vAlign w:val="center"/>
            <w:hideMark/>
          </w:tcPr>
          <w:p w14:paraId="74FD688D" w14:textId="44C07CFF" w:rsidR="00430DCB" w:rsidRDefault="00430DCB" w:rsidP="00430DCB">
            <w:pPr>
              <w:ind w:right="340"/>
              <w:jc w:val="right"/>
              <w:rPr>
                <w:rFonts w:ascii="Verdana" w:hAnsi="Verdana"/>
                <w:color w:val="365F91"/>
                <w:sz w:val="18"/>
                <w:szCs w:val="18"/>
              </w:rPr>
            </w:pPr>
            <w:r>
              <w:rPr>
                <w:rFonts w:ascii="Verdana" w:hAnsi="Verdana"/>
                <w:color w:val="365F91"/>
                <w:sz w:val="18"/>
                <w:szCs w:val="18"/>
                <w:lang w:val="el-GR"/>
              </w:rPr>
              <w:t>-4,0</w:t>
            </w:r>
          </w:p>
        </w:tc>
        <w:tc>
          <w:tcPr>
            <w:tcW w:w="1676" w:type="dxa"/>
            <w:tcBorders>
              <w:top w:val="nil"/>
              <w:left w:val="nil"/>
              <w:bottom w:val="nil"/>
              <w:right w:val="nil"/>
            </w:tcBorders>
            <w:vAlign w:val="center"/>
            <w:hideMark/>
          </w:tcPr>
          <w:p w14:paraId="38A0EFB8" w14:textId="2DD5ADAE" w:rsidR="00430DCB" w:rsidRDefault="00430DCB" w:rsidP="00430DCB">
            <w:pPr>
              <w:ind w:right="510"/>
              <w:jc w:val="right"/>
              <w:rPr>
                <w:rFonts w:ascii="Verdana" w:hAnsi="Verdana"/>
                <w:color w:val="365F91"/>
                <w:sz w:val="18"/>
                <w:szCs w:val="18"/>
              </w:rPr>
            </w:pPr>
            <w:r>
              <w:rPr>
                <w:rFonts w:ascii="Verdana" w:hAnsi="Verdana"/>
                <w:color w:val="365F91"/>
                <w:sz w:val="18"/>
                <w:szCs w:val="18"/>
                <w:lang w:val="el-GR"/>
              </w:rPr>
              <w:t>1,4</w:t>
            </w:r>
          </w:p>
        </w:tc>
      </w:tr>
      <w:tr w:rsidR="00430DCB" w14:paraId="73A19DEA" w14:textId="77777777" w:rsidTr="00041DEA">
        <w:trPr>
          <w:trHeight w:val="283"/>
          <w:jc w:val="center"/>
        </w:trPr>
        <w:tc>
          <w:tcPr>
            <w:tcW w:w="1226" w:type="dxa"/>
            <w:tcBorders>
              <w:top w:val="nil"/>
              <w:left w:val="nil"/>
              <w:bottom w:val="single" w:sz="4" w:space="0" w:color="365F91"/>
              <w:right w:val="nil"/>
            </w:tcBorders>
            <w:vAlign w:val="center"/>
          </w:tcPr>
          <w:p w14:paraId="10F1EB25" w14:textId="77777777" w:rsidR="00430DCB" w:rsidRDefault="00430DCB" w:rsidP="00430DCB">
            <w:pPr>
              <w:jc w:val="center"/>
              <w:rPr>
                <w:rFonts w:ascii="Verdana" w:eastAsia="Times New Roman" w:hAnsi="Verdana" w:cs="Arial"/>
                <w:b/>
                <w:bCs/>
                <w:color w:val="FF0000"/>
                <w:sz w:val="18"/>
                <w:szCs w:val="18"/>
              </w:rPr>
            </w:pPr>
          </w:p>
        </w:tc>
        <w:tc>
          <w:tcPr>
            <w:tcW w:w="4149" w:type="dxa"/>
            <w:tcBorders>
              <w:top w:val="nil"/>
              <w:left w:val="nil"/>
              <w:bottom w:val="single" w:sz="4" w:space="0" w:color="365F91"/>
              <w:right w:val="nil"/>
            </w:tcBorders>
            <w:vAlign w:val="center"/>
            <w:hideMark/>
          </w:tcPr>
          <w:p w14:paraId="2BD6ADA7" w14:textId="77777777" w:rsidR="00430DCB" w:rsidRDefault="00430DCB" w:rsidP="00430DCB">
            <w:pPr>
              <w:rPr>
                <w:rFonts w:ascii="Verdana" w:eastAsia="Times New Roman" w:hAnsi="Verdana" w:cs="Arial"/>
                <w:bCs/>
                <w:color w:val="365F91"/>
                <w:sz w:val="18"/>
                <w:szCs w:val="18"/>
              </w:rPr>
            </w:pPr>
            <w:r>
              <w:rPr>
                <w:rFonts w:ascii="Verdana" w:eastAsia="Times New Roman" w:hAnsi="Verdana" w:cs="Arial"/>
                <w:bCs/>
                <w:color w:val="365F91"/>
                <w:sz w:val="18"/>
                <w:szCs w:val="18"/>
              </w:rPr>
              <w:t>Export</w:t>
            </w:r>
          </w:p>
        </w:tc>
        <w:tc>
          <w:tcPr>
            <w:tcW w:w="1360" w:type="dxa"/>
            <w:tcBorders>
              <w:top w:val="nil"/>
              <w:left w:val="nil"/>
              <w:bottom w:val="single" w:sz="4" w:space="0" w:color="365F91"/>
              <w:right w:val="nil"/>
            </w:tcBorders>
            <w:vAlign w:val="center"/>
            <w:hideMark/>
          </w:tcPr>
          <w:p w14:paraId="65D0B6E2" w14:textId="0EAE001B" w:rsidR="00430DCB" w:rsidRDefault="00430DCB" w:rsidP="00430DCB">
            <w:pPr>
              <w:ind w:right="227"/>
              <w:jc w:val="right"/>
              <w:rPr>
                <w:rFonts w:ascii="Verdana" w:hAnsi="Verdana"/>
                <w:color w:val="365F91"/>
                <w:sz w:val="18"/>
                <w:szCs w:val="18"/>
                <w:lang w:val="el-GR"/>
              </w:rPr>
            </w:pPr>
            <w:r>
              <w:rPr>
                <w:rFonts w:ascii="Verdana" w:hAnsi="Verdana"/>
                <w:color w:val="365F91"/>
                <w:sz w:val="18"/>
                <w:szCs w:val="18"/>
                <w:lang w:val="el-GR"/>
              </w:rPr>
              <w:t>126,2</w:t>
            </w:r>
          </w:p>
        </w:tc>
        <w:tc>
          <w:tcPr>
            <w:tcW w:w="227" w:type="dxa"/>
            <w:tcBorders>
              <w:top w:val="nil"/>
              <w:left w:val="nil"/>
              <w:bottom w:val="single" w:sz="4" w:space="0" w:color="365F91"/>
              <w:right w:val="nil"/>
            </w:tcBorders>
            <w:vAlign w:val="center"/>
          </w:tcPr>
          <w:p w14:paraId="1304E66E" w14:textId="77777777" w:rsidR="00430DCB" w:rsidRDefault="00430DCB" w:rsidP="00430DCB">
            <w:pPr>
              <w:jc w:val="right"/>
              <w:rPr>
                <w:rFonts w:ascii="Verdana" w:eastAsia="Times New Roman" w:hAnsi="Verdana" w:cs="Arial"/>
                <w:color w:val="365F91"/>
                <w:sz w:val="18"/>
                <w:szCs w:val="18"/>
              </w:rPr>
            </w:pPr>
          </w:p>
        </w:tc>
        <w:tc>
          <w:tcPr>
            <w:tcW w:w="1285" w:type="dxa"/>
            <w:tcBorders>
              <w:top w:val="nil"/>
              <w:left w:val="nil"/>
              <w:bottom w:val="single" w:sz="4" w:space="0" w:color="365F91"/>
              <w:right w:val="nil"/>
            </w:tcBorders>
            <w:vAlign w:val="center"/>
            <w:hideMark/>
          </w:tcPr>
          <w:p w14:paraId="3E08B3C5" w14:textId="6B4D0C5C" w:rsidR="00430DCB" w:rsidRDefault="00430DCB" w:rsidP="00430DCB">
            <w:pPr>
              <w:ind w:right="340"/>
              <w:jc w:val="right"/>
              <w:rPr>
                <w:rFonts w:ascii="Verdana" w:hAnsi="Verdana"/>
                <w:color w:val="365F91"/>
                <w:sz w:val="18"/>
                <w:szCs w:val="18"/>
              </w:rPr>
            </w:pPr>
            <w:r>
              <w:rPr>
                <w:rFonts w:ascii="Verdana" w:hAnsi="Verdana"/>
                <w:color w:val="365F91"/>
                <w:sz w:val="18"/>
                <w:szCs w:val="18"/>
                <w:lang w:val="el-GR"/>
              </w:rPr>
              <w:t>-6,4</w:t>
            </w:r>
          </w:p>
        </w:tc>
        <w:tc>
          <w:tcPr>
            <w:tcW w:w="1676" w:type="dxa"/>
            <w:tcBorders>
              <w:top w:val="nil"/>
              <w:left w:val="nil"/>
              <w:bottom w:val="single" w:sz="4" w:space="0" w:color="365F91"/>
              <w:right w:val="nil"/>
            </w:tcBorders>
            <w:vAlign w:val="center"/>
            <w:hideMark/>
          </w:tcPr>
          <w:p w14:paraId="6EE5740A" w14:textId="7F672707" w:rsidR="00430DCB" w:rsidRDefault="00430DCB" w:rsidP="00430DCB">
            <w:pPr>
              <w:ind w:right="510"/>
              <w:jc w:val="right"/>
              <w:rPr>
                <w:rFonts w:ascii="Verdana" w:hAnsi="Verdana"/>
                <w:color w:val="365F91"/>
                <w:sz w:val="18"/>
                <w:szCs w:val="18"/>
              </w:rPr>
            </w:pPr>
            <w:r>
              <w:rPr>
                <w:rFonts w:ascii="Verdana" w:hAnsi="Verdana"/>
                <w:color w:val="365F91"/>
                <w:sz w:val="18"/>
                <w:szCs w:val="18"/>
                <w:lang w:val="el-GR"/>
              </w:rPr>
              <w:t>-2,1</w:t>
            </w:r>
          </w:p>
        </w:tc>
      </w:tr>
    </w:tbl>
    <w:p w14:paraId="1A3404A2" w14:textId="77777777" w:rsidR="00041DEA" w:rsidRPr="00403408" w:rsidRDefault="00041DEA" w:rsidP="00403408">
      <w:pPr>
        <w:jc w:val="both"/>
        <w:rPr>
          <w:rFonts w:ascii="Verdana" w:hAnsi="Verdana" w:cs="Arial"/>
          <w:sz w:val="18"/>
          <w:szCs w:val="18"/>
        </w:rPr>
      </w:pPr>
    </w:p>
    <w:p w14:paraId="58A2809C" w14:textId="77777777" w:rsidR="00041DEA" w:rsidRPr="00403408" w:rsidRDefault="00041DEA" w:rsidP="00403408">
      <w:pPr>
        <w:jc w:val="both"/>
        <w:rPr>
          <w:rFonts w:ascii="Verdana" w:hAnsi="Verdana" w:cs="Arial"/>
          <w:sz w:val="18"/>
          <w:szCs w:val="18"/>
        </w:rPr>
      </w:pPr>
    </w:p>
    <w:p w14:paraId="6D2CBEA1" w14:textId="77777777" w:rsidR="00041DEA" w:rsidRPr="00403408" w:rsidRDefault="00041DEA" w:rsidP="00403408">
      <w:pPr>
        <w:jc w:val="both"/>
        <w:rPr>
          <w:rFonts w:ascii="Verdana" w:hAnsi="Verdana" w:cs="Arial"/>
          <w:sz w:val="18"/>
          <w:szCs w:val="18"/>
        </w:rPr>
      </w:pPr>
    </w:p>
    <w:p w14:paraId="689A1E26" w14:textId="77777777" w:rsidR="00041DEA" w:rsidRDefault="00041DEA" w:rsidP="00403408">
      <w:pPr>
        <w:jc w:val="both"/>
        <w:rPr>
          <w:rFonts w:ascii="Verdana" w:hAnsi="Verdana" w:cs="Arial"/>
          <w:sz w:val="18"/>
          <w:szCs w:val="18"/>
          <w:lang w:val="el-GR"/>
        </w:rPr>
      </w:pPr>
    </w:p>
    <w:p w14:paraId="674B6EB4" w14:textId="77777777" w:rsidR="00403408" w:rsidRDefault="00403408" w:rsidP="00403408">
      <w:pPr>
        <w:jc w:val="both"/>
        <w:rPr>
          <w:rFonts w:ascii="Verdana" w:hAnsi="Verdana" w:cs="Arial"/>
          <w:sz w:val="18"/>
          <w:szCs w:val="18"/>
          <w:lang w:val="el-GR"/>
        </w:rPr>
      </w:pPr>
    </w:p>
    <w:p w14:paraId="3F4BA2BA" w14:textId="77777777" w:rsidR="00403408" w:rsidRDefault="00403408" w:rsidP="00403408">
      <w:pPr>
        <w:jc w:val="both"/>
        <w:rPr>
          <w:rFonts w:ascii="Verdana" w:hAnsi="Verdana" w:cs="Arial"/>
          <w:sz w:val="18"/>
          <w:szCs w:val="18"/>
          <w:lang w:val="el-GR"/>
        </w:rPr>
      </w:pPr>
    </w:p>
    <w:p w14:paraId="68ADD398" w14:textId="77777777" w:rsidR="00403408" w:rsidRPr="00403408" w:rsidRDefault="00403408" w:rsidP="00403408">
      <w:pPr>
        <w:jc w:val="both"/>
        <w:rPr>
          <w:rFonts w:ascii="Verdana" w:hAnsi="Verdana" w:cs="Arial"/>
          <w:sz w:val="18"/>
          <w:szCs w:val="18"/>
          <w:lang w:val="el-GR"/>
        </w:rPr>
      </w:pPr>
    </w:p>
    <w:p w14:paraId="321952FD" w14:textId="77777777" w:rsidR="00A1166C" w:rsidRPr="00403408" w:rsidRDefault="00A1166C" w:rsidP="00403408">
      <w:pPr>
        <w:jc w:val="both"/>
        <w:rPr>
          <w:rFonts w:ascii="Verdana" w:hAnsi="Verdana" w:cs="Arial"/>
          <w:sz w:val="18"/>
          <w:szCs w:val="18"/>
        </w:rPr>
      </w:pPr>
    </w:p>
    <w:p w14:paraId="620B846A" w14:textId="77777777" w:rsidR="00041DEA" w:rsidRDefault="00041DEA" w:rsidP="00041DEA">
      <w:pPr>
        <w:jc w:val="center"/>
        <w:rPr>
          <w:rFonts w:ascii="Verdana" w:hAnsi="Verdana" w:cs="Arial"/>
          <w:b/>
          <w:bCs/>
          <w:u w:val="single"/>
        </w:rPr>
      </w:pPr>
      <w:r>
        <w:rPr>
          <w:rFonts w:ascii="Verdana" w:hAnsi="Verdana" w:cs="Arial"/>
          <w:b/>
          <w:bCs/>
          <w:u w:val="single"/>
        </w:rPr>
        <w:lastRenderedPageBreak/>
        <w:t>METHODOLOGICAL INFORMATION</w:t>
      </w:r>
    </w:p>
    <w:p w14:paraId="6EE3AED9" w14:textId="77777777" w:rsidR="00041DEA" w:rsidRDefault="00041DEA" w:rsidP="00041DEA">
      <w:pPr>
        <w:jc w:val="both"/>
        <w:rPr>
          <w:rFonts w:ascii="Verdana" w:hAnsi="Verdana" w:cs="Arial"/>
          <w:b/>
          <w:bCs/>
          <w:sz w:val="18"/>
          <w:szCs w:val="18"/>
          <w:u w:val="single"/>
        </w:rPr>
      </w:pPr>
      <w:r>
        <w:rPr>
          <w:rFonts w:ascii="Verdana" w:hAnsi="Verdana" w:cs="Arial"/>
          <w:b/>
          <w:bCs/>
          <w:sz w:val="18"/>
          <w:szCs w:val="18"/>
          <w:u w:val="single"/>
        </w:rPr>
        <w:br/>
        <w:t>Scope</w:t>
      </w:r>
    </w:p>
    <w:p w14:paraId="2FB79A97" w14:textId="77777777" w:rsidR="00041DEA" w:rsidRDefault="00041DEA" w:rsidP="00041DEA">
      <w:pPr>
        <w:jc w:val="both"/>
        <w:rPr>
          <w:rFonts w:ascii="Verdana" w:hAnsi="Verdana" w:cs="Arial"/>
          <w:sz w:val="18"/>
          <w:szCs w:val="18"/>
        </w:rPr>
      </w:pPr>
      <w:r>
        <w:rPr>
          <w:rFonts w:ascii="Verdana" w:hAnsi="Verdana" w:cs="Arial"/>
          <w:sz w:val="18"/>
          <w:szCs w:val="18"/>
        </w:rPr>
        <w:br/>
        <w:t>The Industrial Turnover Index reflects the monthly changes of turnover in the branches of mining and quarrying, manufacturing, electricity supply, water supply and materials recovery, that is, sections B, C, D and E of the statistical classification of economic activities NACE Rev. 2 of the European Union. The index does not include sewerage, waste collection, treatment and disposal and remediation activities, which are codes 37, 38.1, 38.2 and 39 of section E. The aggregated index is broken down to local market and export market index. The index is also compiled by main industrial groupings: intermediate goods, energy, capital goods, durable consumer goods and non-durable consumer goods.</w:t>
      </w:r>
    </w:p>
    <w:p w14:paraId="31B27217" w14:textId="77777777" w:rsidR="00041DEA" w:rsidRDefault="00041DEA" w:rsidP="00041DEA">
      <w:pPr>
        <w:jc w:val="both"/>
        <w:rPr>
          <w:rFonts w:ascii="Verdana" w:hAnsi="Verdana" w:cs="Arial"/>
          <w:sz w:val="18"/>
          <w:szCs w:val="18"/>
        </w:rPr>
      </w:pPr>
    </w:p>
    <w:p w14:paraId="25CFB107" w14:textId="77777777" w:rsidR="00041DEA" w:rsidRDefault="00041DEA" w:rsidP="00041DEA">
      <w:pPr>
        <w:jc w:val="both"/>
        <w:rPr>
          <w:rFonts w:ascii="Verdana" w:hAnsi="Verdana" w:cs="Arial"/>
          <w:b/>
          <w:bCs/>
          <w:sz w:val="18"/>
          <w:szCs w:val="18"/>
          <w:u w:val="single"/>
        </w:rPr>
      </w:pPr>
      <w:r>
        <w:rPr>
          <w:rFonts w:ascii="Verdana" w:hAnsi="Verdana" w:cs="Arial"/>
          <w:b/>
          <w:bCs/>
          <w:sz w:val="18"/>
          <w:szCs w:val="18"/>
          <w:u w:val="single"/>
        </w:rPr>
        <w:t xml:space="preserve">Data </w:t>
      </w:r>
      <w:r w:rsidR="00C74A19">
        <w:rPr>
          <w:rFonts w:ascii="Verdana" w:hAnsi="Verdana" w:cs="Arial"/>
          <w:b/>
          <w:bCs/>
          <w:sz w:val="18"/>
          <w:szCs w:val="18"/>
          <w:u w:val="single"/>
        </w:rPr>
        <w:t>C</w:t>
      </w:r>
      <w:r>
        <w:rPr>
          <w:rFonts w:ascii="Verdana" w:hAnsi="Verdana" w:cs="Arial"/>
          <w:b/>
          <w:bCs/>
          <w:sz w:val="18"/>
          <w:szCs w:val="18"/>
          <w:u w:val="single"/>
        </w:rPr>
        <w:t>ollection</w:t>
      </w:r>
    </w:p>
    <w:p w14:paraId="2BC716C3" w14:textId="77777777" w:rsidR="00041DEA" w:rsidRDefault="00041DEA" w:rsidP="00041DEA">
      <w:pPr>
        <w:jc w:val="both"/>
        <w:rPr>
          <w:rFonts w:ascii="Verdana" w:hAnsi="Verdana" w:cs="Arial"/>
          <w:sz w:val="18"/>
          <w:szCs w:val="18"/>
        </w:rPr>
      </w:pPr>
    </w:p>
    <w:p w14:paraId="1AE0FBF4" w14:textId="2A8AD38C" w:rsidR="00A1166C" w:rsidRDefault="00041DEA" w:rsidP="00041DEA">
      <w:pPr>
        <w:jc w:val="both"/>
        <w:rPr>
          <w:rFonts w:ascii="Verdana" w:hAnsi="Verdana" w:cs="Arial"/>
          <w:sz w:val="18"/>
          <w:szCs w:val="18"/>
        </w:rPr>
      </w:pPr>
      <w:r>
        <w:rPr>
          <w:rFonts w:ascii="Verdana" w:hAnsi="Verdana" w:cs="Arial"/>
          <w:sz w:val="18"/>
          <w:szCs w:val="18"/>
        </w:rPr>
        <w:t>The collection of data is conducted by the Statistical Service by telephone enquiries, fax or e-mail. The data collection starts five to ten days after the end of the reference period and is normally completed within two months. The mining and quarrying sector covers all major quarrying products but not the support activities for the extraction of natural gas. For manufacturing,</w:t>
      </w:r>
      <w:r w:rsidR="00ED1DA5" w:rsidRPr="00ED1DA5">
        <w:rPr>
          <w:rFonts w:ascii="Verdana" w:hAnsi="Verdana" w:cs="Arial"/>
          <w:sz w:val="18"/>
          <w:szCs w:val="18"/>
        </w:rPr>
        <w:t xml:space="preserve"> </w:t>
      </w:r>
      <w:r w:rsidR="00ED1DA5">
        <w:rPr>
          <w:rFonts w:ascii="Verdana" w:hAnsi="Verdana" w:cs="Arial"/>
          <w:sz w:val="18"/>
          <w:szCs w:val="18"/>
        </w:rPr>
        <w:t xml:space="preserve">electricity supply and water supply and materials recovery </w:t>
      </w:r>
      <w:r>
        <w:rPr>
          <w:rFonts w:ascii="Verdana" w:hAnsi="Verdana" w:cs="Arial"/>
          <w:sz w:val="18"/>
          <w:szCs w:val="18"/>
        </w:rPr>
        <w:t xml:space="preserve">all enterprises with turnover </w:t>
      </w:r>
      <w:r w:rsidR="00A1166C">
        <w:rPr>
          <w:rFonts w:ascii="Verdana" w:hAnsi="Verdana" w:cs="Arial"/>
          <w:sz w:val="18"/>
          <w:szCs w:val="18"/>
        </w:rPr>
        <w:t>2.000</w:t>
      </w:r>
      <w:r>
        <w:rPr>
          <w:rFonts w:ascii="Verdana" w:hAnsi="Verdana" w:cs="Arial"/>
          <w:sz w:val="18"/>
          <w:szCs w:val="18"/>
        </w:rPr>
        <w:t xml:space="preserve">.000 </w:t>
      </w:r>
      <w:r w:rsidR="00ED1DA5">
        <w:rPr>
          <w:rFonts w:ascii="Verdana" w:hAnsi="Verdana" w:cs="Arial"/>
          <w:sz w:val="18"/>
          <w:szCs w:val="18"/>
        </w:rPr>
        <w:t>e</w:t>
      </w:r>
      <w:r>
        <w:rPr>
          <w:rFonts w:ascii="Verdana" w:hAnsi="Verdana" w:cs="Arial"/>
          <w:sz w:val="18"/>
          <w:szCs w:val="18"/>
        </w:rPr>
        <w:t>uros and over</w:t>
      </w:r>
      <w:r w:rsidR="00ED1DA5">
        <w:rPr>
          <w:rFonts w:ascii="Verdana" w:hAnsi="Verdana" w:cs="Arial"/>
          <w:sz w:val="18"/>
          <w:szCs w:val="18"/>
        </w:rPr>
        <w:t>,</w:t>
      </w:r>
      <w:r>
        <w:rPr>
          <w:rFonts w:ascii="Verdana" w:hAnsi="Verdana" w:cs="Arial"/>
          <w:sz w:val="18"/>
          <w:szCs w:val="18"/>
        </w:rPr>
        <w:t xml:space="preserve"> or with 20 or more employees are included in the survey and a sample is selected from enterprises employing less than 20 persons. </w:t>
      </w:r>
      <w:r w:rsidR="00A1166C" w:rsidRPr="00C143F1">
        <w:rPr>
          <w:rFonts w:ascii="Verdana" w:hAnsi="Verdana" w:cs="Arial"/>
          <w:sz w:val="18"/>
          <w:szCs w:val="18"/>
        </w:rPr>
        <w:t>For electricity supply and water collection, treatment</w:t>
      </w:r>
      <w:r w:rsidR="00A1166C">
        <w:rPr>
          <w:rFonts w:ascii="Verdana" w:hAnsi="Verdana" w:cs="Arial"/>
          <w:sz w:val="18"/>
          <w:szCs w:val="18"/>
        </w:rPr>
        <w:t xml:space="preserve"> </w:t>
      </w:r>
      <w:r w:rsidR="00A1166C" w:rsidRPr="00C143F1">
        <w:rPr>
          <w:rFonts w:ascii="Verdana" w:hAnsi="Verdana" w:cs="Arial"/>
          <w:sz w:val="18"/>
          <w:szCs w:val="18"/>
        </w:rPr>
        <w:t xml:space="preserve">and supply, data is </w:t>
      </w:r>
      <w:r w:rsidR="00ED1DA5">
        <w:rPr>
          <w:rFonts w:ascii="Verdana" w:hAnsi="Verdana" w:cs="Arial"/>
          <w:sz w:val="18"/>
          <w:szCs w:val="18"/>
        </w:rPr>
        <w:t xml:space="preserve">also </w:t>
      </w:r>
      <w:r w:rsidR="00A1166C" w:rsidRPr="00C143F1">
        <w:rPr>
          <w:rFonts w:ascii="Verdana" w:hAnsi="Verdana" w:cs="Arial"/>
          <w:sz w:val="18"/>
          <w:szCs w:val="18"/>
        </w:rPr>
        <w:t>collected from administrative sources.</w:t>
      </w:r>
    </w:p>
    <w:p w14:paraId="0FC0F9AE" w14:textId="442E74B1" w:rsidR="00041DEA" w:rsidRDefault="00041DEA" w:rsidP="00041DEA">
      <w:pPr>
        <w:jc w:val="both"/>
        <w:rPr>
          <w:rFonts w:ascii="Verdana" w:hAnsi="Verdana" w:cs="Arial"/>
          <w:b/>
          <w:bCs/>
          <w:sz w:val="18"/>
          <w:szCs w:val="18"/>
          <w:u w:val="single"/>
        </w:rPr>
      </w:pPr>
      <w:r>
        <w:rPr>
          <w:rFonts w:ascii="Verdana" w:hAnsi="Verdana" w:cs="Arial"/>
          <w:sz w:val="18"/>
          <w:szCs w:val="18"/>
        </w:rPr>
        <w:br/>
      </w:r>
      <w:r>
        <w:rPr>
          <w:rFonts w:ascii="Verdana" w:hAnsi="Verdana" w:cs="Arial"/>
          <w:b/>
          <w:bCs/>
          <w:sz w:val="18"/>
          <w:szCs w:val="18"/>
          <w:u w:val="single"/>
        </w:rPr>
        <w:t xml:space="preserve">Compilation </w:t>
      </w:r>
      <w:r w:rsidR="00C74A19">
        <w:rPr>
          <w:rFonts w:ascii="Verdana" w:hAnsi="Verdana" w:cs="Arial"/>
          <w:b/>
          <w:bCs/>
          <w:sz w:val="18"/>
          <w:szCs w:val="18"/>
          <w:u w:val="single"/>
        </w:rPr>
        <w:t>M</w:t>
      </w:r>
      <w:r>
        <w:rPr>
          <w:rFonts w:ascii="Verdana" w:hAnsi="Verdana" w:cs="Arial"/>
          <w:b/>
          <w:bCs/>
          <w:sz w:val="18"/>
          <w:szCs w:val="18"/>
          <w:u w:val="single"/>
        </w:rPr>
        <w:t xml:space="preserve">ethod and </w:t>
      </w:r>
      <w:r w:rsidR="00C74A19">
        <w:rPr>
          <w:rFonts w:ascii="Verdana" w:hAnsi="Verdana" w:cs="Arial"/>
          <w:b/>
          <w:bCs/>
          <w:sz w:val="18"/>
          <w:szCs w:val="18"/>
          <w:u w:val="single"/>
        </w:rPr>
        <w:t>D</w:t>
      </w:r>
      <w:r>
        <w:rPr>
          <w:rFonts w:ascii="Verdana" w:hAnsi="Verdana" w:cs="Arial"/>
          <w:b/>
          <w:bCs/>
          <w:sz w:val="18"/>
          <w:szCs w:val="18"/>
          <w:u w:val="single"/>
        </w:rPr>
        <w:t xml:space="preserve">issemination </w:t>
      </w:r>
      <w:r w:rsidR="00C74A19">
        <w:rPr>
          <w:rFonts w:ascii="Verdana" w:hAnsi="Verdana" w:cs="Arial"/>
          <w:b/>
          <w:bCs/>
          <w:sz w:val="18"/>
          <w:szCs w:val="18"/>
          <w:u w:val="single"/>
        </w:rPr>
        <w:t>P</w:t>
      </w:r>
      <w:r>
        <w:rPr>
          <w:rFonts w:ascii="Verdana" w:hAnsi="Verdana" w:cs="Arial"/>
          <w:b/>
          <w:bCs/>
          <w:sz w:val="18"/>
          <w:szCs w:val="18"/>
          <w:u w:val="single"/>
        </w:rPr>
        <w:t>ractices</w:t>
      </w:r>
    </w:p>
    <w:p w14:paraId="79373C95" w14:textId="78B34BA5" w:rsidR="00041DEA" w:rsidRDefault="00041DEA" w:rsidP="00041DEA">
      <w:pPr>
        <w:jc w:val="both"/>
        <w:rPr>
          <w:rFonts w:ascii="Verdana" w:hAnsi="Verdana" w:cs="Arial"/>
          <w:sz w:val="18"/>
          <w:szCs w:val="18"/>
        </w:rPr>
      </w:pPr>
      <w:r>
        <w:rPr>
          <w:rFonts w:ascii="Verdana" w:hAnsi="Verdana" w:cs="Arial"/>
          <w:sz w:val="18"/>
          <w:szCs w:val="18"/>
        </w:rPr>
        <w:br/>
        <w:t>The Industrial Turnover Index is using 20</w:t>
      </w:r>
      <w:r w:rsidR="00A1166C">
        <w:rPr>
          <w:rFonts w:ascii="Verdana" w:hAnsi="Verdana" w:cs="Arial"/>
          <w:sz w:val="18"/>
          <w:szCs w:val="18"/>
        </w:rPr>
        <w:t>21</w:t>
      </w:r>
      <w:r>
        <w:rPr>
          <w:rFonts w:ascii="Verdana" w:hAnsi="Verdana" w:cs="Arial"/>
          <w:sz w:val="18"/>
          <w:szCs w:val="18"/>
        </w:rPr>
        <w:t xml:space="preserve"> as base year, meaning that it shows the monthly changes in turnover in relation with the monthly turnover average of the year 20</w:t>
      </w:r>
      <w:r w:rsidR="00A1166C">
        <w:rPr>
          <w:rFonts w:ascii="Verdana" w:hAnsi="Verdana" w:cs="Arial"/>
          <w:sz w:val="18"/>
          <w:szCs w:val="18"/>
        </w:rPr>
        <w:t>21</w:t>
      </w:r>
      <w:r>
        <w:rPr>
          <w:rFonts w:ascii="Verdana" w:hAnsi="Verdana" w:cs="Arial"/>
          <w:sz w:val="18"/>
          <w:szCs w:val="18"/>
        </w:rPr>
        <w:t>. In the base year, the average of the turnover indices for the twelve months is 100,0. For example, a monthly turnover index of 112,4 means that the turnover for the specific month has increased by 12,4% in relation to the average monthly turnover of 20</w:t>
      </w:r>
      <w:r w:rsidR="00A1166C">
        <w:rPr>
          <w:rFonts w:ascii="Verdana" w:hAnsi="Verdana" w:cs="Arial"/>
          <w:sz w:val="18"/>
          <w:szCs w:val="18"/>
        </w:rPr>
        <w:t>21</w:t>
      </w:r>
      <w:r>
        <w:rPr>
          <w:rFonts w:ascii="Verdana" w:hAnsi="Verdana" w:cs="Arial"/>
          <w:sz w:val="18"/>
          <w:szCs w:val="18"/>
        </w:rPr>
        <w:t>.</w:t>
      </w:r>
    </w:p>
    <w:p w14:paraId="571C1F0E" w14:textId="5BE0FA3F" w:rsidR="00041DEA" w:rsidRDefault="00041DEA" w:rsidP="00041DEA">
      <w:pPr>
        <w:jc w:val="both"/>
        <w:rPr>
          <w:rFonts w:ascii="Verdana" w:hAnsi="Verdana" w:cs="Arial"/>
          <w:sz w:val="18"/>
          <w:szCs w:val="18"/>
        </w:rPr>
      </w:pPr>
      <w:r>
        <w:rPr>
          <w:rFonts w:ascii="Verdana" w:hAnsi="Verdana" w:cs="Arial"/>
          <w:sz w:val="18"/>
          <w:szCs w:val="18"/>
        </w:rPr>
        <w:br/>
        <w:t>The aggregated Industrial Turnover Index is a weighted average of the turnover indices of the various sub-sectors of Industry, as determined in the statistical classification of economic activities NACE Rev. 2. The weights used are derived from the total sales of the enterprises in the base year (20</w:t>
      </w:r>
      <w:r w:rsidR="00A1166C">
        <w:rPr>
          <w:rFonts w:ascii="Verdana" w:hAnsi="Verdana" w:cs="Arial"/>
          <w:sz w:val="18"/>
          <w:szCs w:val="18"/>
        </w:rPr>
        <w:t>21</w:t>
      </w:r>
      <w:r>
        <w:rPr>
          <w:rFonts w:ascii="Verdana" w:hAnsi="Verdana" w:cs="Arial"/>
          <w:sz w:val="18"/>
          <w:szCs w:val="18"/>
        </w:rPr>
        <w:t>) and reflect the turnover of each sub-sector in relation to the total turnover of the Industrial sector.</w:t>
      </w:r>
    </w:p>
    <w:p w14:paraId="6CE050E6" w14:textId="77777777" w:rsidR="00041DEA" w:rsidRDefault="00041DEA" w:rsidP="00041DEA">
      <w:pPr>
        <w:jc w:val="both"/>
        <w:rPr>
          <w:rFonts w:ascii="Verdana" w:hAnsi="Verdana" w:cs="Arial"/>
          <w:sz w:val="18"/>
          <w:szCs w:val="18"/>
        </w:rPr>
      </w:pPr>
      <w:r>
        <w:rPr>
          <w:rFonts w:ascii="Verdana" w:hAnsi="Verdana" w:cs="Arial"/>
          <w:sz w:val="18"/>
          <w:szCs w:val="18"/>
        </w:rPr>
        <w:br/>
        <w:t>The compilation of the Industrial Turnover Index follows the provisions of Regulation (EU) 2019/2152 on European business statistics. The Index is transmitted every month to the Statistical Office of the European Union (Eurostat).</w:t>
      </w:r>
    </w:p>
    <w:p w14:paraId="748C6836" w14:textId="77777777" w:rsidR="00041DEA" w:rsidRDefault="00041DEA" w:rsidP="00041DEA">
      <w:pPr>
        <w:jc w:val="both"/>
        <w:rPr>
          <w:rFonts w:ascii="Verdana" w:hAnsi="Verdana" w:cs="Arial"/>
          <w:sz w:val="18"/>
          <w:szCs w:val="18"/>
        </w:rPr>
      </w:pPr>
    </w:p>
    <w:p w14:paraId="4986C5BF" w14:textId="77777777" w:rsidR="00041DEA" w:rsidRDefault="00041DEA" w:rsidP="00041DEA">
      <w:pPr>
        <w:jc w:val="both"/>
        <w:rPr>
          <w:rFonts w:ascii="Verdana" w:hAnsi="Verdana" w:cs="Arial"/>
          <w:sz w:val="18"/>
          <w:szCs w:val="18"/>
        </w:rPr>
      </w:pPr>
    </w:p>
    <w:p w14:paraId="525CFA0A" w14:textId="77777777" w:rsidR="00041DEA" w:rsidRDefault="00041DEA" w:rsidP="00041DEA">
      <w:pPr>
        <w:rPr>
          <w:rFonts w:ascii="Verdana" w:hAnsi="Verdana"/>
          <w:b/>
          <w:i/>
          <w:sz w:val="18"/>
          <w:szCs w:val="18"/>
          <w:lang w:val="en-GB"/>
        </w:rPr>
      </w:pPr>
      <w:r>
        <w:rPr>
          <w:rFonts w:ascii="Verdana" w:hAnsi="Verdana"/>
          <w:b/>
          <w:i/>
          <w:sz w:val="18"/>
          <w:szCs w:val="18"/>
          <w:lang w:val="en-GB"/>
        </w:rPr>
        <w:t xml:space="preserve">For more information: </w:t>
      </w:r>
    </w:p>
    <w:p w14:paraId="53F140AD" w14:textId="77777777" w:rsidR="00041DEA" w:rsidRDefault="00041DEA" w:rsidP="00041DEA">
      <w:pPr>
        <w:rPr>
          <w:rStyle w:val="Hyperlink"/>
          <w:rFonts w:ascii="Verdana" w:hAnsi="Verdana"/>
          <w:sz w:val="18"/>
          <w:szCs w:val="18"/>
          <w:lang w:val="en-GB"/>
        </w:rPr>
      </w:pPr>
      <w:r>
        <w:rPr>
          <w:rFonts w:ascii="Verdana" w:hAnsi="Verdana"/>
          <w:sz w:val="18"/>
          <w:szCs w:val="18"/>
          <w:lang w:val="en-GB"/>
        </w:rPr>
        <w:t xml:space="preserve">CYSTAT Portal, subtheme </w:t>
      </w:r>
      <w:hyperlink r:id="rId9" w:history="1">
        <w:r>
          <w:rPr>
            <w:rStyle w:val="Hyperlink"/>
            <w:rFonts w:ascii="Verdana" w:hAnsi="Verdana"/>
            <w:sz w:val="18"/>
            <w:szCs w:val="18"/>
            <w:lang w:val="en-GB"/>
          </w:rPr>
          <w:t>Industry</w:t>
        </w:r>
      </w:hyperlink>
    </w:p>
    <w:p w14:paraId="032C007B" w14:textId="1527F019" w:rsidR="00A1166C" w:rsidRPr="00A1166C" w:rsidRDefault="00000000" w:rsidP="00041DEA">
      <w:pPr>
        <w:rPr>
          <w:rFonts w:ascii="Verdana" w:hAnsi="Verdana"/>
          <w:sz w:val="18"/>
          <w:szCs w:val="18"/>
        </w:rPr>
      </w:pPr>
      <w:hyperlink r:id="rId10" w:history="1">
        <w:r w:rsidR="00A1166C" w:rsidRPr="007728F1">
          <w:rPr>
            <w:rStyle w:val="Hyperlink"/>
            <w:rFonts w:ascii="Verdana" w:hAnsi="Verdana"/>
            <w:sz w:val="18"/>
            <w:szCs w:val="18"/>
            <w:lang w:val="en-GB"/>
          </w:rPr>
          <w:t>Information on Change of Base Year</w:t>
        </w:r>
      </w:hyperlink>
    </w:p>
    <w:p w14:paraId="694B0E07" w14:textId="77777777" w:rsidR="00B03DD6" w:rsidRDefault="00000000" w:rsidP="00041DEA">
      <w:pPr>
        <w:rPr>
          <w:rFonts w:ascii="Verdana" w:hAnsi="Verdana"/>
          <w:sz w:val="18"/>
          <w:szCs w:val="18"/>
        </w:rPr>
      </w:pPr>
      <w:hyperlink r:id="rId11" w:history="1">
        <w:r w:rsidR="00B03DD6" w:rsidRPr="00D2408B">
          <w:rPr>
            <w:rStyle w:val="Hyperlink"/>
            <w:rFonts w:ascii="Verdana" w:hAnsi="Verdana"/>
            <w:sz w:val="18"/>
            <w:szCs w:val="18"/>
          </w:rPr>
          <w:t>CYSTAT-DB</w:t>
        </w:r>
      </w:hyperlink>
      <w:r w:rsidR="00B03DD6">
        <w:rPr>
          <w:rFonts w:ascii="Verdana" w:hAnsi="Verdana"/>
          <w:sz w:val="18"/>
          <w:szCs w:val="18"/>
        </w:rPr>
        <w:t xml:space="preserve"> (Online Database) </w:t>
      </w:r>
    </w:p>
    <w:p w14:paraId="7F6612EF" w14:textId="77777777" w:rsidR="00041DEA" w:rsidRDefault="00000000" w:rsidP="00041DEA">
      <w:pPr>
        <w:rPr>
          <w:rFonts w:ascii="Verdana" w:hAnsi="Verdana"/>
          <w:sz w:val="18"/>
          <w:szCs w:val="18"/>
        </w:rPr>
      </w:pPr>
      <w:hyperlink r:id="rId12" w:history="1">
        <w:r w:rsidR="00041DEA">
          <w:rPr>
            <w:rStyle w:val="Hyperlink"/>
            <w:rFonts w:ascii="Verdana" w:hAnsi="Verdana"/>
            <w:sz w:val="18"/>
            <w:szCs w:val="18"/>
          </w:rPr>
          <w:t>Predefined Tables</w:t>
        </w:r>
      </w:hyperlink>
      <w:r w:rsidR="00041DEA">
        <w:rPr>
          <w:rFonts w:ascii="Verdana" w:hAnsi="Verdana"/>
          <w:sz w:val="18"/>
          <w:szCs w:val="18"/>
        </w:rPr>
        <w:t xml:space="preserve"> (Excel)</w:t>
      </w:r>
    </w:p>
    <w:p w14:paraId="09F1465A" w14:textId="77777777" w:rsidR="00F66B7E" w:rsidRDefault="00F66B7E" w:rsidP="00041DEA">
      <w:pPr>
        <w:rPr>
          <w:rFonts w:ascii="Verdana" w:hAnsi="Verdana"/>
          <w:sz w:val="18"/>
          <w:szCs w:val="18"/>
        </w:rPr>
      </w:pPr>
    </w:p>
    <w:p w14:paraId="296E89FE" w14:textId="77777777" w:rsidR="00A1166C" w:rsidRPr="00E960D6" w:rsidRDefault="00A1166C" w:rsidP="00A1166C">
      <w:pPr>
        <w:ind w:right="-79"/>
        <w:jc w:val="both"/>
        <w:rPr>
          <w:rFonts w:ascii="Verdana" w:eastAsia="Malgun Gothic" w:hAnsi="Verdana" w:cs="Arial"/>
          <w:b/>
          <w:bCs/>
          <w:sz w:val="18"/>
          <w:szCs w:val="18"/>
        </w:rPr>
      </w:pPr>
      <w:r>
        <w:rPr>
          <w:rFonts w:ascii="Verdana" w:eastAsia="Malgun Gothic" w:hAnsi="Verdana" w:cs="Arial"/>
          <w:b/>
          <w:bCs/>
          <w:sz w:val="18"/>
          <w:szCs w:val="18"/>
        </w:rPr>
        <w:t>Data for base year 2021=100 are available only in the</w:t>
      </w:r>
      <w:r w:rsidRPr="00E960D6">
        <w:rPr>
          <w:rFonts w:ascii="Verdana" w:eastAsia="Malgun Gothic" w:hAnsi="Verdana" w:cs="Arial"/>
          <w:b/>
          <w:bCs/>
          <w:sz w:val="18"/>
          <w:szCs w:val="18"/>
        </w:rPr>
        <w:t xml:space="preserve"> CYSTAT-DB Online Database.</w:t>
      </w:r>
    </w:p>
    <w:p w14:paraId="7DDAE66A" w14:textId="77777777" w:rsidR="00041DEA" w:rsidRDefault="00041DEA" w:rsidP="00041DEA">
      <w:pPr>
        <w:rPr>
          <w:rFonts w:ascii="Verdana" w:hAnsi="Verdana"/>
          <w:sz w:val="18"/>
          <w:szCs w:val="18"/>
        </w:rPr>
      </w:pPr>
    </w:p>
    <w:p w14:paraId="51C66CAA" w14:textId="77777777" w:rsidR="00041DEA" w:rsidRPr="007F3718" w:rsidRDefault="00041DEA" w:rsidP="00041DEA">
      <w:pPr>
        <w:rPr>
          <w:rFonts w:ascii="Verdana" w:hAnsi="Verdana" w:cs="Arial"/>
          <w:sz w:val="18"/>
          <w:szCs w:val="18"/>
          <w:lang w:val="pt-PT"/>
        </w:rPr>
      </w:pPr>
      <w:r w:rsidRPr="007F3718">
        <w:rPr>
          <w:rFonts w:ascii="Verdana" w:hAnsi="Verdana" w:cs="Arial"/>
          <w:i/>
          <w:sz w:val="18"/>
          <w:szCs w:val="18"/>
          <w:u w:val="single"/>
          <w:lang w:val="pt-PT"/>
        </w:rPr>
        <w:t>Contact</w:t>
      </w:r>
    </w:p>
    <w:p w14:paraId="44438ED9" w14:textId="77777777" w:rsidR="002F6F76" w:rsidRPr="008545FE" w:rsidRDefault="002F6F76" w:rsidP="00041DEA">
      <w:pPr>
        <w:rPr>
          <w:rFonts w:ascii="Arial" w:hAnsi="Arial" w:cs="Arial"/>
          <w:bCs/>
          <w:sz w:val="20"/>
          <w:szCs w:val="20"/>
          <w:lang w:val="pt-PT"/>
        </w:rPr>
      </w:pPr>
      <w:r w:rsidRPr="008545FE">
        <w:rPr>
          <w:rFonts w:ascii="Verdana" w:hAnsi="Verdana" w:cs="Arial"/>
          <w:sz w:val="18"/>
          <w:szCs w:val="18"/>
          <w:lang w:val="pt-PT"/>
        </w:rPr>
        <w:t>Elisavet Zinonos</w:t>
      </w:r>
      <w:r w:rsidRPr="008545FE">
        <w:rPr>
          <w:rFonts w:ascii="Verdana" w:hAnsi="Verdana" w:cs="Arial"/>
          <w:bCs/>
          <w:sz w:val="18"/>
          <w:szCs w:val="18"/>
          <w:lang w:val="pt-PT"/>
        </w:rPr>
        <w:t xml:space="preserve">: Tel.: +357 </w:t>
      </w:r>
      <w:r w:rsidRPr="008545FE">
        <w:rPr>
          <w:rFonts w:ascii="Verdana" w:hAnsi="Verdana" w:cs="Arial"/>
          <w:sz w:val="18"/>
          <w:szCs w:val="18"/>
          <w:lang w:val="pt-PT"/>
        </w:rPr>
        <w:t xml:space="preserve">22602187, </w:t>
      </w:r>
      <w:r w:rsidRPr="008545FE">
        <w:rPr>
          <w:rFonts w:ascii="Verdana" w:hAnsi="Verdana" w:cs="Arial"/>
          <w:bCs/>
          <w:sz w:val="18"/>
          <w:szCs w:val="18"/>
          <w:lang w:val="pt-PT"/>
        </w:rPr>
        <w:t xml:space="preserve">Email: </w:t>
      </w:r>
      <w:hyperlink r:id="rId13" w:history="1">
        <w:r w:rsidRPr="008545FE">
          <w:rPr>
            <w:rStyle w:val="Hyperlink"/>
            <w:rFonts w:ascii="Verdana" w:hAnsi="Verdana" w:cs="Arial"/>
            <w:sz w:val="18"/>
            <w:szCs w:val="18"/>
            <w:lang w:val="pt-PT"/>
          </w:rPr>
          <w:t>ezinonos@cystat.mof.gov.cy</w:t>
        </w:r>
      </w:hyperlink>
      <w:r w:rsidRPr="008545FE">
        <w:rPr>
          <w:rFonts w:ascii="Verdana" w:hAnsi="Verdana" w:cs="Arial"/>
          <w:sz w:val="18"/>
          <w:szCs w:val="18"/>
          <w:lang w:val="pt-PT"/>
        </w:rPr>
        <w:t xml:space="preserve">  </w:t>
      </w:r>
    </w:p>
    <w:p w14:paraId="6ECBF38B" w14:textId="77777777" w:rsidR="00041DEA" w:rsidRPr="00430DCB" w:rsidRDefault="00041DEA" w:rsidP="00041DEA">
      <w:pPr>
        <w:rPr>
          <w:rFonts w:ascii="Arial" w:hAnsi="Arial" w:cs="Arial"/>
          <w:bCs/>
          <w:sz w:val="20"/>
          <w:szCs w:val="20"/>
          <w:lang w:val="pt-PT"/>
        </w:rPr>
      </w:pPr>
      <w:r w:rsidRPr="00430DCB">
        <w:rPr>
          <w:rFonts w:ascii="Verdana" w:hAnsi="Verdana" w:cs="Arial"/>
          <w:sz w:val="18"/>
          <w:szCs w:val="18"/>
          <w:lang w:val="pt-PT"/>
        </w:rPr>
        <w:t>Charalambos Alkiviadous</w:t>
      </w:r>
      <w:r w:rsidRPr="00430DCB">
        <w:rPr>
          <w:rFonts w:ascii="Verdana" w:hAnsi="Verdana" w:cs="Arial"/>
          <w:bCs/>
          <w:sz w:val="18"/>
          <w:szCs w:val="18"/>
          <w:lang w:val="pt-PT"/>
        </w:rPr>
        <w:t xml:space="preserve">: Tel.: +357 </w:t>
      </w:r>
      <w:r w:rsidRPr="00430DCB">
        <w:rPr>
          <w:rFonts w:ascii="Verdana" w:hAnsi="Verdana" w:cs="Arial"/>
          <w:sz w:val="18"/>
          <w:szCs w:val="18"/>
          <w:lang w:val="pt-PT"/>
        </w:rPr>
        <w:t xml:space="preserve">22602189, </w:t>
      </w:r>
      <w:r w:rsidRPr="00430DCB">
        <w:rPr>
          <w:rFonts w:ascii="Verdana" w:hAnsi="Verdana" w:cs="Arial"/>
          <w:bCs/>
          <w:sz w:val="18"/>
          <w:szCs w:val="18"/>
          <w:lang w:val="pt-PT"/>
        </w:rPr>
        <w:t xml:space="preserve">Email: </w:t>
      </w:r>
      <w:hyperlink r:id="rId14" w:history="1">
        <w:r w:rsidRPr="00430DCB">
          <w:rPr>
            <w:rStyle w:val="Hyperlink"/>
            <w:rFonts w:ascii="Verdana" w:hAnsi="Verdana" w:cs="Arial"/>
            <w:sz w:val="18"/>
            <w:szCs w:val="18"/>
            <w:lang w:val="pt-PT"/>
          </w:rPr>
          <w:t>calkiviadous@cystat.mof.gov.cy</w:t>
        </w:r>
      </w:hyperlink>
      <w:r w:rsidRPr="00430DCB">
        <w:rPr>
          <w:rFonts w:ascii="Verdana" w:hAnsi="Verdana" w:cs="Arial"/>
          <w:sz w:val="18"/>
          <w:szCs w:val="18"/>
          <w:lang w:val="pt-PT"/>
        </w:rPr>
        <w:t xml:space="preserve">  </w:t>
      </w:r>
    </w:p>
    <w:p w14:paraId="214B1E19" w14:textId="77777777" w:rsidR="00C26329" w:rsidRPr="00430DCB" w:rsidRDefault="00C26329" w:rsidP="00041DEA">
      <w:pPr>
        <w:rPr>
          <w:lang w:val="pt-PT"/>
        </w:rPr>
      </w:pPr>
    </w:p>
    <w:sectPr w:rsidR="00C26329" w:rsidRPr="00430DCB" w:rsidSect="00CA63BA">
      <w:headerReference w:type="default" r:id="rId15"/>
      <w:footerReference w:type="default" r:id="rId16"/>
      <w:headerReference w:type="first" r:id="rId17"/>
      <w:footerReference w:type="first" r:id="rId18"/>
      <w:pgSz w:w="11907" w:h="16840" w:code="9"/>
      <w:pgMar w:top="810"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C921FC" w14:textId="77777777" w:rsidR="00AA0200" w:rsidRDefault="00AA0200" w:rsidP="00FB398F">
      <w:r>
        <w:separator/>
      </w:r>
    </w:p>
  </w:endnote>
  <w:endnote w:type="continuationSeparator" w:id="0">
    <w:p w14:paraId="21B614ED" w14:textId="77777777" w:rsidR="00AA0200" w:rsidRDefault="00AA0200"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F93B8"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C32D3A">
      <w:rPr>
        <w:noProof/>
      </w:rPr>
      <w:t>3</w:t>
    </w:r>
    <w:r w:rsidR="0027122D">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23A69" w14:textId="61CBEBCB" w:rsidR="0060256A" w:rsidRPr="00122143" w:rsidRDefault="0060256A" w:rsidP="0060256A">
    <w:pPr>
      <w:pStyle w:val="Footer"/>
      <w:pBdr>
        <w:top w:val="single" w:sz="4" w:space="1" w:color="auto"/>
      </w:pBdr>
      <w:tabs>
        <w:tab w:val="left" w:pos="4500"/>
      </w:tabs>
      <w:jc w:val="center"/>
      <w:rPr>
        <w:rFonts w:ascii="Arial" w:hAnsi="Arial" w:cs="Arial"/>
        <w:i/>
        <w:iCs/>
        <w:sz w:val="16"/>
        <w:szCs w:val="16"/>
      </w:rPr>
    </w:pPr>
    <w:r w:rsidRPr="00122143">
      <w:rPr>
        <w:rFonts w:ascii="Arial" w:hAnsi="Arial" w:cs="Arial"/>
        <w:i/>
        <w:iCs/>
        <w:sz w:val="16"/>
        <w:szCs w:val="16"/>
      </w:rPr>
      <w:t>Address:  Micha</w:t>
    </w:r>
    <w:r w:rsidR="00EF6A66">
      <w:rPr>
        <w:rFonts w:ascii="Arial" w:hAnsi="Arial" w:cs="Arial"/>
        <w:i/>
        <w:iCs/>
        <w:sz w:val="16"/>
        <w:szCs w:val="16"/>
      </w:rPr>
      <w:t>el</w:t>
    </w:r>
    <w:r w:rsidRPr="00122143">
      <w:rPr>
        <w:rFonts w:ascii="Arial" w:hAnsi="Arial" w:cs="Arial"/>
        <w:i/>
        <w:iCs/>
        <w:sz w:val="16"/>
        <w:szCs w:val="16"/>
      </w:rPr>
      <w:t xml:space="preserve"> </w:t>
    </w:r>
    <w:proofErr w:type="spellStart"/>
    <w:r w:rsidRPr="00122143">
      <w:rPr>
        <w:rFonts w:ascii="Arial" w:hAnsi="Arial" w:cs="Arial"/>
        <w:i/>
        <w:iCs/>
        <w:sz w:val="16"/>
        <w:szCs w:val="16"/>
      </w:rPr>
      <w:t>Karaoli</w:t>
    </w:r>
    <w:proofErr w:type="spellEnd"/>
    <w:r w:rsidRPr="00122143">
      <w:rPr>
        <w:rFonts w:ascii="Arial" w:hAnsi="Arial" w:cs="Arial"/>
        <w:i/>
        <w:iCs/>
        <w:sz w:val="16"/>
        <w:szCs w:val="16"/>
      </w:rPr>
      <w:t xml:space="preserve"> Str., 1444 Nicosia, Cyprus</w:t>
    </w:r>
  </w:p>
  <w:p w14:paraId="63B78C2F" w14:textId="77777777" w:rsidR="0060256A" w:rsidRPr="00430DCB" w:rsidRDefault="00122143" w:rsidP="0060256A">
    <w:pPr>
      <w:pStyle w:val="Footer"/>
      <w:tabs>
        <w:tab w:val="left" w:pos="4500"/>
      </w:tabs>
      <w:jc w:val="center"/>
      <w:rPr>
        <w:rFonts w:ascii="Arial" w:hAnsi="Arial" w:cs="Arial"/>
        <w:i/>
        <w:iCs/>
        <w:sz w:val="16"/>
        <w:szCs w:val="16"/>
        <w:lang w:val="pt-PT"/>
      </w:rPr>
    </w:pPr>
    <w:r w:rsidRPr="00430DCB">
      <w:rPr>
        <w:rFonts w:ascii="Arial" w:hAnsi="Arial" w:cs="Arial"/>
        <w:i/>
        <w:iCs/>
        <w:sz w:val="16"/>
        <w:szCs w:val="16"/>
        <w:lang w:val="pt-PT"/>
      </w:rPr>
      <w:t xml:space="preserve">Tel.:  22 602129, </w:t>
    </w:r>
    <w:r w:rsidR="0060256A" w:rsidRPr="00430DCB">
      <w:rPr>
        <w:rFonts w:ascii="Arial" w:hAnsi="Arial" w:cs="Arial"/>
        <w:i/>
        <w:iCs/>
        <w:sz w:val="16"/>
        <w:szCs w:val="16"/>
        <w:lang w:val="pt-PT"/>
      </w:rPr>
      <w:t>Fax: 22 661313, E-mail:  enquiries@cystat.mof.gov.cy</w:t>
    </w:r>
  </w:p>
  <w:p w14:paraId="1389D034" w14:textId="77777777" w:rsidR="004E4F42" w:rsidRPr="00122143" w:rsidRDefault="0060256A" w:rsidP="0060256A">
    <w:pPr>
      <w:pStyle w:val="Footer"/>
      <w:tabs>
        <w:tab w:val="left" w:pos="4500"/>
      </w:tabs>
      <w:jc w:val="center"/>
      <w:rPr>
        <w:rFonts w:ascii="Arial" w:hAnsi="Arial" w:cs="Arial"/>
        <w:sz w:val="16"/>
        <w:szCs w:val="16"/>
      </w:rPr>
    </w:pPr>
    <w:r w:rsidRPr="00122143">
      <w:rPr>
        <w:rFonts w:ascii="Arial" w:hAnsi="Arial" w:cs="Arial"/>
        <w:i/>
        <w:iCs/>
        <w:sz w:val="16"/>
        <w:szCs w:val="16"/>
      </w:rPr>
      <w:t xml:space="preserve">Web site: </w:t>
    </w:r>
    <w:hyperlink r:id="rId1" w:history="1">
      <w:r w:rsidRPr="00122143">
        <w:rPr>
          <w:rStyle w:val="Hyperlink"/>
          <w:rFonts w:ascii="Arial" w:hAnsi="Arial" w:cs="Arial"/>
          <w:i/>
          <w:iCs/>
          <w:sz w:val="16"/>
          <w:szCs w:val="16"/>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B87042" w14:textId="77777777" w:rsidR="00AA0200" w:rsidRDefault="00AA0200" w:rsidP="00FB398F">
      <w:r>
        <w:separator/>
      </w:r>
    </w:p>
  </w:footnote>
  <w:footnote w:type="continuationSeparator" w:id="0">
    <w:p w14:paraId="2421585F" w14:textId="77777777" w:rsidR="00AA0200" w:rsidRDefault="00AA0200"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AB35C"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35937" w14:textId="77777777" w:rsidR="004E4F42" w:rsidRDefault="00C74A19"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noProof/>
      </w:rPr>
      <w:drawing>
        <wp:anchor distT="0" distB="0" distL="114300" distR="114300" simplePos="0" relativeHeight="251656192" behindDoc="0" locked="0" layoutInCell="1" allowOverlap="1" wp14:anchorId="7042B988" wp14:editId="4AD49303">
          <wp:simplePos x="0" y="0"/>
          <wp:positionH relativeFrom="column">
            <wp:posOffset>523875</wp:posOffset>
          </wp:positionH>
          <wp:positionV relativeFrom="paragraph">
            <wp:posOffset>168910</wp:posOffset>
          </wp:positionV>
          <wp:extent cx="676275" cy="676275"/>
          <wp:effectExtent l="0" t="0" r="0" b="0"/>
          <wp:wrapNone/>
          <wp:docPr id="4"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14:anchorId="5818B6A0" wp14:editId="4722FE7A">
              <wp:simplePos x="0" y="0"/>
              <wp:positionH relativeFrom="column">
                <wp:posOffset>4772660</wp:posOffset>
              </wp:positionH>
              <wp:positionV relativeFrom="paragraph">
                <wp:posOffset>-69215</wp:posOffset>
              </wp:positionV>
              <wp:extent cx="1287780" cy="1047750"/>
              <wp:effectExtent l="0" t="0" r="8255" b="0"/>
              <wp:wrapNone/>
              <wp:docPr id="78251804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49FF000C" w14:textId="77777777" w:rsidR="004E4F42" w:rsidRDefault="00C74A19" w:rsidP="000932CF">
                          <w:r w:rsidRPr="00D96E3A">
                            <w:rPr>
                              <w:noProof/>
                            </w:rPr>
                            <w:drawing>
                              <wp:inline distT="0" distB="0" distL="0" distR="0" wp14:anchorId="1C1544AF" wp14:editId="76F89C1A">
                                <wp:extent cx="1095375" cy="79057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18B6A0" id="_x0000_t202" coordsize="21600,21600" o:spt="202" path="m,l,21600r21600,l21600,xe">
              <v:stroke joinstyle="miter"/>
              <v:path gradientshapeok="t" o:connecttype="rect"/>
            </v:shapetype>
            <v:shape id="Text Box 3"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49FF000C" w14:textId="77777777" w:rsidR="004E4F42" w:rsidRDefault="00C74A19" w:rsidP="000932CF">
                    <w:r w:rsidRPr="00D96E3A">
                      <w:rPr>
                        <w:noProof/>
                      </w:rPr>
                      <w:drawing>
                        <wp:inline distT="0" distB="0" distL="0" distR="0" wp14:anchorId="1C1544AF" wp14:editId="76F89C1A">
                          <wp:extent cx="1095375" cy="79057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24896CCF" wp14:editId="471FF68C">
              <wp:simplePos x="0" y="0"/>
              <wp:positionH relativeFrom="column">
                <wp:posOffset>3439160</wp:posOffset>
              </wp:positionH>
              <wp:positionV relativeFrom="paragraph">
                <wp:posOffset>-221615</wp:posOffset>
              </wp:positionV>
              <wp:extent cx="1468755" cy="1200150"/>
              <wp:effectExtent l="0" t="0" r="0" b="0"/>
              <wp:wrapNone/>
              <wp:docPr id="7287474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7A35EDB1" w14:textId="77777777" w:rsidR="004E4F42" w:rsidRDefault="00C74A19" w:rsidP="000932CF">
                          <w:r w:rsidRPr="00D96E3A">
                            <w:rPr>
                              <w:noProof/>
                            </w:rPr>
                            <w:drawing>
                              <wp:inline distT="0" distB="0" distL="0" distR="0" wp14:anchorId="3A8989EE" wp14:editId="497D4C4C">
                                <wp:extent cx="1276350" cy="1009650"/>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896CCF" id="Text Box 2"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7A35EDB1" w14:textId="77777777" w:rsidR="004E4F42" w:rsidRDefault="00C74A19" w:rsidP="000932CF">
                    <w:r w:rsidRPr="00D96E3A">
                      <w:rPr>
                        <w:noProof/>
                      </w:rPr>
                      <w:drawing>
                        <wp:inline distT="0" distB="0" distL="0" distR="0" wp14:anchorId="3A8989EE" wp14:editId="497D4C4C">
                          <wp:extent cx="1276350" cy="1009650"/>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3A525E0F"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04EF3F71"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9618B4B"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5E29B3C1" w14:textId="77777777" w:rsidR="004E4F42" w:rsidRDefault="004E4F42" w:rsidP="000932CF">
    <w:pPr>
      <w:pStyle w:val="Header"/>
      <w:tabs>
        <w:tab w:val="clear" w:pos="4153"/>
        <w:tab w:val="center" w:pos="1620"/>
        <w:tab w:val="left" w:pos="2160"/>
        <w:tab w:val="center" w:pos="7655"/>
      </w:tabs>
      <w:spacing w:line="360" w:lineRule="auto"/>
      <w:rPr>
        <w:rFonts w:ascii="Arial" w:hAnsi="Arial" w:cs="Arial"/>
        <w:bCs/>
        <w:sz w:val="18"/>
        <w:szCs w:val="18"/>
      </w:rPr>
    </w:pPr>
  </w:p>
  <w:p w14:paraId="00E1E875" w14:textId="77777777" w:rsidR="00364377" w:rsidRPr="00AC704B" w:rsidRDefault="00C74A19"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noProof/>
      </w:rPr>
      <mc:AlternateContent>
        <mc:Choice Requires="wps">
          <w:drawing>
            <wp:anchor distT="0" distB="0" distL="114300" distR="114300" simplePos="0" relativeHeight="251659264" behindDoc="0" locked="0" layoutInCell="1" allowOverlap="1" wp14:anchorId="30423F4A" wp14:editId="7882B8F8">
              <wp:simplePos x="0" y="0"/>
              <wp:positionH relativeFrom="column">
                <wp:posOffset>4102100</wp:posOffset>
              </wp:positionH>
              <wp:positionV relativeFrom="paragraph">
                <wp:posOffset>-140335</wp:posOffset>
              </wp:positionV>
              <wp:extent cx="1828800" cy="533400"/>
              <wp:effectExtent l="0" t="0" r="0" b="0"/>
              <wp:wrapNone/>
              <wp:docPr id="51078082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wps:spPr>
                    <wps:txbx>
                      <w:txbxContent>
                        <w:p w14:paraId="6F64D5F3"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0A70C56B"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country-region">
                            <w:smartTag w:uri="urn:schemas-microsoft-com:office:smarttags" w:element="place">
                              <w:r w:rsidRPr="00BA5A5E">
                                <w:rPr>
                                  <w:rFonts w:ascii="Arial" w:hAnsi="Arial" w:cs="Arial"/>
                                  <w:b/>
                                  <w:sz w:val="20"/>
                                  <w:szCs w:val="20"/>
                                </w:rPr>
                                <w:t>CYPRUS</w:t>
                              </w:r>
                            </w:smartTag>
                          </w:smartTag>
                        </w:p>
                        <w:p w14:paraId="235240E9"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423F4A" id="Text Box 1" o:spid="_x0000_s1028" type="#_x0000_t202" style="position:absolute;margin-left:323pt;margin-top:-11.05pt;width:2in;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O89QEAANE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yYrgq+jBCRdQnViXgjjHtF74CMFvAXZz3tVMH9z4NA&#10;xZn5ZEm794vVKi5hclbX75bk4GWkvIwIKwmq4IGz0dyFcXEPDnXTUqVxWhZuSe9aJymeu5rap71J&#10;Yk47Hhfz0k9Zzy9x+xsAAP//AwBQSwMEFAAGAAgAAAAhAI+whYTeAAAACgEAAA8AAABkcnMvZG93&#10;bnJldi54bWxMj0FPg0AQhe8m/ofNmHgx7QIiFWRp1ETTa2t/wMBOgcjuEnZb6L93POlx3nt5871y&#10;u5hBXGjyvbMK4nUEgmzjdG9bBcevj9UzCB/QahycJQVX8rCtbm9KLLSb7Z4uh9AKLrG+QAVdCGMh&#10;pW86MujXbiTL3slNBgOfUyv1hDOXm0EmUZRJg73lDx2O9N5R8304GwWn3fzwlM/1Zzhu9mn2hv2m&#10;dlel7u+W1xcQgZbwF4ZffEaHiplqd7bai0FBlma8JShYJUkMghP5Y8pKzVacg6xK+X9C9QMAAP//&#10;AwBQSwECLQAUAAYACAAAACEAtoM4kv4AAADhAQAAEwAAAAAAAAAAAAAAAAAAAAAAW0NvbnRlbnRf&#10;VHlwZXNdLnhtbFBLAQItABQABgAIAAAAIQA4/SH/1gAAAJQBAAALAAAAAAAAAAAAAAAAAC8BAABf&#10;cmVscy8ucmVsc1BLAQItABQABgAIAAAAIQBBwKO89QEAANEDAAAOAAAAAAAAAAAAAAAAAC4CAABk&#10;cnMvZTJvRG9jLnhtbFBLAQItABQABgAIAAAAIQCPsIWE3gAAAAoBAAAPAAAAAAAAAAAAAAAAAE8E&#10;AABkcnMvZG93bnJldi54bWxQSwUGAAAAAAQABADzAAAAWgUAAAAA&#10;" stroked="f">
              <v:textbox>
                <w:txbxContent>
                  <w:p w14:paraId="6F64D5F3"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0A70C56B"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place">
                      <w:smartTag w:uri="urn:schemas-microsoft-com:office:smarttags" w:element="country-region">
                        <w:r w:rsidRPr="00BA5A5E">
                          <w:rPr>
                            <w:rFonts w:ascii="Arial" w:hAnsi="Arial" w:cs="Arial"/>
                            <w:b/>
                            <w:sz w:val="20"/>
                            <w:szCs w:val="20"/>
                          </w:rPr>
                          <w:t>CYPRUS</w:t>
                        </w:r>
                      </w:smartTag>
                    </w:smartTag>
                  </w:p>
                  <w:p w14:paraId="235240E9"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v:textbox>
            </v:shape>
          </w:pict>
        </mc:Fallback>
      </mc:AlternateContent>
    </w:r>
    <w:r w:rsidR="004E4F42" w:rsidRPr="00AC704B">
      <w:rPr>
        <w:rFonts w:ascii="Arial" w:hAnsi="Arial" w:cs="Arial"/>
        <w:bCs/>
        <w:sz w:val="18"/>
        <w:szCs w:val="18"/>
        <w:lang w:val="en-US"/>
      </w:rPr>
      <w:t xml:space="preserve">     </w:t>
    </w:r>
    <w:r w:rsidR="004E4F42">
      <w:rPr>
        <w:rFonts w:ascii="Arial" w:hAnsi="Arial" w:cs="Arial"/>
        <w:bCs/>
        <w:sz w:val="18"/>
        <w:szCs w:val="18"/>
        <w:lang w:val="en-US"/>
      </w:rPr>
      <w:t xml:space="preserve">   </w:t>
    </w:r>
    <w:r w:rsidR="00364377" w:rsidRPr="007C1520">
      <w:rPr>
        <w:rFonts w:ascii="Arial" w:hAnsi="Arial" w:cs="Arial"/>
        <w:bCs/>
        <w:sz w:val="18"/>
        <w:szCs w:val="18"/>
        <w:lang w:val="en-US"/>
      </w:rPr>
      <w:t>REPUBLIC OF CYPRUS</w:t>
    </w:r>
    <w:r w:rsidR="00364377" w:rsidRPr="00AC704B">
      <w:rPr>
        <w:b/>
        <w:bCs/>
        <w:sz w:val="20"/>
        <w:szCs w:val="20"/>
        <w:lang w:val="en-US"/>
      </w:rPr>
      <w:t xml:space="preserve"> </w:t>
    </w:r>
    <w:r w:rsidR="00364377" w:rsidRPr="00AC704B">
      <w:rPr>
        <w:b/>
        <w:bCs/>
        <w:sz w:val="20"/>
        <w:szCs w:val="20"/>
        <w:lang w:val="en-US"/>
      </w:rPr>
      <w:tab/>
    </w:r>
  </w:p>
  <w:p w14:paraId="759F6ED9" w14:textId="77777777" w:rsidR="004E4F42" w:rsidRPr="00AC704B" w:rsidRDefault="004E4F42"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
        <w:bCs/>
        <w:sz w:val="22"/>
        <w:szCs w:val="22"/>
        <w:lang w:val="en-US"/>
      </w:rPr>
      <w:tab/>
    </w:r>
    <w:r w:rsidRPr="00AC704B">
      <w:rPr>
        <w:b/>
        <w:bCs/>
        <w:sz w:val="22"/>
        <w:szCs w:val="22"/>
        <w:lang w:val="en-US"/>
      </w:rPr>
      <w:tab/>
    </w:r>
  </w:p>
  <w:p w14:paraId="006C6A55" w14:textId="77777777" w:rsidR="004E4F42" w:rsidRPr="0060256A" w:rsidRDefault="004E4F4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011680174">
    <w:abstractNumId w:val="4"/>
  </w:num>
  <w:num w:numId="2" w16cid:durableId="1201240858">
    <w:abstractNumId w:val="1"/>
  </w:num>
  <w:num w:numId="3" w16cid:durableId="1885562988">
    <w:abstractNumId w:val="2"/>
  </w:num>
  <w:num w:numId="4" w16cid:durableId="896401850">
    <w:abstractNumId w:val="3"/>
  </w:num>
  <w:num w:numId="5" w16cid:durableId="1924417022">
    <w:abstractNumId w:val="0"/>
  </w:num>
  <w:num w:numId="6" w16cid:durableId="1377698381">
    <w:abstractNumId w:val="5"/>
  </w:num>
  <w:num w:numId="7" w16cid:durableId="20249412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0248"/>
    <w:rsid w:val="00000A27"/>
    <w:rsid w:val="00004F86"/>
    <w:rsid w:val="0000542E"/>
    <w:rsid w:val="00013E40"/>
    <w:rsid w:val="000161B1"/>
    <w:rsid w:val="00025A39"/>
    <w:rsid w:val="00027853"/>
    <w:rsid w:val="00030E18"/>
    <w:rsid w:val="00031D32"/>
    <w:rsid w:val="000326D5"/>
    <w:rsid w:val="0003603D"/>
    <w:rsid w:val="00036FA9"/>
    <w:rsid w:val="00041DEA"/>
    <w:rsid w:val="00045088"/>
    <w:rsid w:val="00045A06"/>
    <w:rsid w:val="00050391"/>
    <w:rsid w:val="00055291"/>
    <w:rsid w:val="000563D3"/>
    <w:rsid w:val="00057E44"/>
    <w:rsid w:val="00061299"/>
    <w:rsid w:val="000655F1"/>
    <w:rsid w:val="00070576"/>
    <w:rsid w:val="00072754"/>
    <w:rsid w:val="000752BB"/>
    <w:rsid w:val="00081ADF"/>
    <w:rsid w:val="00084A02"/>
    <w:rsid w:val="00084BF7"/>
    <w:rsid w:val="00084FCC"/>
    <w:rsid w:val="000870E9"/>
    <w:rsid w:val="000932CF"/>
    <w:rsid w:val="00096ED8"/>
    <w:rsid w:val="000A1A88"/>
    <w:rsid w:val="000A2B5C"/>
    <w:rsid w:val="000A3268"/>
    <w:rsid w:val="000A3601"/>
    <w:rsid w:val="000A6FA8"/>
    <w:rsid w:val="000B6F3B"/>
    <w:rsid w:val="000C31D1"/>
    <w:rsid w:val="000C4E72"/>
    <w:rsid w:val="000D1E7A"/>
    <w:rsid w:val="000E0BB1"/>
    <w:rsid w:val="000E24B1"/>
    <w:rsid w:val="000E2735"/>
    <w:rsid w:val="000E32D6"/>
    <w:rsid w:val="000E57F2"/>
    <w:rsid w:val="000E72A7"/>
    <w:rsid w:val="000F1162"/>
    <w:rsid w:val="000F3467"/>
    <w:rsid w:val="000F38DE"/>
    <w:rsid w:val="000F5D6C"/>
    <w:rsid w:val="00103E69"/>
    <w:rsid w:val="00106852"/>
    <w:rsid w:val="00110F9D"/>
    <w:rsid w:val="00114A67"/>
    <w:rsid w:val="00122143"/>
    <w:rsid w:val="001253B6"/>
    <w:rsid w:val="00127320"/>
    <w:rsid w:val="00127456"/>
    <w:rsid w:val="001312D8"/>
    <w:rsid w:val="0013137B"/>
    <w:rsid w:val="00146CDA"/>
    <w:rsid w:val="0015118B"/>
    <w:rsid w:val="001519CE"/>
    <w:rsid w:val="0015285E"/>
    <w:rsid w:val="00153BEA"/>
    <w:rsid w:val="00161CF3"/>
    <w:rsid w:val="00162C00"/>
    <w:rsid w:val="001639EF"/>
    <w:rsid w:val="0016589F"/>
    <w:rsid w:val="00166FC4"/>
    <w:rsid w:val="00176558"/>
    <w:rsid w:val="0017756A"/>
    <w:rsid w:val="0017769A"/>
    <w:rsid w:val="00183DFC"/>
    <w:rsid w:val="00184384"/>
    <w:rsid w:val="001843B2"/>
    <w:rsid w:val="00184656"/>
    <w:rsid w:val="00186717"/>
    <w:rsid w:val="00187FFC"/>
    <w:rsid w:val="001A2018"/>
    <w:rsid w:val="001A3DD4"/>
    <w:rsid w:val="001B2C39"/>
    <w:rsid w:val="001B3675"/>
    <w:rsid w:val="001B54AB"/>
    <w:rsid w:val="001B5E10"/>
    <w:rsid w:val="001B6AB3"/>
    <w:rsid w:val="001B73D5"/>
    <w:rsid w:val="001C0253"/>
    <w:rsid w:val="001C0681"/>
    <w:rsid w:val="001C14B9"/>
    <w:rsid w:val="001C62B3"/>
    <w:rsid w:val="001C7C8C"/>
    <w:rsid w:val="001D0D6A"/>
    <w:rsid w:val="001D20A4"/>
    <w:rsid w:val="001E00D1"/>
    <w:rsid w:val="001E0E58"/>
    <w:rsid w:val="001E14F3"/>
    <w:rsid w:val="001E15ED"/>
    <w:rsid w:val="001E61AA"/>
    <w:rsid w:val="001E7D09"/>
    <w:rsid w:val="0020309E"/>
    <w:rsid w:val="00205BA0"/>
    <w:rsid w:val="00210B58"/>
    <w:rsid w:val="00222423"/>
    <w:rsid w:val="00225B28"/>
    <w:rsid w:val="002313AC"/>
    <w:rsid w:val="0023412E"/>
    <w:rsid w:val="00235FB2"/>
    <w:rsid w:val="00237BC1"/>
    <w:rsid w:val="002426CA"/>
    <w:rsid w:val="002430B4"/>
    <w:rsid w:val="002447D0"/>
    <w:rsid w:val="002454C5"/>
    <w:rsid w:val="00245E19"/>
    <w:rsid w:val="0024685F"/>
    <w:rsid w:val="00246AEB"/>
    <w:rsid w:val="00250005"/>
    <w:rsid w:val="0025254F"/>
    <w:rsid w:val="0025566D"/>
    <w:rsid w:val="0025595C"/>
    <w:rsid w:val="00257149"/>
    <w:rsid w:val="002576E7"/>
    <w:rsid w:val="00260357"/>
    <w:rsid w:val="00264F04"/>
    <w:rsid w:val="00267554"/>
    <w:rsid w:val="0027122D"/>
    <w:rsid w:val="0028338F"/>
    <w:rsid w:val="00285C24"/>
    <w:rsid w:val="002915C4"/>
    <w:rsid w:val="002A1D1C"/>
    <w:rsid w:val="002A2B15"/>
    <w:rsid w:val="002A4D64"/>
    <w:rsid w:val="002B6554"/>
    <w:rsid w:val="002D05F0"/>
    <w:rsid w:val="002D7D4A"/>
    <w:rsid w:val="002E1906"/>
    <w:rsid w:val="002E3846"/>
    <w:rsid w:val="002E3F78"/>
    <w:rsid w:val="002F400C"/>
    <w:rsid w:val="002F4D76"/>
    <w:rsid w:val="002F6D26"/>
    <w:rsid w:val="002F6F76"/>
    <w:rsid w:val="0030231E"/>
    <w:rsid w:val="003042C4"/>
    <w:rsid w:val="00304CB4"/>
    <w:rsid w:val="00313F37"/>
    <w:rsid w:val="003141D0"/>
    <w:rsid w:val="003168C1"/>
    <w:rsid w:val="00322FBE"/>
    <w:rsid w:val="00325632"/>
    <w:rsid w:val="00326135"/>
    <w:rsid w:val="00327549"/>
    <w:rsid w:val="003342A5"/>
    <w:rsid w:val="00336C36"/>
    <w:rsid w:val="00343815"/>
    <w:rsid w:val="00351E07"/>
    <w:rsid w:val="003522BB"/>
    <w:rsid w:val="00352F6C"/>
    <w:rsid w:val="003556EA"/>
    <w:rsid w:val="00364377"/>
    <w:rsid w:val="00377ABB"/>
    <w:rsid w:val="00384ACC"/>
    <w:rsid w:val="003854F5"/>
    <w:rsid w:val="00386FC7"/>
    <w:rsid w:val="00390A32"/>
    <w:rsid w:val="00396C89"/>
    <w:rsid w:val="003A40F2"/>
    <w:rsid w:val="003A50D1"/>
    <w:rsid w:val="003A7E26"/>
    <w:rsid w:val="003B196D"/>
    <w:rsid w:val="003B2710"/>
    <w:rsid w:val="003B4608"/>
    <w:rsid w:val="003C1B8E"/>
    <w:rsid w:val="003C1CB6"/>
    <w:rsid w:val="003C2392"/>
    <w:rsid w:val="003C5174"/>
    <w:rsid w:val="003C5240"/>
    <w:rsid w:val="003D14E0"/>
    <w:rsid w:val="003D1EA5"/>
    <w:rsid w:val="003D3348"/>
    <w:rsid w:val="003D3ED7"/>
    <w:rsid w:val="003D6822"/>
    <w:rsid w:val="003D724C"/>
    <w:rsid w:val="003E0CE2"/>
    <w:rsid w:val="003F49E4"/>
    <w:rsid w:val="003F4D2F"/>
    <w:rsid w:val="003F5E32"/>
    <w:rsid w:val="003F75F6"/>
    <w:rsid w:val="00403408"/>
    <w:rsid w:val="00404670"/>
    <w:rsid w:val="00414CA0"/>
    <w:rsid w:val="00422F54"/>
    <w:rsid w:val="00426870"/>
    <w:rsid w:val="00430DCB"/>
    <w:rsid w:val="00431516"/>
    <w:rsid w:val="00435CC1"/>
    <w:rsid w:val="004361B3"/>
    <w:rsid w:val="0044249D"/>
    <w:rsid w:val="0044379F"/>
    <w:rsid w:val="00446FB1"/>
    <w:rsid w:val="0045039B"/>
    <w:rsid w:val="0046078F"/>
    <w:rsid w:val="00463214"/>
    <w:rsid w:val="0046434D"/>
    <w:rsid w:val="004656FA"/>
    <w:rsid w:val="00471D77"/>
    <w:rsid w:val="00475587"/>
    <w:rsid w:val="00480BC2"/>
    <w:rsid w:val="004929C2"/>
    <w:rsid w:val="00493FDD"/>
    <w:rsid w:val="0049586B"/>
    <w:rsid w:val="004A3E44"/>
    <w:rsid w:val="004A7983"/>
    <w:rsid w:val="004B2896"/>
    <w:rsid w:val="004B38E9"/>
    <w:rsid w:val="004B3FBA"/>
    <w:rsid w:val="004B556F"/>
    <w:rsid w:val="004B6599"/>
    <w:rsid w:val="004C35CE"/>
    <w:rsid w:val="004C6CA7"/>
    <w:rsid w:val="004C7072"/>
    <w:rsid w:val="004D4357"/>
    <w:rsid w:val="004D4950"/>
    <w:rsid w:val="004D4B64"/>
    <w:rsid w:val="004E2393"/>
    <w:rsid w:val="004E27EC"/>
    <w:rsid w:val="004E3745"/>
    <w:rsid w:val="004E42BE"/>
    <w:rsid w:val="004E4F42"/>
    <w:rsid w:val="004E63D5"/>
    <w:rsid w:val="004F03FD"/>
    <w:rsid w:val="004F4DC9"/>
    <w:rsid w:val="004F52F0"/>
    <w:rsid w:val="004F6250"/>
    <w:rsid w:val="004F677C"/>
    <w:rsid w:val="004F6D8F"/>
    <w:rsid w:val="00501C5F"/>
    <w:rsid w:val="00505503"/>
    <w:rsid w:val="0051107B"/>
    <w:rsid w:val="00512A4A"/>
    <w:rsid w:val="00512F9C"/>
    <w:rsid w:val="00517290"/>
    <w:rsid w:val="00527CDB"/>
    <w:rsid w:val="005317FB"/>
    <w:rsid w:val="005341C9"/>
    <w:rsid w:val="005369CA"/>
    <w:rsid w:val="00536DE9"/>
    <w:rsid w:val="00540668"/>
    <w:rsid w:val="00541E08"/>
    <w:rsid w:val="0055789A"/>
    <w:rsid w:val="005652D1"/>
    <w:rsid w:val="005660A0"/>
    <w:rsid w:val="00566A4F"/>
    <w:rsid w:val="00567D64"/>
    <w:rsid w:val="00572BC2"/>
    <w:rsid w:val="00592810"/>
    <w:rsid w:val="00592DD1"/>
    <w:rsid w:val="00593674"/>
    <w:rsid w:val="005938ED"/>
    <w:rsid w:val="0059478C"/>
    <w:rsid w:val="005978D4"/>
    <w:rsid w:val="005B2A67"/>
    <w:rsid w:val="005B3DCD"/>
    <w:rsid w:val="005B4AD4"/>
    <w:rsid w:val="005B5CC7"/>
    <w:rsid w:val="005C2798"/>
    <w:rsid w:val="005C36C3"/>
    <w:rsid w:val="005C56EE"/>
    <w:rsid w:val="005C5D4B"/>
    <w:rsid w:val="005D1714"/>
    <w:rsid w:val="005D2D39"/>
    <w:rsid w:val="005D7638"/>
    <w:rsid w:val="005F12F5"/>
    <w:rsid w:val="005F4B4F"/>
    <w:rsid w:val="005F7C7D"/>
    <w:rsid w:val="006014CA"/>
    <w:rsid w:val="0060256A"/>
    <w:rsid w:val="006044B7"/>
    <w:rsid w:val="006071CE"/>
    <w:rsid w:val="006075B5"/>
    <w:rsid w:val="0061018C"/>
    <w:rsid w:val="0061094E"/>
    <w:rsid w:val="00613440"/>
    <w:rsid w:val="00613BE3"/>
    <w:rsid w:val="006154C4"/>
    <w:rsid w:val="0062327B"/>
    <w:rsid w:val="00627B86"/>
    <w:rsid w:val="00632777"/>
    <w:rsid w:val="00633750"/>
    <w:rsid w:val="00634491"/>
    <w:rsid w:val="0063679C"/>
    <w:rsid w:val="00637055"/>
    <w:rsid w:val="00641D59"/>
    <w:rsid w:val="00644507"/>
    <w:rsid w:val="00646880"/>
    <w:rsid w:val="00647D2A"/>
    <w:rsid w:val="00650E35"/>
    <w:rsid w:val="006537BB"/>
    <w:rsid w:val="0065711B"/>
    <w:rsid w:val="00671785"/>
    <w:rsid w:val="00672BA9"/>
    <w:rsid w:val="00673005"/>
    <w:rsid w:val="00677A2A"/>
    <w:rsid w:val="006804BE"/>
    <w:rsid w:val="0069008E"/>
    <w:rsid w:val="0069087E"/>
    <w:rsid w:val="00691191"/>
    <w:rsid w:val="006925C4"/>
    <w:rsid w:val="0069309C"/>
    <w:rsid w:val="006A02B7"/>
    <w:rsid w:val="006A6511"/>
    <w:rsid w:val="006A6DDC"/>
    <w:rsid w:val="006B46D5"/>
    <w:rsid w:val="006B46F4"/>
    <w:rsid w:val="006B5AB5"/>
    <w:rsid w:val="006C0750"/>
    <w:rsid w:val="006C4DD5"/>
    <w:rsid w:val="006C7AF3"/>
    <w:rsid w:val="006D6548"/>
    <w:rsid w:val="006E0BB9"/>
    <w:rsid w:val="006E0E20"/>
    <w:rsid w:val="006E4256"/>
    <w:rsid w:val="006E4BBA"/>
    <w:rsid w:val="006E5F43"/>
    <w:rsid w:val="006E60A6"/>
    <w:rsid w:val="006E641E"/>
    <w:rsid w:val="006F0F69"/>
    <w:rsid w:val="006F116B"/>
    <w:rsid w:val="006F117F"/>
    <w:rsid w:val="006F13DF"/>
    <w:rsid w:val="006F1E66"/>
    <w:rsid w:val="00702F26"/>
    <w:rsid w:val="0070313E"/>
    <w:rsid w:val="00703799"/>
    <w:rsid w:val="00705C5C"/>
    <w:rsid w:val="00711475"/>
    <w:rsid w:val="007202B9"/>
    <w:rsid w:val="0072548A"/>
    <w:rsid w:val="007277A6"/>
    <w:rsid w:val="0074043A"/>
    <w:rsid w:val="007437AB"/>
    <w:rsid w:val="007534F8"/>
    <w:rsid w:val="007545AD"/>
    <w:rsid w:val="00763722"/>
    <w:rsid w:val="00764BC1"/>
    <w:rsid w:val="00766A3F"/>
    <w:rsid w:val="00770869"/>
    <w:rsid w:val="007738AA"/>
    <w:rsid w:val="00780A62"/>
    <w:rsid w:val="00783241"/>
    <w:rsid w:val="007838EC"/>
    <w:rsid w:val="00784BDC"/>
    <w:rsid w:val="00792F28"/>
    <w:rsid w:val="0079543F"/>
    <w:rsid w:val="00795880"/>
    <w:rsid w:val="007A4367"/>
    <w:rsid w:val="007B0867"/>
    <w:rsid w:val="007B1AC1"/>
    <w:rsid w:val="007B5A08"/>
    <w:rsid w:val="007B693D"/>
    <w:rsid w:val="007D443F"/>
    <w:rsid w:val="007E041B"/>
    <w:rsid w:val="007E199A"/>
    <w:rsid w:val="007E2415"/>
    <w:rsid w:val="007E39F3"/>
    <w:rsid w:val="007E68F4"/>
    <w:rsid w:val="007F31BA"/>
    <w:rsid w:val="007F3718"/>
    <w:rsid w:val="007F4078"/>
    <w:rsid w:val="0080014B"/>
    <w:rsid w:val="008016E1"/>
    <w:rsid w:val="00801793"/>
    <w:rsid w:val="00803642"/>
    <w:rsid w:val="00806EA2"/>
    <w:rsid w:val="00812A2B"/>
    <w:rsid w:val="00814A4C"/>
    <w:rsid w:val="00831AAB"/>
    <w:rsid w:val="0083574E"/>
    <w:rsid w:val="0083640C"/>
    <w:rsid w:val="0084157B"/>
    <w:rsid w:val="00842BFB"/>
    <w:rsid w:val="00846B85"/>
    <w:rsid w:val="00847572"/>
    <w:rsid w:val="00847DC3"/>
    <w:rsid w:val="00847F49"/>
    <w:rsid w:val="008535C5"/>
    <w:rsid w:val="00853765"/>
    <w:rsid w:val="008545FE"/>
    <w:rsid w:val="0085516F"/>
    <w:rsid w:val="00861278"/>
    <w:rsid w:val="00867186"/>
    <w:rsid w:val="00870AF6"/>
    <w:rsid w:val="00876EC7"/>
    <w:rsid w:val="00881268"/>
    <w:rsid w:val="0088394A"/>
    <w:rsid w:val="00883F11"/>
    <w:rsid w:val="008860BD"/>
    <w:rsid w:val="00887399"/>
    <w:rsid w:val="0088779E"/>
    <w:rsid w:val="008912AF"/>
    <w:rsid w:val="0089151D"/>
    <w:rsid w:val="00892114"/>
    <w:rsid w:val="00892CB9"/>
    <w:rsid w:val="008935CB"/>
    <w:rsid w:val="008B0E7E"/>
    <w:rsid w:val="008B5FF0"/>
    <w:rsid w:val="008B65BD"/>
    <w:rsid w:val="008B7900"/>
    <w:rsid w:val="008C03D1"/>
    <w:rsid w:val="008C71BF"/>
    <w:rsid w:val="008C7FE0"/>
    <w:rsid w:val="008D5717"/>
    <w:rsid w:val="008E13E5"/>
    <w:rsid w:val="008E44A9"/>
    <w:rsid w:val="008E6B4D"/>
    <w:rsid w:val="008E6BFF"/>
    <w:rsid w:val="008F21AF"/>
    <w:rsid w:val="008F2400"/>
    <w:rsid w:val="008F61BA"/>
    <w:rsid w:val="008F6E3C"/>
    <w:rsid w:val="008F7C55"/>
    <w:rsid w:val="00902642"/>
    <w:rsid w:val="0090338C"/>
    <w:rsid w:val="00914A23"/>
    <w:rsid w:val="00927A10"/>
    <w:rsid w:val="00930754"/>
    <w:rsid w:val="00931164"/>
    <w:rsid w:val="00934F68"/>
    <w:rsid w:val="009355AC"/>
    <w:rsid w:val="00935F38"/>
    <w:rsid w:val="00937586"/>
    <w:rsid w:val="00947889"/>
    <w:rsid w:val="00960E98"/>
    <w:rsid w:val="00963A82"/>
    <w:rsid w:val="00971636"/>
    <w:rsid w:val="00972912"/>
    <w:rsid w:val="00972CA0"/>
    <w:rsid w:val="00976D1F"/>
    <w:rsid w:val="00981C81"/>
    <w:rsid w:val="00985F46"/>
    <w:rsid w:val="00992209"/>
    <w:rsid w:val="009A2D24"/>
    <w:rsid w:val="009A456C"/>
    <w:rsid w:val="009A4B24"/>
    <w:rsid w:val="009B00E0"/>
    <w:rsid w:val="009B292A"/>
    <w:rsid w:val="009B76D5"/>
    <w:rsid w:val="009C165D"/>
    <w:rsid w:val="009C37F7"/>
    <w:rsid w:val="009C3CEA"/>
    <w:rsid w:val="009C583D"/>
    <w:rsid w:val="009D2611"/>
    <w:rsid w:val="009D79D2"/>
    <w:rsid w:val="009E247C"/>
    <w:rsid w:val="009E31BA"/>
    <w:rsid w:val="009F0528"/>
    <w:rsid w:val="009F0806"/>
    <w:rsid w:val="009F0B47"/>
    <w:rsid w:val="009F233B"/>
    <w:rsid w:val="00A05D16"/>
    <w:rsid w:val="00A0659F"/>
    <w:rsid w:val="00A079BA"/>
    <w:rsid w:val="00A1166C"/>
    <w:rsid w:val="00A22828"/>
    <w:rsid w:val="00A302B9"/>
    <w:rsid w:val="00A30DFD"/>
    <w:rsid w:val="00A33875"/>
    <w:rsid w:val="00A360A1"/>
    <w:rsid w:val="00A402B3"/>
    <w:rsid w:val="00A544B7"/>
    <w:rsid w:val="00A57834"/>
    <w:rsid w:val="00A618CF"/>
    <w:rsid w:val="00A62770"/>
    <w:rsid w:val="00A62EEB"/>
    <w:rsid w:val="00A65F94"/>
    <w:rsid w:val="00A660FF"/>
    <w:rsid w:val="00A6625A"/>
    <w:rsid w:val="00A71DF9"/>
    <w:rsid w:val="00A73395"/>
    <w:rsid w:val="00A763D9"/>
    <w:rsid w:val="00A82B4C"/>
    <w:rsid w:val="00A93A4C"/>
    <w:rsid w:val="00A94D5D"/>
    <w:rsid w:val="00A97F20"/>
    <w:rsid w:val="00AA0200"/>
    <w:rsid w:val="00AA1D9B"/>
    <w:rsid w:val="00AA2543"/>
    <w:rsid w:val="00AA3804"/>
    <w:rsid w:val="00AA3EF4"/>
    <w:rsid w:val="00AA529E"/>
    <w:rsid w:val="00AA55C2"/>
    <w:rsid w:val="00AB0ACA"/>
    <w:rsid w:val="00AB1D41"/>
    <w:rsid w:val="00AC1A04"/>
    <w:rsid w:val="00AC5E9A"/>
    <w:rsid w:val="00AC5F85"/>
    <w:rsid w:val="00AC704B"/>
    <w:rsid w:val="00AD0CE7"/>
    <w:rsid w:val="00AD553E"/>
    <w:rsid w:val="00AD5848"/>
    <w:rsid w:val="00AE5ADA"/>
    <w:rsid w:val="00AF1C7B"/>
    <w:rsid w:val="00AF6145"/>
    <w:rsid w:val="00B01386"/>
    <w:rsid w:val="00B01BB5"/>
    <w:rsid w:val="00B03DD6"/>
    <w:rsid w:val="00B04AF4"/>
    <w:rsid w:val="00B05214"/>
    <w:rsid w:val="00B0736F"/>
    <w:rsid w:val="00B30D97"/>
    <w:rsid w:val="00B31738"/>
    <w:rsid w:val="00B3181A"/>
    <w:rsid w:val="00B35A7C"/>
    <w:rsid w:val="00B450D1"/>
    <w:rsid w:val="00B53089"/>
    <w:rsid w:val="00B53D47"/>
    <w:rsid w:val="00B54A25"/>
    <w:rsid w:val="00B618C3"/>
    <w:rsid w:val="00B62B5B"/>
    <w:rsid w:val="00B63652"/>
    <w:rsid w:val="00B668B0"/>
    <w:rsid w:val="00B70F5C"/>
    <w:rsid w:val="00B71873"/>
    <w:rsid w:val="00B75AE5"/>
    <w:rsid w:val="00B800C0"/>
    <w:rsid w:val="00B8132B"/>
    <w:rsid w:val="00B84C5A"/>
    <w:rsid w:val="00B85808"/>
    <w:rsid w:val="00B858F5"/>
    <w:rsid w:val="00B85ADA"/>
    <w:rsid w:val="00B93668"/>
    <w:rsid w:val="00BA68C6"/>
    <w:rsid w:val="00BB12F1"/>
    <w:rsid w:val="00BB276E"/>
    <w:rsid w:val="00BB3FEE"/>
    <w:rsid w:val="00BB5EB0"/>
    <w:rsid w:val="00BB7A27"/>
    <w:rsid w:val="00BC245A"/>
    <w:rsid w:val="00BC340C"/>
    <w:rsid w:val="00BD16FA"/>
    <w:rsid w:val="00BD41C3"/>
    <w:rsid w:val="00BD488B"/>
    <w:rsid w:val="00BD7CCC"/>
    <w:rsid w:val="00BE002A"/>
    <w:rsid w:val="00BE1BC9"/>
    <w:rsid w:val="00BE5CDA"/>
    <w:rsid w:val="00BE608F"/>
    <w:rsid w:val="00BF23BB"/>
    <w:rsid w:val="00BF32F4"/>
    <w:rsid w:val="00BF33DD"/>
    <w:rsid w:val="00BF5755"/>
    <w:rsid w:val="00BF684B"/>
    <w:rsid w:val="00C016F3"/>
    <w:rsid w:val="00C077C9"/>
    <w:rsid w:val="00C15193"/>
    <w:rsid w:val="00C15609"/>
    <w:rsid w:val="00C15F6A"/>
    <w:rsid w:val="00C23EA7"/>
    <w:rsid w:val="00C256F3"/>
    <w:rsid w:val="00C26329"/>
    <w:rsid w:val="00C270A2"/>
    <w:rsid w:val="00C315B5"/>
    <w:rsid w:val="00C32D3A"/>
    <w:rsid w:val="00C35E28"/>
    <w:rsid w:val="00C41821"/>
    <w:rsid w:val="00C42485"/>
    <w:rsid w:val="00C426AF"/>
    <w:rsid w:val="00C469C1"/>
    <w:rsid w:val="00C50659"/>
    <w:rsid w:val="00C51B39"/>
    <w:rsid w:val="00C5338A"/>
    <w:rsid w:val="00C54EF9"/>
    <w:rsid w:val="00C56BBF"/>
    <w:rsid w:val="00C572AA"/>
    <w:rsid w:val="00C57A9A"/>
    <w:rsid w:val="00C6016A"/>
    <w:rsid w:val="00C60B3F"/>
    <w:rsid w:val="00C623EB"/>
    <w:rsid w:val="00C6258A"/>
    <w:rsid w:val="00C64C6B"/>
    <w:rsid w:val="00C65138"/>
    <w:rsid w:val="00C66F2E"/>
    <w:rsid w:val="00C6785C"/>
    <w:rsid w:val="00C70FD1"/>
    <w:rsid w:val="00C733AA"/>
    <w:rsid w:val="00C74A19"/>
    <w:rsid w:val="00C83027"/>
    <w:rsid w:val="00C84B8A"/>
    <w:rsid w:val="00C85E65"/>
    <w:rsid w:val="00C87CA1"/>
    <w:rsid w:val="00C911B4"/>
    <w:rsid w:val="00C91B3B"/>
    <w:rsid w:val="00C94262"/>
    <w:rsid w:val="00C94B3A"/>
    <w:rsid w:val="00C976E1"/>
    <w:rsid w:val="00CA148E"/>
    <w:rsid w:val="00CA3A9A"/>
    <w:rsid w:val="00CA63BA"/>
    <w:rsid w:val="00CA6B5D"/>
    <w:rsid w:val="00CB4E02"/>
    <w:rsid w:val="00CB6BC1"/>
    <w:rsid w:val="00CB7021"/>
    <w:rsid w:val="00CC1543"/>
    <w:rsid w:val="00CC60DC"/>
    <w:rsid w:val="00CD3294"/>
    <w:rsid w:val="00CD4524"/>
    <w:rsid w:val="00CD784D"/>
    <w:rsid w:val="00CF40F8"/>
    <w:rsid w:val="00CF48B2"/>
    <w:rsid w:val="00D008DA"/>
    <w:rsid w:val="00D0416F"/>
    <w:rsid w:val="00D05851"/>
    <w:rsid w:val="00D10FA5"/>
    <w:rsid w:val="00D10FED"/>
    <w:rsid w:val="00D11736"/>
    <w:rsid w:val="00D12EE8"/>
    <w:rsid w:val="00D15FF1"/>
    <w:rsid w:val="00D167F4"/>
    <w:rsid w:val="00D2092A"/>
    <w:rsid w:val="00D2216D"/>
    <w:rsid w:val="00D31A6F"/>
    <w:rsid w:val="00D33293"/>
    <w:rsid w:val="00D353D1"/>
    <w:rsid w:val="00D35C84"/>
    <w:rsid w:val="00D367DB"/>
    <w:rsid w:val="00D36E05"/>
    <w:rsid w:val="00D44F27"/>
    <w:rsid w:val="00D45304"/>
    <w:rsid w:val="00D461C7"/>
    <w:rsid w:val="00D50424"/>
    <w:rsid w:val="00D57495"/>
    <w:rsid w:val="00D57D3E"/>
    <w:rsid w:val="00D81287"/>
    <w:rsid w:val="00D843F4"/>
    <w:rsid w:val="00D930FE"/>
    <w:rsid w:val="00DA4915"/>
    <w:rsid w:val="00DC23CF"/>
    <w:rsid w:val="00DC2F09"/>
    <w:rsid w:val="00DC6562"/>
    <w:rsid w:val="00DD2E22"/>
    <w:rsid w:val="00DD61EA"/>
    <w:rsid w:val="00DD6C4F"/>
    <w:rsid w:val="00DD7359"/>
    <w:rsid w:val="00DE130D"/>
    <w:rsid w:val="00DE24CF"/>
    <w:rsid w:val="00DE407C"/>
    <w:rsid w:val="00DE7C7D"/>
    <w:rsid w:val="00DF0332"/>
    <w:rsid w:val="00DF2992"/>
    <w:rsid w:val="00DF2D0C"/>
    <w:rsid w:val="00DF497A"/>
    <w:rsid w:val="00E01B9D"/>
    <w:rsid w:val="00E04F5E"/>
    <w:rsid w:val="00E0522E"/>
    <w:rsid w:val="00E10B2A"/>
    <w:rsid w:val="00E120F4"/>
    <w:rsid w:val="00E155F9"/>
    <w:rsid w:val="00E16CF6"/>
    <w:rsid w:val="00E17172"/>
    <w:rsid w:val="00E27F58"/>
    <w:rsid w:val="00E3181C"/>
    <w:rsid w:val="00E3280A"/>
    <w:rsid w:val="00E372AF"/>
    <w:rsid w:val="00E37D68"/>
    <w:rsid w:val="00E40EAE"/>
    <w:rsid w:val="00E436AC"/>
    <w:rsid w:val="00E44FF8"/>
    <w:rsid w:val="00E5066A"/>
    <w:rsid w:val="00E52CF9"/>
    <w:rsid w:val="00E56998"/>
    <w:rsid w:val="00E63F34"/>
    <w:rsid w:val="00E6715A"/>
    <w:rsid w:val="00E70A90"/>
    <w:rsid w:val="00E75DC9"/>
    <w:rsid w:val="00E81610"/>
    <w:rsid w:val="00E828F1"/>
    <w:rsid w:val="00E84910"/>
    <w:rsid w:val="00E85B28"/>
    <w:rsid w:val="00E91976"/>
    <w:rsid w:val="00E947A6"/>
    <w:rsid w:val="00E97FC7"/>
    <w:rsid w:val="00EA0690"/>
    <w:rsid w:val="00EA3956"/>
    <w:rsid w:val="00EA5571"/>
    <w:rsid w:val="00EA5664"/>
    <w:rsid w:val="00EC02A5"/>
    <w:rsid w:val="00EC176B"/>
    <w:rsid w:val="00EC33CD"/>
    <w:rsid w:val="00EC5BE5"/>
    <w:rsid w:val="00ED1DA5"/>
    <w:rsid w:val="00ED2650"/>
    <w:rsid w:val="00ED721A"/>
    <w:rsid w:val="00EE3424"/>
    <w:rsid w:val="00EE393D"/>
    <w:rsid w:val="00EF01CF"/>
    <w:rsid w:val="00EF6A66"/>
    <w:rsid w:val="00EF7AF9"/>
    <w:rsid w:val="00F01495"/>
    <w:rsid w:val="00F01EE6"/>
    <w:rsid w:val="00F10138"/>
    <w:rsid w:val="00F13F92"/>
    <w:rsid w:val="00F22ECA"/>
    <w:rsid w:val="00F240E8"/>
    <w:rsid w:val="00F244FA"/>
    <w:rsid w:val="00F3152E"/>
    <w:rsid w:val="00F3363A"/>
    <w:rsid w:val="00F34405"/>
    <w:rsid w:val="00F366A2"/>
    <w:rsid w:val="00F44F43"/>
    <w:rsid w:val="00F450E1"/>
    <w:rsid w:val="00F50DF4"/>
    <w:rsid w:val="00F57AFE"/>
    <w:rsid w:val="00F60AA6"/>
    <w:rsid w:val="00F6278E"/>
    <w:rsid w:val="00F63C41"/>
    <w:rsid w:val="00F63E96"/>
    <w:rsid w:val="00F66B7E"/>
    <w:rsid w:val="00F701E3"/>
    <w:rsid w:val="00F71F8C"/>
    <w:rsid w:val="00F80362"/>
    <w:rsid w:val="00F8143B"/>
    <w:rsid w:val="00F86AD4"/>
    <w:rsid w:val="00F92EE4"/>
    <w:rsid w:val="00FA0113"/>
    <w:rsid w:val="00FA12B2"/>
    <w:rsid w:val="00FA7610"/>
    <w:rsid w:val="00FA7C80"/>
    <w:rsid w:val="00FB02BD"/>
    <w:rsid w:val="00FB398F"/>
    <w:rsid w:val="00FB4EF8"/>
    <w:rsid w:val="00FB6692"/>
    <w:rsid w:val="00FB78DD"/>
    <w:rsid w:val="00FB7C87"/>
    <w:rsid w:val="00FC0F32"/>
    <w:rsid w:val="00FC125E"/>
    <w:rsid w:val="00FC1334"/>
    <w:rsid w:val="00FC3EF3"/>
    <w:rsid w:val="00FD2049"/>
    <w:rsid w:val="00FD2140"/>
    <w:rsid w:val="00FD5BDE"/>
    <w:rsid w:val="00FD68EC"/>
    <w:rsid w:val="00FE0476"/>
    <w:rsid w:val="00FE24A5"/>
    <w:rsid w:val="00FE31E5"/>
    <w:rsid w:val="00FF18EC"/>
    <w:rsid w:val="00FF19AD"/>
    <w:rsid w:val="00FF1EB5"/>
    <w:rsid w:val="00FF292D"/>
    <w:rsid w:val="00FF298D"/>
    <w:rsid w:val="00FF4103"/>
    <w:rsid w:val="00FF4B55"/>
    <w:rsid w:val="00FF6287"/>
    <w:rsid w:val="00FF6A74"/>
    <w:rsid w:val="00FF6C0A"/>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74C47EF4"/>
  <w15:chartTrackingRefBased/>
  <w15:docId w15:val="{CE2E3564-1C99-4AF7-B27D-5373E9FA6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character" w:styleId="UnresolvedMention">
    <w:name w:val="Unresolved Mention"/>
    <w:uiPriority w:val="99"/>
    <w:semiHidden/>
    <w:unhideWhenUsed/>
    <w:rsid w:val="002F6F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200600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zinonos@cystat.mof.gov.cy"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n/KeyFiguresList?s=39"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ystatdb.cystat.gov.cy/pxweb/en/8.CYSTAT-DB/8.CYSTAT-DB__Industry__"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ystat.gov.cy/en/PressRelease?id=7094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ystat.gov.cy/en/SubthemeStatistics?s=39" TargetMode="External"/><Relationship Id="rId14" Type="http://schemas.openxmlformats.org/officeDocument/2006/relationships/hyperlink" Target="mailto:calkiviadous@cystat.mof.gov.cy"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0.emf"/><Relationship Id="rId2" Type="http://schemas.openxmlformats.org/officeDocument/2006/relationships/image" Target="media/image3.emf"/><Relationship Id="rId1" Type="http://schemas.openxmlformats.org/officeDocument/2006/relationships/image" Target="media/image2.png"/><Relationship Id="rId5" Type="http://schemas.openxmlformats.org/officeDocument/2006/relationships/image" Target="media/image40.emf"/><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E98AC-E320-4DF1-B64B-B1201589A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3</Pages>
  <Words>851</Words>
  <Characters>4853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5693</CharactersWithSpaces>
  <SharedDoc>false</SharedDoc>
  <HLinks>
    <vt:vector size="36" baseType="variant">
      <vt:variant>
        <vt:i4>3932180</vt:i4>
      </vt:variant>
      <vt:variant>
        <vt:i4>15</vt:i4>
      </vt:variant>
      <vt:variant>
        <vt:i4>0</vt:i4>
      </vt:variant>
      <vt:variant>
        <vt:i4>5</vt:i4>
      </vt:variant>
      <vt:variant>
        <vt:lpwstr>mailto:calkiviadous@cystat.mof.gov.cy</vt:lpwstr>
      </vt:variant>
      <vt:variant>
        <vt:lpwstr/>
      </vt:variant>
      <vt:variant>
        <vt:i4>3014684</vt:i4>
      </vt:variant>
      <vt:variant>
        <vt:i4>12</vt:i4>
      </vt:variant>
      <vt:variant>
        <vt:i4>0</vt:i4>
      </vt:variant>
      <vt:variant>
        <vt:i4>5</vt:i4>
      </vt:variant>
      <vt:variant>
        <vt:lpwstr>mailto:ezinonos@cystat.mof.gov.cy</vt:lpwstr>
      </vt:variant>
      <vt:variant>
        <vt:lpwstr/>
      </vt:variant>
      <vt:variant>
        <vt:i4>5046357</vt:i4>
      </vt:variant>
      <vt:variant>
        <vt:i4>9</vt:i4>
      </vt:variant>
      <vt:variant>
        <vt:i4>0</vt:i4>
      </vt:variant>
      <vt:variant>
        <vt:i4>5</vt:i4>
      </vt:variant>
      <vt:variant>
        <vt:lpwstr>https://www.cystat.gov.cy/en/KeyFiguresList?s=39</vt:lpwstr>
      </vt:variant>
      <vt:variant>
        <vt:lpwstr/>
      </vt:variant>
      <vt:variant>
        <vt:i4>6357066</vt:i4>
      </vt:variant>
      <vt:variant>
        <vt:i4>6</vt:i4>
      </vt:variant>
      <vt:variant>
        <vt:i4>0</vt:i4>
      </vt:variant>
      <vt:variant>
        <vt:i4>5</vt:i4>
      </vt:variant>
      <vt:variant>
        <vt:lpwstr>https://cystatdb.cystat.gov.cy/pxweb/en/8.CYSTAT-DB/8.CYSTAT-DB__Industry__</vt:lpwstr>
      </vt:variant>
      <vt:variant>
        <vt:lpwstr/>
      </vt:variant>
      <vt:variant>
        <vt:i4>4259909</vt:i4>
      </vt:variant>
      <vt:variant>
        <vt:i4>3</vt:i4>
      </vt:variant>
      <vt:variant>
        <vt:i4>0</vt:i4>
      </vt:variant>
      <vt:variant>
        <vt:i4>5</vt:i4>
      </vt:variant>
      <vt:variant>
        <vt:lpwstr>https://www.cystat.gov.cy/en/SubthemeStatistics?s=39</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40</cp:revision>
  <cp:lastPrinted>2016-09-28T08:24:00Z</cp:lastPrinted>
  <dcterms:created xsi:type="dcterms:W3CDTF">2023-05-05T09:27:00Z</dcterms:created>
  <dcterms:modified xsi:type="dcterms:W3CDTF">2024-06-05T08:31:00Z</dcterms:modified>
</cp:coreProperties>
</file>