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5D7C6A64" w:rsidR="00721160" w:rsidRPr="0051692A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E77C2A" w:rsidRPr="002223B4">
        <w:rPr>
          <w:rFonts w:ascii="Verdana" w:hAnsi="Verdana" w:cs="Arial"/>
          <w:sz w:val="20"/>
          <w:szCs w:val="18"/>
          <w:lang w:val="el-GR"/>
        </w:rPr>
        <w:t>1</w:t>
      </w:r>
      <w:r w:rsidR="001D1C29" w:rsidRPr="00A56B71">
        <w:rPr>
          <w:rFonts w:ascii="Verdana" w:hAnsi="Verdana" w:cs="Arial"/>
          <w:sz w:val="20"/>
          <w:szCs w:val="18"/>
          <w:lang w:val="el-GR"/>
        </w:rPr>
        <w:t>6</w:t>
      </w:r>
      <w:r w:rsidRPr="002223B4">
        <w:rPr>
          <w:rFonts w:ascii="Verdana" w:hAnsi="Verdana" w:cs="Arial"/>
          <w:sz w:val="20"/>
          <w:szCs w:val="18"/>
          <w:lang w:val="el-GR"/>
        </w:rPr>
        <w:t xml:space="preserve"> </w:t>
      </w:r>
      <w:r w:rsidR="001D1C29">
        <w:rPr>
          <w:rFonts w:ascii="Verdana" w:hAnsi="Verdana" w:cs="Arial"/>
          <w:sz w:val="20"/>
          <w:szCs w:val="18"/>
          <w:lang w:val="el-GR"/>
        </w:rPr>
        <w:t>Ιουν</w:t>
      </w:r>
      <w:r w:rsidR="00E77C2A" w:rsidRPr="002223B4">
        <w:rPr>
          <w:rFonts w:ascii="Verdana" w:hAnsi="Verdana" w:cs="Arial"/>
          <w:sz w:val="20"/>
          <w:szCs w:val="18"/>
          <w:lang w:val="el-GR"/>
        </w:rPr>
        <w:t>ί</w:t>
      </w:r>
      <w:r w:rsidRPr="002223B4">
        <w:rPr>
          <w:rFonts w:ascii="Verdana" w:hAnsi="Verdana" w:cs="Arial"/>
          <w:sz w:val="20"/>
          <w:szCs w:val="18"/>
          <w:lang w:val="el-GR"/>
        </w:rPr>
        <w:t>ου</w:t>
      </w:r>
      <w:r w:rsidR="00E77C2A" w:rsidRPr="002223B4">
        <w:rPr>
          <w:rFonts w:ascii="Verdana" w:eastAsia="Malgun Gothic" w:hAnsi="Verdana" w:cs="Arial"/>
          <w:sz w:val="20"/>
          <w:szCs w:val="18"/>
          <w:lang w:val="el-GR"/>
        </w:rPr>
        <w:t>, 2022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1A9C60D5" w:rsidR="00721160" w:rsidRPr="00F07F94" w:rsidRDefault="0074137C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 w:rsidRPr="00F07F94">
        <w:rPr>
          <w:rFonts w:ascii="Verdana" w:eastAsia="Malgun Gothic" w:hAnsi="Verdana" w:cs="Arial"/>
          <w:b w:val="0"/>
          <w:szCs w:val="22"/>
        </w:rPr>
        <w:t>ΕΡΓΑΤΙΚΟ ΚΟΣΤΟΣ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1D1C29" w:rsidRPr="001D1C29">
        <w:rPr>
          <w:rFonts w:ascii="Verdana" w:eastAsia="Malgun Gothic" w:hAnsi="Verdana" w:cs="Arial"/>
          <w:szCs w:val="22"/>
        </w:rPr>
        <w:t>1</w:t>
      </w:r>
      <w:r w:rsidR="00721160" w:rsidRPr="00E77C2A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</w:t>
      </w:r>
      <w:r w:rsidR="001D1C29">
        <w:rPr>
          <w:rFonts w:ascii="Verdana" w:eastAsia="Malgun Gothic" w:hAnsi="Verdana" w:cs="Arial"/>
          <w:szCs w:val="22"/>
        </w:rPr>
        <w:t>2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570EF786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7B7D67">
        <w:rPr>
          <w:rFonts w:ascii="Verdana" w:eastAsia="Malgun Gothic" w:hAnsi="Verdana" w:cs="Arial"/>
          <w:b/>
          <w:lang w:val="el-GR"/>
        </w:rPr>
        <w:t>4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r w:rsidR="007B7D67">
        <w:rPr>
          <w:rFonts w:ascii="Verdana" w:eastAsia="Malgun Gothic" w:hAnsi="Verdana" w:cs="Arial"/>
          <w:b/>
          <w:lang w:val="el-GR"/>
        </w:rPr>
        <w:t>2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216D9969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τρίμηνο του 202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Το 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CC7DC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το ωριαίο ερ</w:t>
      </w:r>
      <w:r w:rsidR="004B52B6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γατικό κόστος αυξήθηκε κατά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4B52B6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2109D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2109D5" w:rsidRPr="00F07F94">
        <w:rPr>
          <w:rFonts w:ascii="Verdana" w:eastAsia="Malgun Gothic" w:hAnsi="Verdana" w:cs="Arial"/>
          <w:sz w:val="18"/>
          <w:szCs w:val="18"/>
          <w:lang w:val="el-GR"/>
        </w:rPr>
        <w:t>σε σύγκριση με το αντίστοιχο τρίμηνο του προηγούμενου έτους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640B8239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Το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F770CE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2021, οι ετήσιες μεταβολές ήταν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% για το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υς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555452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κ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αι 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FC57C9" w:rsidRPr="00FC57C9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για το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 ανά ώρα εργασίας</w:t>
      </w:r>
      <w:r w:rsidR="00F770CE"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1ED8C994" w:rsidR="000E29E5" w:rsidRPr="00F07F94" w:rsidRDefault="001B313C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sz w:val="18"/>
          <w:szCs w:val="18"/>
        </w:rPr>
        <w:pict w14:anchorId="59D44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311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7A1AC3A9" w14:textId="77777777" w:rsidR="00721160" w:rsidRPr="006C19AE" w:rsidRDefault="000727E3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F07F94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Σημείωση: Τα στοιχεία από το 1ο τρίμηνο του 202</w:t>
      </w:r>
      <w:r w:rsidR="00692E75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1</w:t>
      </w:r>
      <w:r w:rsidR="00721160"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είναι προκαταρκτικά.</w:t>
      </w:r>
    </w:p>
    <w:p w14:paraId="084A4FB5" w14:textId="77777777" w:rsidR="00A15E51" w:rsidRPr="002109D5" w:rsidRDefault="00A15E51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D1170A" w14:textId="337215E5" w:rsidR="00434DB3" w:rsidRPr="00F07F94" w:rsidRDefault="00FD5FFB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σημείωσε μείωση 0,3% σε σχέση 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μείωση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1B313C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02BF34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Χωρίς 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D089CA" w:rsidR="003342F4" w:rsidRPr="00F07F94" w:rsidRDefault="003342F4" w:rsidP="00B5778E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A56B71" w:rsidRPr="00F07F94" w14:paraId="40DEC9A9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2D35A3F7" w:rsidR="00A56B71" w:rsidRPr="00F07F94" w:rsidRDefault="00A56B71" w:rsidP="00BE6FB8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1708732" w14:textId="315256D7" w:rsidR="00A56B71" w:rsidRPr="00DD4B68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106,20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4FF50F3" w14:textId="1E51F4FF" w:rsidR="00A56B71" w:rsidRPr="00DD4B68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117,84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0E65602" w14:textId="0F3B5829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4F7E71C1" w14:textId="28AAF42C" w:rsidR="00A56B71" w:rsidRPr="00DD4B68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-0,3</w:t>
            </w:r>
          </w:p>
        </w:tc>
      </w:tr>
      <w:tr w:rsidR="00A56B71" w:rsidRPr="00F07F94" w14:paraId="21B904F5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5B52D97A" w:rsidR="00A56B71" w:rsidRPr="00F07F94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4770804" w14:textId="307BC8B1" w:rsidR="00A56B71" w:rsidRPr="00F07F94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132,82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57B2139" w14:textId="6A43D81D" w:rsidR="00A56B71" w:rsidRPr="00DD4B68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118,18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2E0087F" w14:textId="001042FD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3,3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B2CEEB" w14:textId="4CA932DC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0,0</w:t>
            </w:r>
          </w:p>
        </w:tc>
      </w:tr>
      <w:tr w:rsidR="00A56B71" w:rsidRPr="00F07F94" w14:paraId="55C3F94F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1F0B73D4" w:rsidR="00A56B71" w:rsidRPr="00C62D1D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5312ADD" w14:textId="4BB8A242" w:rsidR="00A56B71" w:rsidRPr="00DD4B68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DD4B68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101,92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A465028" w14:textId="2F76C907" w:rsidR="00A56B71" w:rsidRPr="00F07F94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112,92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7777777" w:rsidR="00A56B71" w:rsidRPr="00DD4B68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29F6BDC" w14:textId="31F6A1AF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-1,3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8F979D7" w14:textId="328B30BA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-1,7</w:t>
            </w:r>
          </w:p>
        </w:tc>
      </w:tr>
      <w:tr w:rsidR="00A56B71" w:rsidRPr="00F07F94" w14:paraId="5C333CDF" w14:textId="77777777" w:rsidTr="001B313C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A56B71" w:rsidRPr="00F07F94" w:rsidRDefault="00A56B71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A56B71" w:rsidRPr="00F07F94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0CB2FD35" w14:textId="77777777" w:rsidTr="001B313C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A56B71" w:rsidRPr="00F07F94" w:rsidRDefault="00A56B71" w:rsidP="001B313C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9D3545" w14:paraId="09A296AB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0A2C2AD0" w:rsidR="00A56B71" w:rsidRPr="00C62D1D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1ο Τρίμηνο 2022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086254C" w14:textId="75360D7E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103,18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51B532" w14:textId="6837D6D9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115,20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C4FA654" w14:textId="42AF7A01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4,2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6ACAE2B" w14:textId="48FD2536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-0,6</w:t>
            </w:r>
          </w:p>
        </w:tc>
      </w:tr>
      <w:tr w:rsidR="00A56B71" w:rsidRPr="009D3545" w14:paraId="658C5F52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6D8A6E7D" w:rsidR="00A56B71" w:rsidRPr="00F07F94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4ο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CE15F95" w14:textId="362EEC27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129,27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D1C9C49" w14:textId="6F422EF2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115,85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1D206DC6" w14:textId="5E25368F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3,7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01FF87C" w14:textId="3D7A4E52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1,3</w:t>
            </w:r>
          </w:p>
        </w:tc>
      </w:tr>
      <w:tr w:rsidR="00A56B71" w:rsidRPr="009D3545" w14:paraId="54F4D1AA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6FCFC2C0" w:rsidR="00A56B71" w:rsidRPr="00C62D1D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1ο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1E2B438" w14:textId="51BB107F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98,99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128B225" w14:textId="515D8C4A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109,90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0B1FB17E" w14:textId="6ED9E0E5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-1,9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9E8D9B5" w14:textId="011D0B66" w:rsidR="00A56B71" w:rsidRPr="00F07F94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-1,7</w:t>
            </w:r>
          </w:p>
        </w:tc>
      </w:tr>
      <w:tr w:rsidR="00A56B71" w:rsidRPr="00F07F94" w14:paraId="0748B9BA" w14:textId="77777777" w:rsidTr="001B313C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A56B71" w:rsidRPr="00F07F94" w:rsidRDefault="00A56B71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A56B71" w:rsidRPr="00F07F94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2DB0C948" w14:textId="77777777" w:rsidTr="001B313C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A56B71" w:rsidRPr="00F07F94" w:rsidRDefault="00A56B71" w:rsidP="001B313C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A56B71" w:rsidRPr="00924CEE" w:rsidRDefault="00A56B71" w:rsidP="001B313C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A56B71" w:rsidRPr="00924CEE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A56B71" w:rsidRPr="00924CEE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64053F5F" w14:textId="77777777" w:rsidTr="001B313C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7A0A0ADC" w:rsidR="00A56B71" w:rsidRPr="00C62D1D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1ο Τρίμηνο 2022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EEEFEAA" w14:textId="3D7AB88B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122,21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41AC964D" w14:textId="65E816C9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131,84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75CBE7D0" w14:textId="210DC8AD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4,0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A88FAAB" w14:textId="10C23722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1,0</w:t>
            </w:r>
          </w:p>
        </w:tc>
      </w:tr>
      <w:tr w:rsidR="00A56B71" w:rsidRPr="00F07F94" w14:paraId="4F86D794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7B913522" w:rsidR="00A56B71" w:rsidRPr="00F07F94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4ο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3665164" w14:textId="1A5725B5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151,66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74D4557" w14:textId="21393A46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130,59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E240776" w14:textId="282B4CB5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773F3951" w14:textId="1AB4512C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-5,8</w:t>
            </w:r>
          </w:p>
        </w:tc>
      </w:tr>
      <w:tr w:rsidR="00A56B71" w:rsidRPr="00F07F94" w14:paraId="6B171B17" w14:textId="77777777" w:rsidTr="001B313C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61C20CDA" w:rsidR="00A56B71" w:rsidRPr="00C62D1D" w:rsidRDefault="00A56B71" w:rsidP="00C62D1D">
            <w:pPr>
              <w:tabs>
                <w:tab w:val="left" w:pos="1080"/>
                <w:tab w:val="left" w:pos="6840"/>
              </w:tabs>
              <w:ind w:left="284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C62D1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1ο Τρίμηνο 2021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1EB95B0" w14:textId="00F2C4BD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D3545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117,49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15DA45CD" w14:textId="04CC32C9" w:rsidR="00A56B71" w:rsidRPr="009D3545" w:rsidRDefault="00A56B71" w:rsidP="001B313C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128,96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77777777" w:rsidR="00A56B71" w:rsidRPr="00F07F94" w:rsidRDefault="00A56B71" w:rsidP="00924CEE">
            <w:pPr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7326508" w14:textId="56808312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1,9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35ABD26" w14:textId="480D0790" w:rsidR="00A56B71" w:rsidRPr="009D3545" w:rsidRDefault="00A56B71" w:rsidP="001B313C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924CEE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-2,2</w:t>
            </w:r>
          </w:p>
        </w:tc>
      </w:tr>
    </w:tbl>
    <w:p w14:paraId="70773BB6" w14:textId="77777777" w:rsidR="003342F4" w:rsidRPr="00F07F94" w:rsidRDefault="003342F4" w:rsidP="003342F4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8"/>
          <w:szCs w:val="18"/>
        </w:rPr>
      </w:pPr>
    </w:p>
    <w:p w14:paraId="293AA6C9" w14:textId="0CC9E349" w:rsidR="004C468C" w:rsidRPr="00D268FB" w:rsidRDefault="00A0704E" w:rsidP="00787A31">
      <w:pPr>
        <w:tabs>
          <w:tab w:val="left" w:pos="1080"/>
          <w:tab w:val="left" w:pos="6840"/>
        </w:tabs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Σημείωση: </w:t>
      </w:r>
      <w:r w:rsidR="003342F4"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Λόγω στρογγυλοποίησης των αριθμών ο υπολογισμός της μεταβολής ενδεχομένως να διαφέρει από την ποσοστιαία μεταβολή που παρουσιάζεται στον πίνακα.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'chain-linked Laspeyres cost-index'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69D3586F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online βάση δεδομένων της </w:t>
      </w:r>
      <w:r w:rsidR="00B85BA1">
        <w:rPr>
          <w:rStyle w:val="PageNumber"/>
          <w:rFonts w:ascii="Verdana" w:hAnsi="Verdana"/>
          <w:sz w:val="18"/>
          <w:szCs w:val="18"/>
          <w:lang w:val="el-GR"/>
        </w:rPr>
        <w:t>Στατιστικής Υπηρεσίας CYSTAT-DB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77777777" w:rsidR="00F07F94" w:rsidRPr="00077A8C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25E190C7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</w:p>
    <w:p w14:paraId="597BF264" w14:textId="77777777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Κόστος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4B37F6" w:rsidP="006D56A6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018DFAA" w14:textId="6696A395" w:rsidR="00781E08" w:rsidRPr="00781E08" w:rsidRDefault="004B37F6" w:rsidP="00781E08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Πληροφορίες</w:t>
        </w:r>
      </w:hyperlink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Τηλ:+35722602115, Ηλ. </w:t>
      </w:r>
      <w:proofErr w:type="spellStart"/>
      <w:r w:rsidRPr="00991DF6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C82E2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042D" w14:textId="77777777" w:rsidR="004B37F6" w:rsidRDefault="004B37F6" w:rsidP="00FB398F">
      <w:r>
        <w:separator/>
      </w:r>
    </w:p>
  </w:endnote>
  <w:endnote w:type="continuationSeparator" w:id="0">
    <w:p w14:paraId="04AE539F" w14:textId="77777777" w:rsidR="004B37F6" w:rsidRDefault="004B37F6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6C19AE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EC36FF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4B37F6">
      <w:fldChar w:fldCharType="begin"/>
    </w:r>
    <w:r w:rsidR="004B37F6" w:rsidRPr="001B313C">
      <w:rPr>
        <w:lang w:val="el-GR"/>
      </w:rPr>
      <w:instrText xml:space="preserve"> </w:instrText>
    </w:r>
    <w:r w:rsidR="004B37F6">
      <w:instrText>HYPERLINK</w:instrText>
    </w:r>
    <w:r w:rsidR="004B37F6" w:rsidRPr="001B313C">
      <w:rPr>
        <w:lang w:val="el-GR"/>
      </w:rPr>
      <w:instrText xml:space="preserve"> "</w:instrText>
    </w:r>
    <w:r w:rsidR="004B37F6">
      <w:instrText>mailto</w:instrText>
    </w:r>
    <w:r w:rsidR="004B37F6" w:rsidRPr="001B313C">
      <w:rPr>
        <w:lang w:val="el-GR"/>
      </w:rPr>
      <w:instrText>:</w:instrText>
    </w:r>
    <w:r w:rsidR="004B37F6">
      <w:instrText>enquiries</w:instrText>
    </w:r>
    <w:r w:rsidR="004B37F6" w:rsidRPr="001B313C">
      <w:rPr>
        <w:lang w:val="el-GR"/>
      </w:rPr>
      <w:instrText>@</w:instrText>
    </w:r>
    <w:r w:rsidR="004B37F6">
      <w:instrText>cystat</w:instrText>
    </w:r>
    <w:r w:rsidR="004B37F6" w:rsidRPr="001B313C">
      <w:rPr>
        <w:lang w:val="el-GR"/>
      </w:rPr>
      <w:instrText>.</w:instrText>
    </w:r>
    <w:r w:rsidR="004B37F6">
      <w:instrText>mof</w:instrText>
    </w:r>
    <w:r w:rsidR="004B37F6" w:rsidRPr="001B313C">
      <w:rPr>
        <w:lang w:val="el-GR"/>
      </w:rPr>
      <w:instrText>.</w:instrText>
    </w:r>
    <w:r w:rsidR="004B37F6">
      <w:instrText>gov</w:instrText>
    </w:r>
    <w:r w:rsidR="004B37F6" w:rsidRPr="001B313C">
      <w:rPr>
        <w:lang w:val="el-GR"/>
      </w:rPr>
      <w:instrText>.</w:instrText>
    </w:r>
    <w:r w:rsidR="004B37F6">
      <w:instrText>cy</w:instrText>
    </w:r>
    <w:r w:rsidR="004B37F6" w:rsidRPr="001B313C">
      <w:rPr>
        <w:lang w:val="el-GR"/>
      </w:rPr>
      <w:instrText xml:space="preserve">" </w:instrText>
    </w:r>
    <w:r w:rsidR="004B37F6">
      <w:fldChar w:fldCharType="separate"/>
    </w:r>
    <w:r w:rsidR="004E4F42" w:rsidRPr="00A12E81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4B37F6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67CF" w14:textId="77777777" w:rsidR="004B37F6" w:rsidRDefault="004B37F6" w:rsidP="00FB398F">
      <w:r>
        <w:separator/>
      </w:r>
    </w:p>
  </w:footnote>
  <w:footnote w:type="continuationSeparator" w:id="0">
    <w:p w14:paraId="1D00AC78" w14:textId="77777777" w:rsidR="004B37F6" w:rsidRDefault="004B37F6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184" w14:textId="77777777" w:rsidR="00A14FBA" w:rsidRDefault="004B37F6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pict w14:anchorId="4A76B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32" type="#_x0000_t75" alt="£Àƒ∂√™ CMYK" style="position:absolute;left:0;text-align:left;margin-left:41.25pt;margin-top:13.3pt;width:53.25pt;height:53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£Àƒ∂√™ CMYK"/>
        </v:shape>
      </w:pict>
    </w:r>
    <w:r>
      <w:pict w14:anchorId="4726D73F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3" type="#_x0000_t202" style="position:absolute;left:0;text-align:left;margin-left:375.8pt;margin-top:-5.45pt;width:101.4pt;height:82.5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" strokecolor="white">
          <v:textbox>
            <w:txbxContent>
              <w:p w14:paraId="2010D79C" w14:textId="77777777" w:rsidR="00A14FBA" w:rsidRDefault="004B37F6" w:rsidP="00A14FBA">
                <w:r>
                  <w:rPr>
                    <w:sz w:val="20"/>
                    <w:szCs w:val="20"/>
                  </w:rPr>
                  <w:pict w14:anchorId="1072D2E2">
                    <v:shape id="Picture 4" o:spid="_x0000_i1027" type="#_x0000_t75" style="width:86.25pt;height:62.25pt;visibility:visible;mso-wrap-style:squar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pict w14:anchorId="381C5F95">
        <v:shape id="Text Box 15" o:spid="_x0000_s1034" type="#_x0000_t202" style="position:absolute;left:0;text-align:left;margin-left:270.8pt;margin-top:-17.45pt;width:115.65pt;height:94.5pt;z-index: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" strokecolor="white">
          <v:textbox>
            <w:txbxContent>
              <w:p w14:paraId="58054BDF" w14:textId="77777777" w:rsidR="00A14FBA" w:rsidRDefault="004B37F6" w:rsidP="00A14FBA">
                <w:r>
                  <w:rPr>
                    <w:sz w:val="20"/>
                    <w:szCs w:val="20"/>
                  </w:rPr>
                  <w:pict w14:anchorId="412C354B">
                    <v:shape id="Picture 5" o:spid="_x0000_i1029" type="#_x0000_t75" style="width:100.5pt;height:79.5pt;visibility:visible;mso-wrap-style:square">
                      <v:imagedata r:id="rId3" o:title=""/>
                    </v:shape>
                  </w:pict>
                </w:r>
              </w:p>
            </w:txbxContent>
          </v:textbox>
        </v:shape>
      </w:pict>
    </w:r>
  </w:p>
  <w:p w14:paraId="22D60FA0" w14:textId="77777777" w:rsidR="00A14FBA" w:rsidRDefault="00A14FBA" w:rsidP="00A14FBA">
    <w:pPr>
      <w:pStyle w:val="Header"/>
      <w:tabs>
        <w:tab w:val="clear" w:pos="4153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9222939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E9416BE" w14:textId="77777777" w:rsidR="00A14FBA" w:rsidRDefault="00A14FBA" w:rsidP="00A14FBA">
    <w:pPr>
      <w:pStyle w:val="Header"/>
      <w:tabs>
        <w:tab w:val="clear" w:pos="4153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2396938" w14:textId="77777777" w:rsidR="00A14FBA" w:rsidRDefault="004B37F6" w:rsidP="00A14FBA">
    <w:pPr>
      <w:pStyle w:val="Header"/>
      <w:tabs>
        <w:tab w:val="clear" w:pos="4153"/>
        <w:tab w:val="center" w:pos="4794"/>
      </w:tabs>
      <w:spacing w:line="360" w:lineRule="auto"/>
      <w:rPr>
        <w:rFonts w:ascii="Arial" w:hAnsi="Arial" w:cs="Arial"/>
        <w:bCs/>
        <w:sz w:val="18"/>
        <w:szCs w:val="18"/>
      </w:rPr>
    </w:pPr>
    <w:r>
      <w:pict w14:anchorId="338BACD9">
        <v:shape id="Text Box 16" o:spid="_x0000_s1035" type="#_x0000_t202" style="position:absolute;margin-left:327.5pt;margin-top:8.2pt;width:2in;height:34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5VgobkwMAABsJAAAfAAAAAAAAAAAAAAAA&#10;ACACAABjbGlwYm9hcmQvZHJhd2luZ3MvZHJhd2luZzEueG1sUEsBAi0AFAAGAAgAAAAhAJJ9h+Ad&#10;BwAASSAAABoAAAAAAAAAAAAAAAAA8AUAAGNsaXBib2FyZC90aGVtZS90aGVtZTEueG1sUEsBAi0A&#10;FAAGAAgAAAAhAJxmRkG7AAAAJAEAACoAAAAAAAAAAAAAAAAARQ0AAGNsaXBib2FyZC9kcmF3aW5n&#10;cy9fcmVscy9kcmF3aW5nMS54bWwucmVsc1BLBQYAAAAABQAFAGcBAABIDgAAAAA=&#10;" stroked="f">
          <v:textbox>
            <w:txbxContent>
              <w:p w14:paraId="5E3C8ABE" w14:textId="77777777" w:rsidR="00A14FBA" w:rsidRDefault="00A14FBA" w:rsidP="00A14FBA">
                <w:pPr>
                  <w:spacing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ΣΤΑΤΙΣΤΙΚΗ ΥΠΗΡΕΣΙΑ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</w:t>
                </w:r>
              </w:p>
              <w:p w14:paraId="53A387F8" w14:textId="77777777" w:rsidR="00A14FBA" w:rsidRDefault="00A14FBA" w:rsidP="00A14FB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1444 ΛΕΥΚΩΣΙΑ</w:t>
                </w:r>
              </w:p>
            </w:txbxContent>
          </v:textbox>
        </v:shape>
      </w:pict>
    </w:r>
    <w:r w:rsidR="00A14FBA">
      <w:rPr>
        <w:rFonts w:ascii="Arial" w:hAnsi="Arial" w:cs="Arial"/>
        <w:bCs/>
        <w:sz w:val="18"/>
        <w:szCs w:val="18"/>
      </w:rPr>
      <w:tab/>
    </w:r>
  </w:p>
  <w:p w14:paraId="3F8635E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 xml:space="preserve">        </w:t>
    </w:r>
    <w:r>
      <w:rPr>
        <w:rFonts w:ascii="Arial" w:hAnsi="Arial" w:cs="Arial"/>
        <w:bCs/>
        <w:sz w:val="18"/>
        <w:szCs w:val="18"/>
      </w:rPr>
      <w:t>ΚΥΠΡΙΑΚΗ ΔΗΜΟΚΡΑΤΙΑ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</w:p>
  <w:p w14:paraId="1ACFA1D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sz w:val="20"/>
        <w:szCs w:val="20"/>
      </w:rPr>
      <w:t>ΥΠΟΥΡΓΕΙΟ ΟΙΚΟΝΟΜΙΚΩΝ</w:t>
    </w: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  <w:lang w:val="en-US"/>
      </w:rPr>
      <w:tab/>
    </w:r>
  </w:p>
  <w:p w14:paraId="3B16842D" w14:textId="77777777" w:rsidR="004E4F42" w:rsidRPr="00A14FBA" w:rsidRDefault="004E4F42" w:rsidP="00A1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4809869">
    <w:abstractNumId w:val="5"/>
  </w:num>
  <w:num w:numId="2" w16cid:durableId="1583560874">
    <w:abstractNumId w:val="2"/>
  </w:num>
  <w:num w:numId="3" w16cid:durableId="51660642">
    <w:abstractNumId w:val="3"/>
  </w:num>
  <w:num w:numId="4" w16cid:durableId="1704090181">
    <w:abstractNumId w:val="4"/>
  </w:num>
  <w:num w:numId="5" w16cid:durableId="2129935450">
    <w:abstractNumId w:val="1"/>
  </w:num>
  <w:num w:numId="6" w16cid:durableId="1324814881">
    <w:abstractNumId w:val="6"/>
  </w:num>
  <w:num w:numId="7" w16cid:durableId="1004166821">
    <w:abstractNumId w:val="0"/>
  </w:num>
  <w:num w:numId="8" w16cid:durableId="180120768">
    <w:abstractNumId w:val="8"/>
  </w:num>
  <w:num w:numId="9" w16cid:durableId="1230002425">
    <w:abstractNumId w:val="7"/>
  </w:num>
  <w:num w:numId="10" w16cid:durableId="501537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13C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1C29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9D5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1E5B"/>
    <w:rsid w:val="002B4969"/>
    <w:rsid w:val="002B6554"/>
    <w:rsid w:val="002B7DAA"/>
    <w:rsid w:val="002C218C"/>
    <w:rsid w:val="002C3834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64A6A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E14AC"/>
    <w:rsid w:val="003F1C6D"/>
    <w:rsid w:val="003F49E4"/>
    <w:rsid w:val="003F4D2F"/>
    <w:rsid w:val="003F5E32"/>
    <w:rsid w:val="003F75F6"/>
    <w:rsid w:val="003F7A4F"/>
    <w:rsid w:val="004037A2"/>
    <w:rsid w:val="00404670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6078F"/>
    <w:rsid w:val="00462150"/>
    <w:rsid w:val="00463214"/>
    <w:rsid w:val="0046434D"/>
    <w:rsid w:val="00464FEB"/>
    <w:rsid w:val="004656FA"/>
    <w:rsid w:val="00471D77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7F6"/>
    <w:rsid w:val="004B38E9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0716C"/>
    <w:rsid w:val="0051107B"/>
    <w:rsid w:val="00512F9C"/>
    <w:rsid w:val="00514E41"/>
    <w:rsid w:val="0051692A"/>
    <w:rsid w:val="00516D38"/>
    <w:rsid w:val="00521DFE"/>
    <w:rsid w:val="005251B1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9E1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19AE"/>
    <w:rsid w:val="006C39BB"/>
    <w:rsid w:val="006C7AF3"/>
    <w:rsid w:val="006D0B9D"/>
    <w:rsid w:val="006D56A6"/>
    <w:rsid w:val="006D602A"/>
    <w:rsid w:val="006D6548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1E08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B7D67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7C4C"/>
    <w:rsid w:val="00910D74"/>
    <w:rsid w:val="00914A23"/>
    <w:rsid w:val="00915D53"/>
    <w:rsid w:val="0092466C"/>
    <w:rsid w:val="00924CEE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1DF6"/>
    <w:rsid w:val="009923AF"/>
    <w:rsid w:val="009963EE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3545"/>
    <w:rsid w:val="009D504D"/>
    <w:rsid w:val="009D79D2"/>
    <w:rsid w:val="009E247C"/>
    <w:rsid w:val="009E31BA"/>
    <w:rsid w:val="009E4C5B"/>
    <w:rsid w:val="009F0528"/>
    <w:rsid w:val="009F0806"/>
    <w:rsid w:val="009F233B"/>
    <w:rsid w:val="009F71D7"/>
    <w:rsid w:val="00A0297C"/>
    <w:rsid w:val="00A05D16"/>
    <w:rsid w:val="00A0659F"/>
    <w:rsid w:val="00A0704E"/>
    <w:rsid w:val="00A073F9"/>
    <w:rsid w:val="00A079BA"/>
    <w:rsid w:val="00A12E81"/>
    <w:rsid w:val="00A14E8C"/>
    <w:rsid w:val="00A14FBA"/>
    <w:rsid w:val="00A15BA2"/>
    <w:rsid w:val="00A15E51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56B71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4ECD"/>
    <w:rsid w:val="00B450D1"/>
    <w:rsid w:val="00B53636"/>
    <w:rsid w:val="00B53D47"/>
    <w:rsid w:val="00B54A25"/>
    <w:rsid w:val="00B5778E"/>
    <w:rsid w:val="00B57E6E"/>
    <w:rsid w:val="00B60B0F"/>
    <w:rsid w:val="00B618C3"/>
    <w:rsid w:val="00B63652"/>
    <w:rsid w:val="00B668B0"/>
    <w:rsid w:val="00B70F5C"/>
    <w:rsid w:val="00B7141D"/>
    <w:rsid w:val="00B71873"/>
    <w:rsid w:val="00B73980"/>
    <w:rsid w:val="00B75AE5"/>
    <w:rsid w:val="00B75F1D"/>
    <w:rsid w:val="00B800C0"/>
    <w:rsid w:val="00B8132B"/>
    <w:rsid w:val="00B8213A"/>
    <w:rsid w:val="00B84C5A"/>
    <w:rsid w:val="00B858F5"/>
    <w:rsid w:val="00B85BA1"/>
    <w:rsid w:val="00B93668"/>
    <w:rsid w:val="00B96088"/>
    <w:rsid w:val="00B9718A"/>
    <w:rsid w:val="00BA151C"/>
    <w:rsid w:val="00BA2CC5"/>
    <w:rsid w:val="00BA68C6"/>
    <w:rsid w:val="00BB12F1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E6FB8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D1D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E9A"/>
    <w:rsid w:val="00CA68C2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268FB"/>
    <w:rsid w:val="00D30BEA"/>
    <w:rsid w:val="00D31A6F"/>
    <w:rsid w:val="00D32D13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3458"/>
    <w:rsid w:val="00D635B1"/>
    <w:rsid w:val="00D66E02"/>
    <w:rsid w:val="00D67EF5"/>
    <w:rsid w:val="00D75917"/>
    <w:rsid w:val="00D76249"/>
    <w:rsid w:val="00D823E0"/>
    <w:rsid w:val="00D862D1"/>
    <w:rsid w:val="00DA11D5"/>
    <w:rsid w:val="00DA2913"/>
    <w:rsid w:val="00DA4612"/>
    <w:rsid w:val="00DA5C22"/>
    <w:rsid w:val="00DA7D12"/>
    <w:rsid w:val="00DB25ED"/>
    <w:rsid w:val="00DB617F"/>
    <w:rsid w:val="00DB62B5"/>
    <w:rsid w:val="00DB6505"/>
    <w:rsid w:val="00DB7E97"/>
    <w:rsid w:val="00DC23CF"/>
    <w:rsid w:val="00DC6562"/>
    <w:rsid w:val="00DC7416"/>
    <w:rsid w:val="00DD1A90"/>
    <w:rsid w:val="00DD1FAA"/>
    <w:rsid w:val="00DD2919"/>
    <w:rsid w:val="00DD298A"/>
    <w:rsid w:val="00DD4B68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77C2A"/>
    <w:rsid w:val="00E81610"/>
    <w:rsid w:val="00E8199E"/>
    <w:rsid w:val="00E841B3"/>
    <w:rsid w:val="00E84910"/>
    <w:rsid w:val="00E85B28"/>
    <w:rsid w:val="00E87CEA"/>
    <w:rsid w:val="00E87F0B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C02A5"/>
    <w:rsid w:val="00EC0ABC"/>
    <w:rsid w:val="00EC176B"/>
    <w:rsid w:val="00EC2369"/>
    <w:rsid w:val="00EC3087"/>
    <w:rsid w:val="00EC33CD"/>
    <w:rsid w:val="00EC36FF"/>
    <w:rsid w:val="00EC59AF"/>
    <w:rsid w:val="00EC5BE5"/>
    <w:rsid w:val="00ED2650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26ED8"/>
    <w:rsid w:val="00F3133C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5082"/>
    <w:rsid w:val="00F86AD4"/>
    <w:rsid w:val="00F87D45"/>
    <w:rsid w:val="00F91FB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7C9"/>
    <w:rsid w:val="00FC5D35"/>
    <w:rsid w:val="00FD0547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5774"/>
  <w15:docId w15:val="{B7308F80-BDBA-411A-8EC7-DD8EBE01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Cost%20and%20Earning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4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B4CC-540D-40EC-A882-2478ACE7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5396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56</cp:revision>
  <cp:lastPrinted>2022-06-09T06:45:00Z</cp:lastPrinted>
  <dcterms:created xsi:type="dcterms:W3CDTF">2021-12-13T07:20:00Z</dcterms:created>
  <dcterms:modified xsi:type="dcterms:W3CDTF">2022-06-16T08:16:00Z</dcterms:modified>
</cp:coreProperties>
</file>