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5E26" w14:textId="77777777" w:rsidR="0063334A" w:rsidRPr="00F07F94" w:rsidRDefault="0063334A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3D3F9612" w14:textId="4DCE5B02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A24335">
        <w:rPr>
          <w:rFonts w:ascii="Verdana" w:hAnsi="Verdana" w:cs="Arial"/>
          <w:sz w:val="18"/>
          <w:szCs w:val="18"/>
          <w:lang w:val="el-GR"/>
        </w:rPr>
        <w:t>6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24335">
        <w:rPr>
          <w:rFonts w:ascii="Verdana" w:hAnsi="Verdana" w:cs="Arial"/>
          <w:sz w:val="18"/>
          <w:szCs w:val="18"/>
          <w:lang w:val="el-GR"/>
        </w:rPr>
        <w:t>Ιουνίου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13097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01D99B5E" w:rsidR="00721160" w:rsidRPr="00F07F94" w:rsidRDefault="00DC53AA" w:rsidP="00721160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A24335" w:rsidRPr="00A24335">
        <w:rPr>
          <w:rFonts w:ascii="Verdana" w:eastAsia="Malgun Gothic" w:hAnsi="Verdana" w:cs="Arial"/>
          <w:szCs w:val="22"/>
        </w:rPr>
        <w:t>1</w:t>
      </w:r>
      <w:r w:rsidR="00721160" w:rsidRPr="00A24335">
        <w:rPr>
          <w:rFonts w:ascii="Verdana" w:eastAsia="Malgun Gothic" w:hAnsi="Verdana" w:cs="Arial"/>
          <w:szCs w:val="22"/>
          <w:vertAlign w:val="superscript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A24335">
        <w:rPr>
          <w:rFonts w:ascii="Verdana" w:eastAsia="Malgun Gothic" w:hAnsi="Verdana" w:cs="Arial"/>
          <w:szCs w:val="22"/>
        </w:rPr>
        <w:t>3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5008AD88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A24335">
        <w:rPr>
          <w:rFonts w:ascii="Verdana" w:eastAsia="Malgun Gothic" w:hAnsi="Verdana" w:cs="Arial"/>
          <w:b/>
          <w:lang w:val="el-GR"/>
        </w:rPr>
        <w:t>5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r w:rsidR="00A24335">
        <w:rPr>
          <w:rFonts w:ascii="Verdana" w:eastAsia="Malgun Gothic" w:hAnsi="Verdana" w:cs="Arial"/>
          <w:b/>
          <w:lang w:val="el-GR"/>
        </w:rPr>
        <w:t>0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7118FC7F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08936711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45751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24335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19E5BA50" w14:textId="1D295F50" w:rsidR="00C641E1" w:rsidRPr="00054516" w:rsidRDefault="00C641E1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73A4824" w14:textId="48DDA913" w:rsidR="00C641E1" w:rsidRPr="00054516" w:rsidRDefault="00B4166D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Σημειώνεται ότι, σε αυτή τη δημοσίευση υιοθετείται νέο έτος βάσης, το 2020 (2020=100). Επιπλέον, έχουν αναθεωρηθεί </w:t>
      </w:r>
      <w:r w:rsidR="003B6A68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>παραδοχές που εφαρμόζονται κατά τ</w:t>
      </w:r>
      <w:r w:rsidR="003B6A68">
        <w:rPr>
          <w:rFonts w:ascii="Verdana" w:eastAsia="Malgun Gothic" w:hAnsi="Verdana" w:cs="Arial"/>
          <w:sz w:val="18"/>
          <w:szCs w:val="18"/>
          <w:lang w:val="el-GR"/>
        </w:rPr>
        <w:t>ον υπολογισμό των μεταβλητών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>, σύμφωνα με τη μεθοδολογία που ακολουθείται διαχρονικά, με βάση τα αποτελέσματα της Έρευνας Εργατικού Κόστους με έτος αναφοράς το 2020.</w:t>
      </w:r>
      <w:r w:rsidR="00906E2D" w:rsidRPr="00906E2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bookmarkStart w:id="0" w:name="_Hlk137713001"/>
    </w:p>
    <w:bookmarkEnd w:id="0"/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18F639F6" w:rsidR="000E29E5" w:rsidRPr="00B97183" w:rsidRDefault="008540BD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8540BD"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391A4F96" wp14:editId="416BFBD4">
            <wp:extent cx="6090432" cy="4383404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432" cy="438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C3A9" w14:textId="722413A4" w:rsidR="00721160" w:rsidRPr="006C19AE" w:rsidRDefault="002C62AD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ab/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45751E">
        <w:rPr>
          <w:rFonts w:ascii="Verdana" w:eastAsia="Malgun Gothic" w:hAnsi="Verdana" w:cs="Arial"/>
          <w:color w:val="365F91"/>
          <w:sz w:val="16"/>
          <w:szCs w:val="16"/>
          <w:lang w:val="el-GR"/>
        </w:rPr>
        <w:t>2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36DCE4B4" w:rsidR="00434DB3" w:rsidRPr="00F07F94" w:rsidRDefault="00D5168F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  <w:r w:rsidR="00FD5FFB"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FD5FFB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Pr="00F07F94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1"/>
        <w:gridCol w:w="1701"/>
        <w:gridCol w:w="1711"/>
        <w:gridCol w:w="282"/>
        <w:gridCol w:w="1902"/>
        <w:gridCol w:w="1839"/>
      </w:tblGrid>
      <w:tr w:rsidR="003342F4" w:rsidRPr="00F07F94" w14:paraId="3D8FF9D2" w14:textId="77777777" w:rsidTr="005D2063">
        <w:trPr>
          <w:trHeight w:val="389"/>
          <w:jc w:val="center"/>
        </w:trPr>
        <w:tc>
          <w:tcPr>
            <w:tcW w:w="20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4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F07F94" w14:paraId="21F8CE42" w14:textId="77777777" w:rsidTr="005D2063">
        <w:trPr>
          <w:trHeight w:val="360"/>
          <w:jc w:val="center"/>
        </w:trPr>
        <w:tc>
          <w:tcPr>
            <w:tcW w:w="2082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13075F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Δείκτης</w:t>
            </w:r>
            <w:r w:rsidR="001307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Μεταβολή (%)</w:t>
            </w:r>
          </w:p>
        </w:tc>
      </w:tr>
      <w:tr w:rsidR="003342F4" w:rsidRPr="00CE4805" w14:paraId="4F66FD4E" w14:textId="77777777" w:rsidTr="005D2063">
        <w:trPr>
          <w:trHeight w:val="1440"/>
          <w:jc w:val="center"/>
        </w:trPr>
        <w:tc>
          <w:tcPr>
            <w:tcW w:w="2082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4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4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F07F94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77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F07F94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είκτης)</w:t>
            </w:r>
          </w:p>
        </w:tc>
      </w:tr>
      <w:tr w:rsidR="003342F4" w:rsidRPr="00F07F94" w14:paraId="7D35721A" w14:textId="77777777" w:rsidTr="00706635">
        <w:trPr>
          <w:trHeight w:val="312"/>
          <w:jc w:val="center"/>
        </w:trPr>
        <w:tc>
          <w:tcPr>
            <w:tcW w:w="3823" w:type="dxa"/>
            <w:gridSpan w:val="2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3D108AB4" w14:textId="77777777" w:rsidR="003342F4" w:rsidRPr="00F07F94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A5EE69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EB815DF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365F91"/>
              <w:left w:val="single" w:sz="4" w:space="0" w:color="365F91"/>
            </w:tcBorders>
            <w:shd w:val="clear" w:color="auto" w:fill="auto"/>
            <w:vAlign w:val="center"/>
          </w:tcPr>
          <w:p w14:paraId="772C0325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77" w:type="dxa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6E819B73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0D041F" w:rsidRPr="00F07F94" w14:paraId="40DEC9A9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06673BDF" w14:textId="4993EC97" w:rsidR="000D041F" w:rsidRPr="00F07F94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65361869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106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34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14FF50F3" w14:textId="069AD7E8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113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91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1D12E34" w14:textId="56D11949" w:rsidR="000D041F" w:rsidRPr="00DD4B68" w:rsidRDefault="000D041F" w:rsidP="000D041F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5602" w14:textId="6FA236AE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77CDFC14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7</w:t>
            </w:r>
          </w:p>
        </w:tc>
      </w:tr>
      <w:tr w:rsidR="000D041F" w:rsidRPr="00F07F94" w14:paraId="21B904F5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3DEB3C59" w14:textId="486D6902" w:rsidR="000D041F" w:rsidRPr="00F07F94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76D474D2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121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657B2139" w14:textId="42B62BB2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02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FB66225" w14:textId="22323C07" w:rsidR="000D041F" w:rsidRPr="00DD4B68" w:rsidRDefault="000D041F" w:rsidP="000D041F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087F" w14:textId="4A0CB8B3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2BB1ED4C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</w:p>
        </w:tc>
      </w:tr>
      <w:tr w:rsidR="000D041F" w:rsidRPr="00F07F94" w14:paraId="55C3F94F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520000F2" w14:textId="6657B2F6" w:rsidR="000D041F" w:rsidRPr="00C62D1D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068A0F47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2A465028" w14:textId="287BFBAF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109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09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67DC946" w14:textId="79FA226D" w:rsidR="000D041F" w:rsidRPr="00DD4B68" w:rsidRDefault="000D041F" w:rsidP="000D041F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6BDC" w14:textId="5663EC41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7D97F657" w:rsidR="000D041F" w:rsidRPr="000D041F" w:rsidRDefault="000D041F" w:rsidP="000D041F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</w:p>
        </w:tc>
      </w:tr>
      <w:tr w:rsidR="00A56B71" w:rsidRPr="00F07F94" w14:paraId="5C333CDF" w14:textId="77777777" w:rsidTr="003667D6">
        <w:trPr>
          <w:trHeight w:val="113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5A403220" w14:textId="77777777" w:rsidR="00A56B71" w:rsidRPr="00F07F94" w:rsidRDefault="00A56B71" w:rsidP="003667D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CFDB13" w14:textId="77777777" w:rsidR="00A56B71" w:rsidRPr="00F07F94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201465DC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994696F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5D9DB039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57E5FF0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A56B71" w:rsidRPr="00F07F94" w14:paraId="0CB2FD35" w14:textId="77777777" w:rsidTr="003667D6">
        <w:trPr>
          <w:trHeight w:val="312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4B32A2D" w14:textId="77777777" w:rsidR="00A56B71" w:rsidRPr="00F07F94" w:rsidRDefault="00A56B71" w:rsidP="003667D6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41" w:type="dxa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5865E127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577B8915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946C465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AE92165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0D041F" w:rsidRPr="009D3545" w14:paraId="09A296AB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9A881BE" w14:textId="2EE37F98" w:rsidR="000D041F" w:rsidRPr="00C62D1D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2624D61F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1551B532" w14:textId="57C584E7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113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98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AA0F7CE" w14:textId="6A301091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A654" w14:textId="3F67057A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258F42BE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0D041F" w:rsidRPr="009D3545" w14:paraId="658C5F52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3D7AD8F1" w14:textId="45AD379D" w:rsidR="000D041F" w:rsidRPr="00F07F94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167B3B09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121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5D1C9C49" w14:textId="2BE05A1C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23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DA48F76" w14:textId="4DD041B1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6DC6" w14:textId="33E447A9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5EE4CE86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</w:tr>
      <w:tr w:rsidR="000D041F" w:rsidRPr="009D3545" w14:paraId="54F4D1AA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5531C86C" w14:textId="7F42FAE5" w:rsidR="000D041F" w:rsidRPr="00C62D1D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7B9F5789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76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2128B225" w14:textId="090BE6E3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108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98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146FB33" w14:textId="370A6803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B17E" w14:textId="65487970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2E8DC9C5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</w:tr>
      <w:tr w:rsidR="00A56B71" w:rsidRPr="00F07F94" w14:paraId="0748B9BA" w14:textId="77777777" w:rsidTr="003667D6">
        <w:trPr>
          <w:trHeight w:val="113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F1C4996" w14:textId="77777777" w:rsidR="00A56B71" w:rsidRPr="00F07F94" w:rsidRDefault="00A56B71" w:rsidP="003667D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B3FEFBD" w14:textId="77777777" w:rsidR="00A56B71" w:rsidRPr="00F07F94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41" w:type="dxa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2EDCDCE2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A129EEB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67678EE3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AE17B6D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A56B71" w:rsidRPr="00F07F94" w14:paraId="2DB0C948" w14:textId="77777777" w:rsidTr="003667D6">
        <w:trPr>
          <w:trHeight w:val="113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C09BFBC" w14:textId="77777777" w:rsidR="00A56B71" w:rsidRPr="00F07F94" w:rsidRDefault="00A56B71" w:rsidP="003667D6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41" w:type="dxa"/>
            <w:tcBorders>
              <w:right w:val="single" w:sz="4" w:space="0" w:color="365F91"/>
            </w:tcBorders>
            <w:shd w:val="clear" w:color="auto" w:fill="auto"/>
            <w:vAlign w:val="center"/>
          </w:tcPr>
          <w:p w14:paraId="6D0D3462" w14:textId="77777777" w:rsidR="00A56B71" w:rsidRPr="00924CEE" w:rsidRDefault="00A56B71" w:rsidP="003667D6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E9F906F" w14:textId="77777777" w:rsidR="00A56B71" w:rsidRPr="00924CEE" w:rsidRDefault="00A56B71" w:rsidP="003667D6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A74BD7A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B95D247" w14:textId="77777777" w:rsidR="00A56B71" w:rsidRPr="00924CEE" w:rsidRDefault="00A56B71" w:rsidP="003667D6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0D041F" w:rsidRPr="00F07F94" w14:paraId="64053F5F" w14:textId="77777777" w:rsidTr="000D041F">
        <w:trPr>
          <w:trHeight w:val="312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7226A0AD" w14:textId="66084017" w:rsidR="000D041F" w:rsidRPr="00C62D1D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72A3BA5C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103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41AC964D" w14:textId="14A39153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113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63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50ED9F2" w14:textId="56DDB64C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E7D0" w14:textId="5393A66D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473DC00E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  <w:tr w:rsidR="000D041F" w:rsidRPr="00F07F94" w14:paraId="4F86D794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385D03C4" w14:textId="53F8B2AC" w:rsidR="000D041F" w:rsidRPr="00F07F94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6BD4B624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121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365F91"/>
            </w:tcBorders>
            <w:shd w:val="clear" w:color="auto" w:fill="auto"/>
            <w:vAlign w:val="center"/>
          </w:tcPr>
          <w:p w14:paraId="674D4557" w14:textId="27AFAF27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111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15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A69F68C" w14:textId="2F85545B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229B6F9A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08DF2227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</w:tr>
      <w:tr w:rsidR="000D041F" w:rsidRPr="00F07F94" w14:paraId="6B171B17" w14:textId="77777777" w:rsidTr="000D041F">
        <w:trPr>
          <w:trHeight w:val="37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03092C0D" w14:textId="0E7A8234" w:rsidR="000D041F" w:rsidRPr="00C62D1D" w:rsidRDefault="000D041F" w:rsidP="000D041F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11EB95B0" w14:textId="45A13C27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99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auto"/>
            <w:vAlign w:val="center"/>
          </w:tcPr>
          <w:p w14:paraId="15DA45CD" w14:textId="30502297" w:rsidR="000D041F" w:rsidRPr="000D041F" w:rsidRDefault="000D041F" w:rsidP="000D041F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109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282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B4912D" w14:textId="38839D62" w:rsidR="000D041F" w:rsidRPr="000D041F" w:rsidRDefault="000D041F" w:rsidP="000D04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2E34A47B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16D6BD8D" w:rsidR="000D041F" w:rsidRPr="000D041F" w:rsidRDefault="000D041F" w:rsidP="000D041F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0E1C2E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0D041F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</w:tbl>
    <w:p w14:paraId="70773BB6" w14:textId="77777777" w:rsidR="003342F4" w:rsidRPr="00F07F94" w:rsidRDefault="003342F4" w:rsidP="003342F4">
      <w:pPr>
        <w:tabs>
          <w:tab w:val="left" w:pos="1080"/>
          <w:tab w:val="left" w:pos="6840"/>
        </w:tabs>
        <w:rPr>
          <w:rFonts w:ascii="Verdana" w:eastAsia="Malgun Gothic" w:hAnsi="Verdana" w:cs="Arial"/>
          <w:color w:val="365F91"/>
          <w:sz w:val="18"/>
          <w:szCs w:val="18"/>
        </w:rPr>
      </w:pPr>
    </w:p>
    <w:p w14:paraId="293AA6C9" w14:textId="0CC9E349" w:rsidR="004C468C" w:rsidRPr="00D268FB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Σημείωση: </w:t>
      </w:r>
      <w:r w:rsidR="003342F4"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Λόγω στρογγυλοποίησης των αριθμών ο υπολογισμός της μεταβολής ενδεχομένως να διαφέρει από την ποσοστιαία μεταβολή που παρουσιάζεται στον πίνακα. </w:t>
      </w:r>
    </w:p>
    <w:p w14:paraId="4A1D35A0" w14:textId="77777777" w:rsidR="00721160" w:rsidRPr="00F07F94" w:rsidRDefault="004C468C" w:rsidP="004C468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  <w:r w:rsidR="00721160"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ετερόδικων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77777777" w:rsidR="00162AF8" w:rsidRPr="00077A8C" w:rsidRDefault="00162AF8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αντικατοπτρίζει τη</w:t>
      </w:r>
      <w:r w:rsidR="00C32F6C" w:rsidRPr="00077A8C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 w:rsidR="004D7B9A" w:rsidRPr="00077A8C">
        <w:rPr>
          <w:rFonts w:ascii="Verdana" w:eastAsia="Malgun Gothic" w:hAnsi="Verdana" w:cs="Arial"/>
          <w:sz w:val="18"/>
          <w:szCs w:val="18"/>
          <w:lang w:val="el-GR"/>
        </w:rPr>
        <w:t>η εξέλιξη του συνολικού κόστους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σε ωριαία βάση, </w:t>
      </w:r>
      <w:r w:rsidR="005251B1" w:rsidRPr="00077A8C">
        <w:rPr>
          <w:rFonts w:ascii="Verdana" w:eastAsia="Malgun Gothic" w:hAnsi="Verdana" w:cs="Arial"/>
          <w:sz w:val="18"/>
          <w:szCs w:val="18"/>
          <w:lang w:val="el-GR"/>
        </w:rPr>
        <w:t>των εργοδοτών που απασχολούν εργατικό δυναμικό</w:t>
      </w:r>
      <w:r w:rsidR="00730FCF" w:rsidRPr="00077A8C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'chain-linked Laspeyres cost-index'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026B536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>
        <w:rPr>
          <w:rStyle w:val="PageNumber"/>
          <w:rFonts w:ascii="Verdana" w:hAnsi="Verdana"/>
          <w:sz w:val="18"/>
          <w:szCs w:val="18"/>
          <w:lang w:val="el-GR"/>
        </w:rPr>
        <w:t>Με</w:t>
      </w:r>
      <w:r w:rsidRPr="0027553E">
        <w:rPr>
          <w:rStyle w:val="PageNumber"/>
          <w:rFonts w:ascii="Verdana" w:hAnsi="Verdana"/>
          <w:sz w:val="18"/>
          <w:szCs w:val="18"/>
          <w:lang w:val="el-GR"/>
        </w:rPr>
        <w:t xml:space="preserve"> βάση τα </w:t>
      </w:r>
      <w:r>
        <w:rPr>
          <w:rStyle w:val="PageNumber"/>
          <w:rFonts w:ascii="Verdana" w:hAnsi="Verdana"/>
          <w:sz w:val="18"/>
          <w:szCs w:val="18"/>
          <w:lang w:val="el-GR"/>
        </w:rPr>
        <w:t>αποτελέσματα</w:t>
      </w:r>
      <w:r w:rsidRPr="0027553E">
        <w:rPr>
          <w:rStyle w:val="PageNumber"/>
          <w:rFonts w:ascii="Verdana" w:hAnsi="Verdana"/>
          <w:sz w:val="18"/>
          <w:szCs w:val="18"/>
          <w:lang w:val="el-GR"/>
        </w:rPr>
        <w:t xml:space="preserve"> της Έρευνας Εργατικού Κόστους με έτος αναφοράς το 2020</w:t>
      </w:r>
      <w:r>
        <w:rPr>
          <w:rStyle w:val="PageNumber"/>
          <w:rFonts w:ascii="Verdana" w:hAnsi="Verdana"/>
          <w:sz w:val="18"/>
          <w:szCs w:val="18"/>
          <w:lang w:val="el-GR"/>
        </w:rPr>
        <w:t>,</w:t>
      </w:r>
      <w:r w:rsidRPr="0027553E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έχουν </w:t>
      </w:r>
      <w:r w:rsidRPr="0027553E">
        <w:rPr>
          <w:rStyle w:val="PageNumber"/>
          <w:rFonts w:ascii="Verdana" w:hAnsi="Verdana"/>
          <w:sz w:val="18"/>
          <w:szCs w:val="18"/>
          <w:lang w:val="el-GR"/>
        </w:rPr>
        <w:t>αναθεωρ</w:t>
      </w:r>
      <w:r>
        <w:rPr>
          <w:rStyle w:val="PageNumber"/>
          <w:rFonts w:ascii="Verdana" w:hAnsi="Verdana"/>
          <w:sz w:val="18"/>
          <w:szCs w:val="18"/>
          <w:lang w:val="el-GR"/>
        </w:rPr>
        <w:t>ηθεί</w:t>
      </w:r>
      <w:r w:rsidRPr="0027553E">
        <w:rPr>
          <w:rStyle w:val="PageNumber"/>
          <w:rFonts w:ascii="Verdana" w:hAnsi="Verdana"/>
          <w:sz w:val="18"/>
          <w:szCs w:val="18"/>
          <w:lang w:val="el-GR"/>
        </w:rPr>
        <w:t xml:space="preserve"> οι παραδοχές που χρησιμοποιούνται για την εκτίμηση των μεταβλητών.</w:t>
      </w:r>
      <w:r w:rsidRPr="00CA2EEA">
        <w:rPr>
          <w:lang w:val="el-GR"/>
        </w:rPr>
        <w:t xml:space="preserve"> </w:t>
      </w:r>
      <w:r w:rsidR="0087542F">
        <w:rPr>
          <w:rFonts w:ascii="Verdana" w:eastAsia="Malgun Gothic" w:hAnsi="Verdana" w:cs="Arial"/>
          <w:sz w:val="18"/>
          <w:szCs w:val="18"/>
          <w:lang w:val="el-GR"/>
        </w:rPr>
        <w:t xml:space="preserve">Ως αποτέλεσμα, </w:t>
      </w:r>
      <w:r w:rsidR="003B6A68">
        <w:rPr>
          <w:rFonts w:ascii="Verdana" w:eastAsia="Malgun Gothic" w:hAnsi="Verdana" w:cs="Arial"/>
          <w:sz w:val="18"/>
          <w:szCs w:val="18"/>
          <w:lang w:val="el-GR"/>
        </w:rPr>
        <w:t>οι ποσοστιαίες μεταβολές</w:t>
      </w:r>
      <w:r w:rsidR="00A06FA6" w:rsidRPr="00A06FA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06FA6">
        <w:rPr>
          <w:rFonts w:ascii="Verdana" w:eastAsia="Malgun Gothic" w:hAnsi="Verdana" w:cs="Arial"/>
          <w:sz w:val="18"/>
          <w:szCs w:val="18"/>
          <w:lang w:val="el-GR"/>
        </w:rPr>
        <w:t>των δεικτών</w:t>
      </w:r>
      <w:r w:rsidR="0087542F">
        <w:rPr>
          <w:rFonts w:ascii="Verdana" w:eastAsia="Malgun Gothic" w:hAnsi="Verdana" w:cs="Arial"/>
          <w:sz w:val="18"/>
          <w:szCs w:val="18"/>
          <w:lang w:val="el-GR"/>
        </w:rPr>
        <w:t xml:space="preserve"> από το πρώτο τρίμηνο του 2016 έχουν αναθεωρηθεί.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03B1886C" w14:textId="4CCB3BA6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60BEC526" w14:textId="77777777" w:rsidR="00F07F94" w:rsidRPr="00077A8C" w:rsidRDefault="00F07F94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5FF8016" w14:textId="24FD617D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5E190C7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000000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6D56A6"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="006D56A6"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6D56A6"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6D56A6"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000000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="00781E08"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Τηλ:+35722602115, Ηλ. Ταχ.: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D420" w14:textId="77777777" w:rsidR="0017084A" w:rsidRDefault="0017084A" w:rsidP="00FB398F">
      <w:r>
        <w:separator/>
      </w:r>
    </w:p>
  </w:endnote>
  <w:endnote w:type="continuationSeparator" w:id="0">
    <w:p w14:paraId="37703864" w14:textId="77777777" w:rsidR="0017084A" w:rsidRDefault="0017084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259E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A74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17D9F2A1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r w:rsidRPr="006103E0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1F3DBFD7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7F26" w14:textId="77777777" w:rsidR="0017084A" w:rsidRDefault="0017084A" w:rsidP="00FB398F">
      <w:r>
        <w:separator/>
      </w:r>
    </w:p>
  </w:footnote>
  <w:footnote w:type="continuationSeparator" w:id="0">
    <w:p w14:paraId="612A3CF5" w14:textId="77777777" w:rsidR="0017084A" w:rsidRDefault="0017084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184" w14:textId="62D5C0FE" w:rsidR="00A14FBA" w:rsidRDefault="002C62AD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76B5BC" wp14:editId="063F5CD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8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6D73F" wp14:editId="66B047B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10160" t="6985" r="6985" b="1206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D79C" w14:textId="3DFC2106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1072D2E2" wp14:editId="3B94292B">
                                <wp:extent cx="1095375" cy="7905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D7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2010D79C" w14:textId="3DFC2106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1072D2E2" wp14:editId="3B94292B">
                          <wp:extent cx="1095375" cy="7905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C5F95" wp14:editId="49E3D8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10160" t="6985" r="6985" b="1206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54BDF" w14:textId="0C362624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412C354B" wp14:editId="7D24EA1C">
                                <wp:extent cx="1276350" cy="10096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C5F95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8054BDF" w14:textId="0C362624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412C354B" wp14:editId="7D24EA1C">
                          <wp:extent cx="1276350" cy="10096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D60FA0" w14:textId="77777777" w:rsidR="00A14FBA" w:rsidRDefault="00A14FBA" w:rsidP="00A14FBA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9222939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E9416BE" w14:textId="77777777" w:rsidR="00A14FBA" w:rsidRDefault="00A14FBA" w:rsidP="00A14FBA">
    <w:pPr>
      <w:pStyle w:val="Header"/>
      <w:tabs>
        <w:tab w:val="clear" w:pos="4153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2396938" w14:textId="5769757D" w:rsidR="00A14FBA" w:rsidRDefault="002C62AD" w:rsidP="00A14FBA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BACD9" wp14:editId="2BAE43B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3175" b="63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8ABE" w14:textId="77777777" w:rsidR="00A14FBA" w:rsidRDefault="00A14FBA" w:rsidP="00A14FB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A387F8" w14:textId="77777777" w:rsidR="00A14FBA" w:rsidRDefault="00A14FBA" w:rsidP="00A14F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BACD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E3C8ABE" w14:textId="77777777" w:rsidR="00A14FBA" w:rsidRDefault="00A14FBA" w:rsidP="00A14FBA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A387F8" w14:textId="77777777" w:rsidR="00A14FBA" w:rsidRDefault="00A14FBA" w:rsidP="00A14FB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 w:rsidR="00A14FBA">
      <w:rPr>
        <w:rFonts w:ascii="Arial" w:hAnsi="Arial" w:cs="Arial"/>
        <w:bCs/>
        <w:sz w:val="18"/>
        <w:szCs w:val="18"/>
      </w:rPr>
      <w:tab/>
    </w:r>
  </w:p>
  <w:p w14:paraId="3F8635ED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>
      <w:rPr>
        <w:rFonts w:ascii="Arial" w:hAnsi="Arial" w:cs="Arial"/>
        <w:bCs/>
        <w:sz w:val="18"/>
        <w:szCs w:val="18"/>
      </w:rPr>
      <w:t>ΚΥΠΡΙΑΚΗ ΔΗΜΟΚΡΑΤΙΑ</w:t>
    </w:r>
    <w:r>
      <w:rPr>
        <w:b/>
        <w:bCs/>
        <w:sz w:val="20"/>
        <w:szCs w:val="20"/>
        <w:lang w:val="en-US"/>
      </w:rPr>
      <w:t xml:space="preserve"> </w:t>
    </w:r>
    <w:r>
      <w:rPr>
        <w:b/>
        <w:bCs/>
        <w:sz w:val="20"/>
        <w:szCs w:val="20"/>
        <w:lang w:val="en-US"/>
      </w:rPr>
      <w:tab/>
    </w:r>
  </w:p>
  <w:p w14:paraId="1ACFA1DD" w14:textId="47DA213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>
      <w:rPr>
        <w:rFonts w:ascii="Arial" w:hAnsi="Arial" w:cs="Arial"/>
        <w:b/>
        <w:bCs/>
        <w:sz w:val="22"/>
        <w:szCs w:val="22"/>
        <w:lang w:val="en-US"/>
      </w:rPr>
      <w:tab/>
    </w:r>
    <w:r>
      <w:rPr>
        <w:b/>
        <w:bCs/>
        <w:sz w:val="22"/>
        <w:szCs w:val="22"/>
        <w:lang w:val="en-US"/>
      </w:rPr>
      <w:tab/>
    </w:r>
  </w:p>
  <w:p w14:paraId="3B16842D" w14:textId="77777777" w:rsidR="004E4F42" w:rsidRPr="00A14FBA" w:rsidRDefault="004E4F42" w:rsidP="00A1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920454">
    <w:abstractNumId w:val="5"/>
  </w:num>
  <w:num w:numId="2" w16cid:durableId="824198560">
    <w:abstractNumId w:val="2"/>
  </w:num>
  <w:num w:numId="3" w16cid:durableId="1817719095">
    <w:abstractNumId w:val="3"/>
  </w:num>
  <w:num w:numId="4" w16cid:durableId="1065373053">
    <w:abstractNumId w:val="4"/>
  </w:num>
  <w:num w:numId="5" w16cid:durableId="1157575904">
    <w:abstractNumId w:val="1"/>
  </w:num>
  <w:num w:numId="6" w16cid:durableId="1008097678">
    <w:abstractNumId w:val="6"/>
  </w:num>
  <w:num w:numId="7" w16cid:durableId="1544322530">
    <w:abstractNumId w:val="0"/>
  </w:num>
  <w:num w:numId="8" w16cid:durableId="44455311">
    <w:abstractNumId w:val="8"/>
  </w:num>
  <w:num w:numId="9" w16cid:durableId="1397364458">
    <w:abstractNumId w:val="7"/>
  </w:num>
  <w:num w:numId="10" w16cid:durableId="1254053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45088"/>
    <w:rsid w:val="00045A06"/>
    <w:rsid w:val="00050391"/>
    <w:rsid w:val="00054516"/>
    <w:rsid w:val="00055291"/>
    <w:rsid w:val="000563D3"/>
    <w:rsid w:val="00057162"/>
    <w:rsid w:val="00057E44"/>
    <w:rsid w:val="00060BAF"/>
    <w:rsid w:val="00061299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12D8"/>
    <w:rsid w:val="0013137B"/>
    <w:rsid w:val="00132C06"/>
    <w:rsid w:val="00141512"/>
    <w:rsid w:val="0015118B"/>
    <w:rsid w:val="001519CE"/>
    <w:rsid w:val="00161CF3"/>
    <w:rsid w:val="0016234D"/>
    <w:rsid w:val="00162AF8"/>
    <w:rsid w:val="00162C00"/>
    <w:rsid w:val="001639EF"/>
    <w:rsid w:val="0016589F"/>
    <w:rsid w:val="0017084A"/>
    <w:rsid w:val="001708D9"/>
    <w:rsid w:val="0017769A"/>
    <w:rsid w:val="00180B2D"/>
    <w:rsid w:val="00181155"/>
    <w:rsid w:val="0018250A"/>
    <w:rsid w:val="00183DFC"/>
    <w:rsid w:val="00184384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549B"/>
    <w:rsid w:val="001C62B3"/>
    <w:rsid w:val="001C6D54"/>
    <w:rsid w:val="001C7C8C"/>
    <w:rsid w:val="001D0D6A"/>
    <w:rsid w:val="001D1C29"/>
    <w:rsid w:val="001D20A4"/>
    <w:rsid w:val="001D5D48"/>
    <w:rsid w:val="001E00D1"/>
    <w:rsid w:val="001E0E58"/>
    <w:rsid w:val="001E14F3"/>
    <w:rsid w:val="001E15ED"/>
    <w:rsid w:val="001E47CD"/>
    <w:rsid w:val="001E61AA"/>
    <w:rsid w:val="001E7658"/>
    <w:rsid w:val="001F5498"/>
    <w:rsid w:val="00200036"/>
    <w:rsid w:val="0020309E"/>
    <w:rsid w:val="00206189"/>
    <w:rsid w:val="0021061B"/>
    <w:rsid w:val="002109D5"/>
    <w:rsid w:val="00210B58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7E6B"/>
    <w:rsid w:val="002A1D1C"/>
    <w:rsid w:val="002A4D64"/>
    <w:rsid w:val="002B1E5B"/>
    <w:rsid w:val="002B4969"/>
    <w:rsid w:val="002B6554"/>
    <w:rsid w:val="002B6869"/>
    <w:rsid w:val="002B7C27"/>
    <w:rsid w:val="002B7DAA"/>
    <w:rsid w:val="002C218C"/>
    <w:rsid w:val="002C3834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231E"/>
    <w:rsid w:val="003023EC"/>
    <w:rsid w:val="003042C4"/>
    <w:rsid w:val="00304CB4"/>
    <w:rsid w:val="00313F37"/>
    <w:rsid w:val="003141D0"/>
    <w:rsid w:val="003168C1"/>
    <w:rsid w:val="00321F41"/>
    <w:rsid w:val="00322FBE"/>
    <w:rsid w:val="00323CDF"/>
    <w:rsid w:val="003247BA"/>
    <w:rsid w:val="00325570"/>
    <w:rsid w:val="00325632"/>
    <w:rsid w:val="003263AF"/>
    <w:rsid w:val="00327549"/>
    <w:rsid w:val="00331F05"/>
    <w:rsid w:val="00331FDF"/>
    <w:rsid w:val="003342A5"/>
    <w:rsid w:val="003342F4"/>
    <w:rsid w:val="00334616"/>
    <w:rsid w:val="00334F57"/>
    <w:rsid w:val="00336C36"/>
    <w:rsid w:val="00340346"/>
    <w:rsid w:val="003403B5"/>
    <w:rsid w:val="0034184D"/>
    <w:rsid w:val="00343815"/>
    <w:rsid w:val="0034789B"/>
    <w:rsid w:val="0035178C"/>
    <w:rsid w:val="003522BB"/>
    <w:rsid w:val="00352F6C"/>
    <w:rsid w:val="00354298"/>
    <w:rsid w:val="003556EA"/>
    <w:rsid w:val="003640B7"/>
    <w:rsid w:val="00364A6A"/>
    <w:rsid w:val="003667D6"/>
    <w:rsid w:val="0038153A"/>
    <w:rsid w:val="00386FC7"/>
    <w:rsid w:val="00390A32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FB1"/>
    <w:rsid w:val="0045145A"/>
    <w:rsid w:val="00452753"/>
    <w:rsid w:val="004551E1"/>
    <w:rsid w:val="0045751E"/>
    <w:rsid w:val="0046078F"/>
    <w:rsid w:val="00462150"/>
    <w:rsid w:val="00463214"/>
    <w:rsid w:val="0046434D"/>
    <w:rsid w:val="00464FEB"/>
    <w:rsid w:val="004656FA"/>
    <w:rsid w:val="00471D77"/>
    <w:rsid w:val="00475587"/>
    <w:rsid w:val="00480BC2"/>
    <w:rsid w:val="004929C2"/>
    <w:rsid w:val="00493FDD"/>
    <w:rsid w:val="00495727"/>
    <w:rsid w:val="0049586B"/>
    <w:rsid w:val="00495D7C"/>
    <w:rsid w:val="00497B3F"/>
    <w:rsid w:val="004A3E44"/>
    <w:rsid w:val="004B2018"/>
    <w:rsid w:val="004B2896"/>
    <w:rsid w:val="004B31D7"/>
    <w:rsid w:val="004B37F6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5503"/>
    <w:rsid w:val="0050716C"/>
    <w:rsid w:val="0051107B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D1714"/>
    <w:rsid w:val="005D760E"/>
    <w:rsid w:val="005D7638"/>
    <w:rsid w:val="005E5534"/>
    <w:rsid w:val="005E66E0"/>
    <w:rsid w:val="005F12F5"/>
    <w:rsid w:val="005F538F"/>
    <w:rsid w:val="005F7C7D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2777"/>
    <w:rsid w:val="0063334A"/>
    <w:rsid w:val="00633750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543F"/>
    <w:rsid w:val="00795880"/>
    <w:rsid w:val="007A1268"/>
    <w:rsid w:val="007A4367"/>
    <w:rsid w:val="007B0867"/>
    <w:rsid w:val="007B1AC1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40BD"/>
    <w:rsid w:val="0085516F"/>
    <w:rsid w:val="00860C57"/>
    <w:rsid w:val="0086171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717"/>
    <w:rsid w:val="008E018D"/>
    <w:rsid w:val="008E415F"/>
    <w:rsid w:val="008E44A9"/>
    <w:rsid w:val="008E66FB"/>
    <w:rsid w:val="008E6B4D"/>
    <w:rsid w:val="008E6BFF"/>
    <w:rsid w:val="008F21AF"/>
    <w:rsid w:val="008F2400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460D"/>
    <w:rsid w:val="00946676"/>
    <w:rsid w:val="00947889"/>
    <w:rsid w:val="009478BD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6F56"/>
    <w:rsid w:val="009B76D5"/>
    <w:rsid w:val="009C165D"/>
    <w:rsid w:val="009C3CEA"/>
    <w:rsid w:val="009C583D"/>
    <w:rsid w:val="009D0079"/>
    <w:rsid w:val="009D2611"/>
    <w:rsid w:val="009D3545"/>
    <w:rsid w:val="009D504D"/>
    <w:rsid w:val="009D79D2"/>
    <w:rsid w:val="009E247C"/>
    <w:rsid w:val="009E31BA"/>
    <w:rsid w:val="009E4C5B"/>
    <w:rsid w:val="009F0528"/>
    <w:rsid w:val="009F0806"/>
    <w:rsid w:val="009F233B"/>
    <w:rsid w:val="009F71D7"/>
    <w:rsid w:val="00A0297C"/>
    <w:rsid w:val="00A03098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EE0"/>
    <w:rsid w:val="00AE523F"/>
    <w:rsid w:val="00AE52CE"/>
    <w:rsid w:val="00AE5ADA"/>
    <w:rsid w:val="00AE723A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5E28"/>
    <w:rsid w:val="00C426A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4675"/>
    <w:rsid w:val="00CB6438"/>
    <w:rsid w:val="00CB6BC1"/>
    <w:rsid w:val="00CB7021"/>
    <w:rsid w:val="00CC7DCB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D008DA"/>
    <w:rsid w:val="00D013BE"/>
    <w:rsid w:val="00D0416F"/>
    <w:rsid w:val="00D04F74"/>
    <w:rsid w:val="00D05851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2092A"/>
    <w:rsid w:val="00D2216D"/>
    <w:rsid w:val="00D268FB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5917"/>
    <w:rsid w:val="00D76249"/>
    <w:rsid w:val="00D81EC2"/>
    <w:rsid w:val="00D823E0"/>
    <w:rsid w:val="00D862D1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7172"/>
    <w:rsid w:val="00E17A33"/>
    <w:rsid w:val="00E24DE3"/>
    <w:rsid w:val="00E3181C"/>
    <w:rsid w:val="00E3280A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715A"/>
    <w:rsid w:val="00E74974"/>
    <w:rsid w:val="00E75DC9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ECA"/>
    <w:rsid w:val="00F23348"/>
    <w:rsid w:val="00F240E8"/>
    <w:rsid w:val="00F244FA"/>
    <w:rsid w:val="00F26ED8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C41"/>
    <w:rsid w:val="00F63E96"/>
    <w:rsid w:val="00F6421C"/>
    <w:rsid w:val="00F6748D"/>
    <w:rsid w:val="00F701E3"/>
    <w:rsid w:val="00F71008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5774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1D95-CB10-4BA1-B056-405BD752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25</cp:revision>
  <cp:lastPrinted>2022-06-09T06:45:00Z</cp:lastPrinted>
  <dcterms:created xsi:type="dcterms:W3CDTF">2023-06-15T04:22:00Z</dcterms:created>
  <dcterms:modified xsi:type="dcterms:W3CDTF">2023-06-16T08:26:00Z</dcterms:modified>
</cp:coreProperties>
</file>