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5E26" w14:textId="77777777" w:rsidR="0063334A" w:rsidRPr="009B64B2" w:rsidRDefault="0063334A" w:rsidP="0072116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20"/>
          <w:szCs w:val="20"/>
        </w:rPr>
      </w:pPr>
    </w:p>
    <w:p w14:paraId="3D3F9612" w14:textId="3C58FA79" w:rsidR="00721160" w:rsidRPr="003023EC" w:rsidRDefault="00721160" w:rsidP="00721160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hAnsi="Verdana" w:cs="Arial"/>
          <w:sz w:val="20"/>
          <w:szCs w:val="20"/>
          <w:lang w:val="el-GR"/>
        </w:rPr>
        <w:tab/>
      </w:r>
      <w:r w:rsidRPr="00F07F94">
        <w:rPr>
          <w:rFonts w:ascii="Verdana" w:hAnsi="Verdana" w:cs="Arial"/>
          <w:sz w:val="18"/>
          <w:szCs w:val="18"/>
          <w:lang w:val="el-GR"/>
        </w:rPr>
        <w:tab/>
      </w:r>
      <w:r w:rsidR="004F15C0" w:rsidRPr="00E72968">
        <w:rPr>
          <w:rFonts w:ascii="Verdana" w:hAnsi="Verdana" w:cs="Arial"/>
          <w:sz w:val="18"/>
          <w:szCs w:val="18"/>
          <w:lang w:val="el-GR"/>
        </w:rPr>
        <w:t xml:space="preserve">       </w:t>
      </w:r>
      <w:r w:rsidR="0045751E">
        <w:rPr>
          <w:rFonts w:ascii="Verdana" w:hAnsi="Verdana" w:cs="Arial"/>
          <w:sz w:val="18"/>
          <w:szCs w:val="18"/>
          <w:lang w:val="el-GR"/>
        </w:rPr>
        <w:t>1</w:t>
      </w:r>
      <w:r w:rsidR="008F240B" w:rsidRPr="00D9373D">
        <w:rPr>
          <w:rFonts w:ascii="Verdana" w:hAnsi="Verdana" w:cs="Arial"/>
          <w:sz w:val="18"/>
          <w:szCs w:val="18"/>
          <w:lang w:val="el-GR"/>
        </w:rPr>
        <w:t>6</w:t>
      </w:r>
      <w:r w:rsidRPr="003023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504984">
        <w:rPr>
          <w:rFonts w:ascii="Verdana" w:hAnsi="Verdana" w:cs="Arial"/>
          <w:sz w:val="18"/>
          <w:szCs w:val="18"/>
          <w:lang w:val="el-GR"/>
        </w:rPr>
        <w:t>Δεκεμβρίου</w:t>
      </w:r>
      <w:r w:rsidR="00E77C2A" w:rsidRPr="003023E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4B6D0834" w14:textId="77777777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0E0A0A9" w14:textId="14DCC470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F07F94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805135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39B8219D" w14:textId="10D67B71" w:rsidR="00721160" w:rsidRPr="006F4755" w:rsidRDefault="00DC53AA" w:rsidP="00721160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 xml:space="preserve">ΔΕΙΚΤΗΣ </w:t>
      </w:r>
      <w:r w:rsidR="0074137C" w:rsidRPr="00F07F94">
        <w:rPr>
          <w:rFonts w:ascii="Verdana" w:eastAsia="Malgun Gothic" w:hAnsi="Verdana" w:cs="Arial"/>
          <w:b w:val="0"/>
          <w:szCs w:val="22"/>
        </w:rPr>
        <w:t>ΕΡΓΑΤΙΚΟ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 xml:space="preserve"> ΚΟΣΤΟ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>Σ</w:t>
      </w:r>
      <w:r w:rsidR="00721160" w:rsidRPr="00F07F94">
        <w:rPr>
          <w:rFonts w:ascii="Verdana" w:eastAsia="Malgun Gothic" w:hAnsi="Verdana" w:cs="Arial"/>
          <w:b w:val="0"/>
          <w:szCs w:val="22"/>
        </w:rPr>
        <w:t xml:space="preserve">: </w:t>
      </w:r>
      <w:r w:rsidR="00193555">
        <w:rPr>
          <w:rFonts w:ascii="Verdana" w:eastAsia="Malgun Gothic" w:hAnsi="Verdana" w:cs="Arial"/>
          <w:szCs w:val="22"/>
        </w:rPr>
        <w:t>3ο</w:t>
      </w:r>
      <w:r w:rsidR="00721160" w:rsidRPr="00F07F94">
        <w:rPr>
          <w:rFonts w:ascii="Verdana" w:eastAsia="Malgun Gothic" w:hAnsi="Verdana" w:cs="Arial"/>
          <w:szCs w:val="22"/>
        </w:rPr>
        <w:t xml:space="preserve"> ΤΡΙΜΗΝΟ 202</w:t>
      </w:r>
      <w:r w:rsidR="00141BEE">
        <w:rPr>
          <w:rFonts w:ascii="Verdana" w:eastAsia="Malgun Gothic" w:hAnsi="Verdana" w:cs="Arial"/>
          <w:szCs w:val="22"/>
        </w:rPr>
        <w:t>4</w:t>
      </w:r>
    </w:p>
    <w:p w14:paraId="67EE6930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40463885" w14:textId="533DFDC3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07F94">
        <w:rPr>
          <w:rFonts w:ascii="Verdana" w:eastAsia="Malgun Gothic" w:hAnsi="Verdana" w:cs="Arial"/>
          <w:b/>
          <w:lang w:val="el-GR"/>
        </w:rPr>
        <w:t xml:space="preserve">Ετήσια Μεταβολή </w:t>
      </w:r>
      <w:bookmarkStart w:id="0" w:name="_Hlk137809038"/>
      <w:r w:rsidR="00141BEE">
        <w:rPr>
          <w:rFonts w:ascii="Verdana" w:eastAsia="Malgun Gothic" w:hAnsi="Verdana" w:cs="Arial"/>
          <w:b/>
          <w:lang w:val="el-GR"/>
        </w:rPr>
        <w:t>4</w:t>
      </w:r>
      <w:r w:rsidR="007F070B" w:rsidRPr="00F07F94">
        <w:rPr>
          <w:rFonts w:ascii="Verdana" w:eastAsia="Malgun Gothic" w:hAnsi="Verdana" w:cs="Arial"/>
          <w:b/>
          <w:lang w:val="el-GR"/>
        </w:rPr>
        <w:t>,</w:t>
      </w:r>
      <w:bookmarkEnd w:id="0"/>
      <w:r w:rsidR="00504984">
        <w:rPr>
          <w:rFonts w:ascii="Verdana" w:eastAsia="Malgun Gothic" w:hAnsi="Verdana" w:cs="Arial"/>
          <w:b/>
          <w:lang w:val="el-GR"/>
        </w:rPr>
        <w:t>0</w:t>
      </w:r>
      <w:r w:rsidRPr="00F07F94">
        <w:rPr>
          <w:rFonts w:ascii="Verdana" w:eastAsia="Malgun Gothic" w:hAnsi="Verdana" w:cs="Arial"/>
          <w:b/>
          <w:lang w:val="el-GR"/>
        </w:rPr>
        <w:t>%</w:t>
      </w:r>
    </w:p>
    <w:p w14:paraId="60F3173D" w14:textId="77777777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8CF5F97" w14:textId="350EEB25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Σύμφωνα με προκαταρκτικά στοιχεία,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ωριαίο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κατά το </w:t>
      </w:r>
      <w:r w:rsidR="00504984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7F070B" w:rsidRPr="00F07F9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τρίμηνο του 202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30BEA" w:rsidRPr="00F07F94">
        <w:rPr>
          <w:rFonts w:ascii="Verdana" w:eastAsia="Malgun Gothic" w:hAnsi="Verdana" w:cs="Arial"/>
          <w:sz w:val="18"/>
          <w:szCs w:val="18"/>
          <w:lang w:val="el-GR"/>
        </w:rPr>
        <w:t>αύξηση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04984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0739F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>, σε σύγκριση με το αντίστοιχο τρίμηνο του προηγούμενου έτους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6931B4A" w14:textId="77777777" w:rsidR="00FD6B7E" w:rsidRPr="00F07F94" w:rsidRDefault="00FD6B7E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8AD442" w14:textId="7B5BCF38" w:rsidR="0063334A" w:rsidRPr="00054516" w:rsidRDefault="00FD6B7E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δύο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συ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νιστώσες τ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ου εργατικού κόστους, οι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μισθο</w:t>
      </w:r>
      <w:r w:rsidR="00E35A74" w:rsidRPr="00F07F94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τα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ημερομίσθια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και το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σημείωσ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αύξηση </w:t>
      </w:r>
      <w:r w:rsidR="00141BE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04984" w:rsidRPr="00504984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και </w:t>
      </w:r>
      <w:r w:rsidR="00504984" w:rsidRPr="00504984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30E4E" w:rsidRPr="00130E4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αντίστοιχα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το </w:t>
      </w:r>
      <w:r w:rsidRPr="00054516">
        <w:rPr>
          <w:rFonts w:ascii="Verdana" w:eastAsia="Malgun Gothic" w:hAnsi="Verdana" w:cs="Arial"/>
          <w:sz w:val="18"/>
          <w:szCs w:val="18"/>
          <w:lang w:val="el-GR"/>
        </w:rPr>
        <w:t xml:space="preserve">αντίστοιχο τρίμηνο του προηγούμενου έτους. </w:t>
      </w:r>
    </w:p>
    <w:p w14:paraId="5CFD8A84" w14:textId="77777777" w:rsidR="0041794F" w:rsidRPr="00F07F94" w:rsidRDefault="0041794F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B7E00B" w14:textId="69C40D13" w:rsidR="000E29E5" w:rsidRPr="00B97183" w:rsidRDefault="008963BC" w:rsidP="0041794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4D8E2850" wp14:editId="4D87B1FD">
            <wp:extent cx="5968365" cy="4383405"/>
            <wp:effectExtent l="0" t="0" r="0" b="0"/>
            <wp:docPr id="10140557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AC3A9" w14:textId="31011A8B" w:rsidR="00721160" w:rsidRPr="006C19AE" w:rsidRDefault="002C62AD" w:rsidP="00334F57">
      <w:pPr>
        <w:tabs>
          <w:tab w:val="left" w:pos="49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ab/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Σημείωση: Τα στοιχεία από το 1ο τρίμηνο του 202</w:t>
      </w:r>
      <w:r w:rsidR="00130E4E" w:rsidRPr="00130E4E">
        <w:rPr>
          <w:rFonts w:ascii="Verdana" w:eastAsia="Malgun Gothic" w:hAnsi="Verdana" w:cs="Arial"/>
          <w:color w:val="365F91"/>
          <w:sz w:val="16"/>
          <w:szCs w:val="16"/>
          <w:lang w:val="el-GR"/>
        </w:rPr>
        <w:t>4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και έπειτα 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είναι προκαταρκτικά.</w:t>
      </w:r>
    </w:p>
    <w:p w14:paraId="084A4FB5" w14:textId="77777777" w:rsidR="00A15E51" w:rsidRDefault="00A15E51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40BC356A" w14:textId="77777777" w:rsidR="008963BC" w:rsidRDefault="008963BC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0B19A858" w14:textId="77777777" w:rsidR="008963BC" w:rsidRDefault="008963BC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4A30B3EC" w14:textId="77777777" w:rsidR="008963BC" w:rsidRDefault="008963BC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67FD3F00" w14:textId="77777777" w:rsidR="008963BC" w:rsidRPr="008963BC" w:rsidRDefault="008963BC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6FD1170A" w14:textId="21368DC3" w:rsidR="00434DB3" w:rsidRPr="00F07F94" w:rsidRDefault="00FD5FFB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lastRenderedPageBreak/>
        <w:t>Το ωριαίο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5168F"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30E4E" w:rsidRPr="00130E4E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>με το προηγούμενο τρίμηνο.</w:t>
      </w:r>
      <w:r w:rsidR="00434DB3" w:rsidRPr="00F07F94">
        <w:rPr>
          <w:rFonts w:ascii="Verdana" w:hAnsi="Verdana"/>
          <w:sz w:val="18"/>
          <w:szCs w:val="18"/>
          <w:lang w:val="el-GR"/>
        </w:rPr>
        <w:t xml:space="preserve"> </w:t>
      </w:r>
      <w:r w:rsidR="00CD369E" w:rsidRPr="00F07F94">
        <w:rPr>
          <w:rFonts w:ascii="Verdana" w:hAnsi="Verdana"/>
          <w:sz w:val="18"/>
          <w:szCs w:val="18"/>
          <w:lang w:val="el-GR"/>
        </w:rPr>
        <w:t xml:space="preserve">Το ωριαίο εργατικό κόστος </w:t>
      </w:r>
      <w:r w:rsidR="009D504D" w:rsidRPr="00F07F94">
        <w:rPr>
          <w:rFonts w:ascii="Verdana" w:hAnsi="Verdana"/>
          <w:sz w:val="18"/>
          <w:szCs w:val="18"/>
          <w:lang w:val="el-GR"/>
        </w:rPr>
        <w:t xml:space="preserve">που αναφέρεται στους </w:t>
      </w:r>
      <w:r w:rsidR="009D504D" w:rsidRPr="00F07F94">
        <w:rPr>
          <w:rFonts w:ascii="Verdana" w:eastAsia="Malgun Gothic" w:hAnsi="Verdana" w:cs="Arial"/>
          <w:sz w:val="18"/>
          <w:szCs w:val="18"/>
          <w:lang w:val="el-GR"/>
        </w:rPr>
        <w:t>μισθούς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ημερομίσθια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5168F"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3E14AC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30E4E" w:rsidRPr="00130E4E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και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το </w:t>
      </w:r>
      <w:r w:rsidR="007339F6" w:rsidRPr="00F07F94">
        <w:rPr>
          <w:rFonts w:ascii="Verdana" w:hAnsi="Verdana"/>
          <w:sz w:val="18"/>
          <w:szCs w:val="18"/>
          <w:lang w:val="el-GR"/>
        </w:rPr>
        <w:t xml:space="preserve">ωριαίο 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4789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διορθωμένο ως προς τις εποχικές διακυμάνσεις,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αύξη</w:t>
      </w:r>
      <w:r w:rsidR="00B661D6">
        <w:rPr>
          <w:rFonts w:ascii="Verdana" w:eastAsia="Malgun Gothic" w:hAnsi="Verdana" w:cs="Arial"/>
          <w:sz w:val="18"/>
          <w:szCs w:val="18"/>
          <w:lang w:val="el-GR"/>
        </w:rPr>
        <w:t>ση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30E4E" w:rsidRPr="00130E4E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30E4E" w:rsidRPr="00130E4E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%.</w:t>
      </w:r>
    </w:p>
    <w:p w14:paraId="64E4BE5B" w14:textId="77777777" w:rsidR="004F44D9" w:rsidRDefault="004F44D9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8DC719A" w14:textId="77777777" w:rsidR="004F15C0" w:rsidRPr="00F07F94" w:rsidRDefault="004F15C0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tbl>
      <w:tblPr>
        <w:tblW w:w="4900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11"/>
        <w:gridCol w:w="1701"/>
        <w:gridCol w:w="1711"/>
        <w:gridCol w:w="282"/>
        <w:gridCol w:w="1902"/>
        <w:gridCol w:w="1839"/>
      </w:tblGrid>
      <w:tr w:rsidR="003342F4" w:rsidRPr="00F07F94" w14:paraId="3D8FF9D2" w14:textId="77777777" w:rsidTr="00D830C6">
        <w:trPr>
          <w:trHeight w:val="389"/>
          <w:jc w:val="center"/>
        </w:trPr>
        <w:tc>
          <w:tcPr>
            <w:tcW w:w="20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6678752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70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CBF1B99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A928903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329EF60F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752593F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D36776A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</w:tr>
      <w:tr w:rsidR="003342F4" w:rsidRPr="00F07F94" w14:paraId="21F8CE42" w14:textId="77777777" w:rsidTr="00D830C6">
        <w:trPr>
          <w:trHeight w:val="360"/>
          <w:jc w:val="center"/>
        </w:trPr>
        <w:tc>
          <w:tcPr>
            <w:tcW w:w="2011" w:type="dxa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576FBEBC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74F51D24" w14:textId="0E5107FB" w:rsidR="003342F4" w:rsidRPr="0013075F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Δείκτης</w:t>
            </w:r>
            <w:r w:rsidR="0013075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(2020=100)</w:t>
            </w:r>
          </w:p>
        </w:tc>
        <w:tc>
          <w:tcPr>
            <w:tcW w:w="282" w:type="dxa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7A6BEF07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19BDD09D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Μεταβολή (%)</w:t>
            </w:r>
          </w:p>
        </w:tc>
      </w:tr>
      <w:tr w:rsidR="003342F4" w:rsidRPr="008963BC" w14:paraId="4F66FD4E" w14:textId="77777777" w:rsidTr="00D830C6">
        <w:trPr>
          <w:trHeight w:val="1440"/>
          <w:jc w:val="center"/>
        </w:trPr>
        <w:tc>
          <w:tcPr>
            <w:tcW w:w="2011" w:type="dxa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10D8ECB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24A218" w14:textId="77777777" w:rsidR="002C62AD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Χωρίς </w:t>
            </w:r>
          </w:p>
          <w:p w14:paraId="602BF343" w14:textId="7A89A8FB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διόρθωση</w:t>
            </w:r>
          </w:p>
        </w:tc>
        <w:tc>
          <w:tcPr>
            <w:tcW w:w="1711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1120324D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Εποχικά διορθωμένος</w:t>
            </w:r>
          </w:p>
        </w:tc>
        <w:tc>
          <w:tcPr>
            <w:tcW w:w="28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B366919" w14:textId="77777777" w:rsidR="003342F4" w:rsidRPr="00F07F94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6AB59B" w14:textId="77777777" w:rsidR="003342F4" w:rsidRPr="00F07F94" w:rsidRDefault="003342F4" w:rsidP="003342F4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αντίστοιχο τρίμηνο του προηγούμενου έτους       </w:t>
            </w:r>
          </w:p>
        </w:tc>
        <w:tc>
          <w:tcPr>
            <w:tcW w:w="1839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45C5C6C3" w14:textId="40D089CA" w:rsidR="003342F4" w:rsidRPr="00F07F94" w:rsidRDefault="003342F4" w:rsidP="00B5778E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Με το προηγούμενο τρίμηνο (εποχικά διορθωμένος </w:t>
            </w:r>
            <w:r w:rsidR="00722621"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είκτης)</w:t>
            </w:r>
          </w:p>
        </w:tc>
      </w:tr>
      <w:tr w:rsidR="003342F4" w:rsidRPr="00F07F94" w14:paraId="7D35721A" w14:textId="77777777" w:rsidTr="00446106">
        <w:trPr>
          <w:trHeight w:val="312"/>
          <w:jc w:val="center"/>
        </w:trPr>
        <w:tc>
          <w:tcPr>
            <w:tcW w:w="3712" w:type="dxa"/>
            <w:gridSpan w:val="2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3D108AB4" w14:textId="77777777" w:rsidR="003342F4" w:rsidRPr="00F07F94" w:rsidRDefault="009B3D80" w:rsidP="009B3D8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Συνολικό Εργατικό Κόστος</w:t>
            </w:r>
            <w:r w:rsidR="003247BA"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3EA5EE69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ind w:right="206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EB815DF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72C0325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6E819B73" w14:textId="77777777" w:rsidR="003342F4" w:rsidRPr="00F07F94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</w:tr>
      <w:tr w:rsidR="00130E4E" w:rsidRPr="00F07F94" w14:paraId="40DEC9A9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06673BDF" w14:textId="1985575A" w:rsidR="00130E4E" w:rsidRPr="00F07F94" w:rsidRDefault="00130E4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8732" w14:textId="56FE2686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123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FF50F3" w14:textId="25B40D15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120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14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D12E34" w14:textId="76454F67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70E65602" w14:textId="06D19289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71C1" w14:textId="63DEEEF9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130E4E" w:rsidRPr="00F07F94" w14:paraId="21B904F5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EB3C59" w14:textId="3E0D0157" w:rsidR="00130E4E" w:rsidRPr="00792FD5" w:rsidRDefault="00130E4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0804" w14:textId="04AD62D9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112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99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7B2139" w14:textId="7CDBEC29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118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96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B66225" w14:textId="33C7AB30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52E0087F" w14:textId="417418F3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CEEB" w14:textId="5046A18A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130E4E" w:rsidRPr="00F07F94" w14:paraId="55C3F94F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20000F2" w14:textId="5E12D119" w:rsidR="00130E4E" w:rsidRPr="001846A5" w:rsidRDefault="00130E4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2ADD" w14:textId="3ED21291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119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A465028" w14:textId="6DB50439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115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34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7DC946" w14:textId="7474DDD9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29F6BDC" w14:textId="640F4AF1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979D7" w14:textId="55CD0277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A62DFC" w:rsidRPr="00F07F94" w14:paraId="5C333CDF" w14:textId="77777777" w:rsidTr="00446106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A403220" w14:textId="77777777" w:rsidR="00A62DFC" w:rsidRPr="00F07F94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FDB13" w14:textId="77777777" w:rsidR="00A62DFC" w:rsidRPr="00F07F94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01465DC" w14:textId="77777777" w:rsidR="00A62DFC" w:rsidRPr="00924CE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94696F" w14:textId="77777777" w:rsidR="00A62DFC" w:rsidRPr="00924CEE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5D9DB039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57E5FF0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A62DFC" w:rsidRPr="00F07F94" w14:paraId="0CB2FD35" w14:textId="77777777" w:rsidTr="00446106">
        <w:trPr>
          <w:trHeight w:val="312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34B32A2D" w14:textId="77777777" w:rsidR="00A62DFC" w:rsidRPr="00F07F94" w:rsidRDefault="00A62DFC" w:rsidP="00A62DFC">
            <w:pPr>
              <w:ind w:righ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07F9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Μισθοί και Ημερομίσθια</w:t>
            </w: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65E127" w14:textId="77777777" w:rsidR="00A62DFC" w:rsidRPr="00924CE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7B8915" w14:textId="77777777" w:rsidR="00A62DFC" w:rsidRPr="00924CEE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3946C465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6AE92165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130E4E" w:rsidRPr="009D3545" w14:paraId="09A296AB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9A881BE" w14:textId="3CBBF5D7" w:rsidR="00130E4E" w:rsidRPr="00C62D1D" w:rsidRDefault="00130E4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254C" w14:textId="3BD5EFBC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123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99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51B532" w14:textId="4C4910E5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09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A0F7CE" w14:textId="6A301091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C4FA654" w14:textId="44E7EF3D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AE2B" w14:textId="5B296BBB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130E4E" w:rsidRPr="009D3545" w14:paraId="658C5F52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7AD8F1" w14:textId="6987BFB7" w:rsidR="00130E4E" w:rsidRPr="00F07F94" w:rsidRDefault="00130E4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5F95" w14:textId="0B72AC20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114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D1C9C49" w14:textId="02BE0C75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119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71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DA48F76" w14:textId="4DD041B1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1D206DC6" w14:textId="5D76192C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F87C" w14:textId="11642DF6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130E4E" w:rsidRPr="009D3545" w14:paraId="54F4D1AA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531C86C" w14:textId="08435A21" w:rsidR="00130E4E" w:rsidRPr="00C62D1D" w:rsidRDefault="00130E4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2B438" w14:textId="065AE18F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118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28B225" w14:textId="7D9B795A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115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60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146FB33" w14:textId="370A6803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B1FB17E" w14:textId="0D6CFB09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D9B5" w14:textId="48119566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A62DFC" w:rsidRPr="00F07F94" w14:paraId="0748B9BA" w14:textId="77777777" w:rsidTr="00446106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F1C4996" w14:textId="77777777" w:rsidR="00A62DFC" w:rsidRPr="00F07F94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3FEFBD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DCDCE2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A129EEB" w14:textId="77777777" w:rsidR="00A62DFC" w:rsidRPr="00924CEE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67678EE3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AE17B6D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A62DFC" w:rsidRPr="00F07F94" w14:paraId="2DB0C948" w14:textId="77777777" w:rsidTr="00446106">
        <w:trPr>
          <w:trHeight w:val="113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0C09BFBC" w14:textId="77777777" w:rsidR="00A62DFC" w:rsidRPr="00853DFC" w:rsidRDefault="00A62DFC" w:rsidP="00A62DFC">
            <w:pPr>
              <w:ind w:right="28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</w:pPr>
            <w:r w:rsidRPr="00853DF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Μη μισθολογικό κόστος</w:t>
            </w: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0D3462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9F906F" w14:textId="77777777" w:rsidR="00A62DFC" w:rsidRPr="00924CEE" w:rsidRDefault="00A62DFC" w:rsidP="00A62DFC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3A74BD7A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2B95D247" w14:textId="77777777" w:rsidR="00A62DFC" w:rsidRPr="00853DFC" w:rsidRDefault="00A62DFC" w:rsidP="00A62DFC">
            <w:pPr>
              <w:ind w:right="39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130E4E" w:rsidRPr="00F07F94" w14:paraId="64053F5F" w14:textId="77777777" w:rsidTr="00130E4E">
        <w:trPr>
          <w:trHeight w:val="312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7226A0AD" w14:textId="1DAE6D17" w:rsidR="00130E4E" w:rsidRPr="00C62D1D" w:rsidRDefault="00130E4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EFEAA" w14:textId="5B9BECDF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123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1AC964D" w14:textId="7C376943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116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16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0ED9F2" w14:textId="56DDB64C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75CBE7D0" w14:textId="25BD90C4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FAAB" w14:textId="3D4CFE5E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130E4E" w:rsidRPr="00F07F94" w14:paraId="4F86D794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85D03C4" w14:textId="40479CC5" w:rsidR="00130E4E" w:rsidRPr="00F07F94" w:rsidRDefault="00130E4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5164" w14:textId="6BEB198C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107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59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74D4557" w14:textId="75FFC432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115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85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A69F68C" w14:textId="2F85545B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40776" w14:textId="2E309B14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F3951" w14:textId="115D16A1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130E4E" w:rsidRPr="00F07F94" w14:paraId="6B171B17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03092C0D" w14:textId="7F1A19C7" w:rsidR="00130E4E" w:rsidRPr="00C62D1D" w:rsidRDefault="00130E4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Τρίμηνο 20</w:t>
            </w:r>
            <w:r w:rsidRPr="00F07F9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EB95B0" w14:textId="331F0F14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121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DA45CD" w14:textId="09B5998F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114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23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1B4912D" w14:textId="38839D62" w:rsidR="00130E4E" w:rsidRPr="00130E4E" w:rsidRDefault="00130E4E" w:rsidP="00130E4E">
            <w:pPr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7326508" w14:textId="5DD11DD7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4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35ABD26" w14:textId="5BF96D34" w:rsidR="00130E4E" w:rsidRPr="00130E4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E2713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130E4E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3</w:t>
            </w:r>
          </w:p>
        </w:tc>
      </w:tr>
    </w:tbl>
    <w:p w14:paraId="149C62ED" w14:textId="77777777" w:rsidR="004F15C0" w:rsidRDefault="00A0704E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Σημείωση: </w:t>
      </w:r>
      <w:r w:rsidR="003342F4"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>Λόγω στρογγυλοποίησης των αριθμών ο υπολογισμός της μεταβολής ενδεχομένως να διαφέρει από την ποσοστιαία μεταβολή που παρουσιάζεται στον πίνακα.</w:t>
      </w:r>
    </w:p>
    <w:p w14:paraId="412397E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24C28A4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A5F17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4AC02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36CEA8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F67A40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8720B42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7499C1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296DE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38656AD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D1CC0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84DB3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E14B6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9A9E9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5144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DFF59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95C52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7F266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0FCB08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801AF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E4CED2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5669D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4BC4D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BCDD5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55CBDB5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4072D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93AA6C9" w14:textId="31E6BBEB" w:rsidR="004C468C" w:rsidRDefault="003342F4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</w:rPr>
      </w:pPr>
      <w:r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</w:p>
    <w:p w14:paraId="7766FEC1" w14:textId="77777777" w:rsidR="008963BC" w:rsidRPr="008963BC" w:rsidRDefault="008963BC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</w:rPr>
      </w:pPr>
    </w:p>
    <w:p w14:paraId="4A1D35A0" w14:textId="1BFF129D" w:rsidR="00721160" w:rsidRPr="00F07F94" w:rsidRDefault="00721160" w:rsidP="004F15C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F07F9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D9F1556" w14:textId="77777777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B0278C2" w14:textId="77777777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Ταυτότητα του Δείκτη</w:t>
      </w:r>
    </w:p>
    <w:p w14:paraId="68DF6F42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5EBC2D70" w14:textId="0919C0F9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είναι ένας από τους κύριους ευρωπαϊκούς οικονομικούς δείκτες που παράγονται από όλες τις χώρες της Ευρωπαϊκής Ένωσης </w:t>
      </w:r>
      <w:r w:rsidR="00722621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βάσει 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του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>κανονισμού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(ΕΚ) αριθ. 1216/2003 της Επιτροπής για την εφαρμογή του κανονισμού (ΕΚ) αριθ. 450/2003 του Ευρωπαϊκού Κοινοβουλίου και του Συμβουλίου όσον α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φορά το Δ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Κ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όστους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Ε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ργασίας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19196F" w:rsidRPr="00077A8C">
        <w:rPr>
          <w:rStyle w:val="PageNumber"/>
          <w:rFonts w:ascii="Verdana" w:hAnsi="Verdana"/>
          <w:sz w:val="18"/>
          <w:szCs w:val="18"/>
          <w:lang w:val="el-GR"/>
        </w:rPr>
        <w:t>Ο Δ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είκτης χρησιμοποιείται ως ένδειξη για την πληθωριστική πίεση που μπορεί να προκύψει από τις εξελίξεις στην αγορά εργασίας. </w:t>
      </w:r>
    </w:p>
    <w:p w14:paraId="74280231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DE91035" w14:textId="1B1C1C90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11F8537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465F28" w14:textId="26FBEC19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F39AC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είκτης καλύπτει όλες τις οικονομικές δραστηριότητες εκτός από τον Τομέα Α: Γεωργία, Δασοκομία και  Αλιεία, τον Τομέα Τ: Δραστηριότητες νοικοκυριών ως εργοδοτών και τον Τομέα U: Δραστηριότητες ετερόδικων οργανισμών και φορέων.</w:t>
      </w:r>
    </w:p>
    <w:p w14:paraId="23BD42A5" w14:textId="77777777" w:rsidR="00780690" w:rsidRPr="00077A8C" w:rsidRDefault="00780690" w:rsidP="00780690">
      <w:pPr>
        <w:pStyle w:val="ListParagraph"/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B287DD" w14:textId="1FC8465B" w:rsidR="00780690" w:rsidRPr="00077A8C" w:rsidRDefault="00991DF6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>Καλύπτονται όλοι οι υπάλληλοι που είναι καταγεγραμμένοι στο Αρχείο των Υπηρεσιών Κοινωνικών Ασφαλίσεων. Εξαιρούνται όσοι υπάλληλοι δηλώνουν ακαθάριστο μισθό μικρότερο από το 50% του κατώτατου μισθού, όπως καθορίζεται στο διάταγμα του Υπουργείου Εργασίας</w:t>
      </w:r>
      <w:r w:rsidR="002E2BD0">
        <w:rPr>
          <w:rFonts w:ascii="Verdana" w:eastAsia="Malgun Gothic" w:hAnsi="Verdana" w:cs="Arial"/>
          <w:sz w:val="18"/>
          <w:szCs w:val="18"/>
          <w:lang w:val="el-GR"/>
        </w:rPr>
        <w:t>, Πρόνοιας</w:t>
      </w: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και Κοινωνικών Ασφαλίσεων. Εξαιρούνται επίσης οι μισθοί άνω των €20.000 το μήνα.</w:t>
      </w:r>
    </w:p>
    <w:p w14:paraId="1212ED8C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FD98A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5B9807C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8310E7" w14:textId="3F1D7FBF" w:rsidR="00162AF8" w:rsidRPr="00077A8C" w:rsidRDefault="000619C4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619C4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αποτυπώνει τις μεταβολές του ωριαίου εργατικού κόστους που επωμίζονται οι επιχειρήσεις για την απασχόληση εργατικού δυναμικού.</w:t>
      </w:r>
    </w:p>
    <w:p w14:paraId="072C5180" w14:textId="77777777" w:rsidR="0069745D" w:rsidRPr="00077A8C" w:rsidRDefault="0069745D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3F5E56" w14:textId="78D714C1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καταρτίζεται ως 'chain-linked Laspeyres cost-index' χρησιμοποιών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>τας έτος βάσης (20</w:t>
      </w:r>
      <w:r w:rsidR="008965E9">
        <w:rPr>
          <w:rFonts w:ascii="Verdana" w:eastAsia="Malgun Gothic" w:hAnsi="Verdana" w:cs="Arial"/>
          <w:sz w:val="18"/>
          <w:szCs w:val="18"/>
          <w:lang w:val="el-GR"/>
        </w:rPr>
        <w:t>20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= 100). Ο 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παρουσιάζεται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σε μη εποχικά προσαρμοσμένη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με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εποχικά προσαρμοσμένη μορφή. </w:t>
      </w:r>
    </w:p>
    <w:p w14:paraId="7C12E3FA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0ECBF" w14:textId="6FB663A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Εκτός από το συνολικό εργατικό κόστος, παρουσιάζονται δύο επιπρόσθετοι δείκτες, διαχωρίζοντας τις συνιστώσες του συνολικού εργατικού κόστους:</w:t>
      </w:r>
    </w:p>
    <w:p w14:paraId="33475033" w14:textId="4319EFDC" w:rsidR="00162AF8" w:rsidRPr="00077A8C" w:rsidRDefault="00162AF8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(α) 'Μισθοί και ημερομίσθια', που αναφέρ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ται στους ακαθάριστους μισθούς και ημερομίσθια, και </w:t>
      </w:r>
    </w:p>
    <w:p w14:paraId="51DC9542" w14:textId="77777777" w:rsidR="00162AF8" w:rsidRPr="00077A8C" w:rsidRDefault="00780690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(β) ‘Μη μισθολογικό κόστος</w:t>
      </w:r>
      <w:r w:rsidR="00162AF8" w:rsidRPr="00077A8C">
        <w:rPr>
          <w:rFonts w:ascii="Verdana" w:eastAsia="Malgun Gothic" w:hAnsi="Verdana" w:cs="Arial"/>
          <w:sz w:val="18"/>
          <w:szCs w:val="18"/>
          <w:lang w:val="el-GR"/>
        </w:rPr>
        <w:t>', που αναφέρεται στις εργοδοτικές εισφορές κοινωνικής ασφάλισης συν τους φόρους που καταβάλλει ο εργοδότης μείον τις επιδοτήσεις που λαμβάνει ο εργοδότης.</w:t>
      </w:r>
    </w:p>
    <w:p w14:paraId="1656F1ED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BC89F" w14:textId="55139DDE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Για τον καταρτισμό του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 αξιοποιούνται διοικητικές πηγές και άλλα διαθέσιμα στοιχεία. Συγκεκριμένα:</w:t>
      </w:r>
    </w:p>
    <w:p w14:paraId="2D9C4618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των Υπηρεσιών Κοινωνικών Ασφαλίσεων</w:t>
      </w:r>
    </w:p>
    <w:p w14:paraId="5F39C163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του Γενικού Λογιστηρίου της Δημοκρατίας</w:t>
      </w:r>
    </w:p>
    <w:p w14:paraId="45BCD56C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οι ώρες εργασίας, όπως αυτές δημοσιεύονται από την Στατιστική Υπηρεσία (στοιχεία Εθνικών Λογαριασμών)</w:t>
      </w:r>
    </w:p>
    <w:p w14:paraId="5137F733" w14:textId="77777777" w:rsidR="00906E2D" w:rsidRPr="00077A8C" w:rsidRDefault="00906E2D" w:rsidP="00906E2D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τα πιο πρόσφατα διαθέσιμα αποτελέσματα της Έρευνας Εργατικού Κόστους.</w:t>
      </w:r>
    </w:p>
    <w:p w14:paraId="5799020B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F032F2" w14:textId="5D6F7B4E" w:rsidR="0069745D" w:rsidRPr="00077A8C" w:rsidRDefault="00442440" w:rsidP="0069745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Πέραν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τ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ων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340346" w:rsidRPr="00077A8C">
        <w:rPr>
          <w:rStyle w:val="PageNumber"/>
          <w:rFonts w:ascii="Verdana" w:hAnsi="Verdana"/>
          <w:sz w:val="18"/>
          <w:szCs w:val="18"/>
          <w:lang w:val="el-GR"/>
        </w:rPr>
        <w:t>μεταβολών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στους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μισθούς και ημερομίσθια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και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780690" w:rsidRPr="00077A8C">
        <w:rPr>
          <w:rStyle w:val="PageNumber"/>
          <w:rFonts w:ascii="Verdana" w:hAnsi="Verdana"/>
          <w:sz w:val="18"/>
          <w:szCs w:val="18"/>
          <w:lang w:val="el-GR"/>
        </w:rPr>
        <w:t>μη μισθολογικό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κόστος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(συνολικό κόστος) αντικατοπτρίζει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και τη μεταβολή στις ώρες εργασίας. 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Επισημαίνεται ότι,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για τον υπολογισμό της μεταβολής χρησιμοποιούνται συντελεστές στάθμισης (συνολικό εργατικό κόστος) που αναφέρονται στην προηγούμενη χρονιά.</w:t>
      </w:r>
    </w:p>
    <w:p w14:paraId="50DF2450" w14:textId="77777777" w:rsidR="00721160" w:rsidRPr="00077A8C" w:rsidRDefault="00721160" w:rsidP="0072116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304F051D" w14:textId="4B586BCF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4B7BE9EF" w14:textId="77777777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05ECC2CF" w14:textId="77777777" w:rsidR="00321F41" w:rsidRPr="003B6A68" w:rsidRDefault="00321F41" w:rsidP="00321F41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>Τα στοιχεία με έτος βάσης το 2020 είναι διαθέσιμα ανά τρίμηνο από το πρώτο τρίμηνο του 2000.</w:t>
      </w:r>
    </w:p>
    <w:p w14:paraId="25C2132C" w14:textId="77777777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2DE21DA0" w14:textId="66FA2749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με έτος βάσης το 2016 είναι διαθέσιμα ανά τρίμηνο από το πρώτο τρίμηνο του 2000 μέχρι το τέταρτο τρίμηνο του 2022. </w:t>
      </w:r>
    </w:p>
    <w:p w14:paraId="040C418D" w14:textId="653B602A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31E50FF6" w14:textId="42FEC63C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Αναθεώρηση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7F1FCA6" w14:textId="77777777" w:rsidR="00906E2D" w:rsidRP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5A9C7059" w14:textId="322207AB" w:rsidR="0087542F" w:rsidRPr="00054516" w:rsidRDefault="00CA2EEA" w:rsidP="0087542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αναθεωρούνται όταν υπάρχουν </w:t>
      </w:r>
      <w:r w:rsidR="0087542F">
        <w:rPr>
          <w:rStyle w:val="PageNumber"/>
          <w:rFonts w:ascii="Verdana" w:hAnsi="Verdana"/>
          <w:sz w:val="18"/>
          <w:szCs w:val="18"/>
          <w:lang w:val="el-GR"/>
        </w:rPr>
        <w:t>νεότερα</w:t>
      </w:r>
      <w:r>
        <w:rPr>
          <w:rStyle w:val="PageNumber"/>
          <w:rFonts w:ascii="Verdana" w:hAnsi="Verdana"/>
          <w:sz w:val="18"/>
          <w:szCs w:val="18"/>
          <w:lang w:val="el-GR"/>
        </w:rPr>
        <w:t xml:space="preserve"> στοιχεία που χρησιμοποιούνται για τον υπολογισμό του δείκτη (εργατικό κόστος, ώρες εργασίας, παραδοχές).</w:t>
      </w:r>
    </w:p>
    <w:p w14:paraId="234D08CC" w14:textId="19D9A4AC" w:rsidR="00CA2EEA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858AA7F" w14:textId="47FF9300" w:rsidR="0027553E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CA2EEA">
        <w:rPr>
          <w:rStyle w:val="PageNumber"/>
          <w:rFonts w:ascii="Verdana" w:hAnsi="Verdana"/>
          <w:sz w:val="18"/>
          <w:szCs w:val="18"/>
          <w:lang w:val="el-GR"/>
        </w:rPr>
        <w:t>Τα εποχικά διορθωμένα στοιχεία μπορεί να διαφέρουν σε κάθε δημοσίευση διότι όταν προστίθενται νέες παρατηρήσεις αλλάζουν οι παράμετροι του μοντέλου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 xml:space="preserve"> που χρησιμοποιείται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>Το μοντέλο αναθεωρείται σε ετήσια βάση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>.</w:t>
      </w:r>
    </w:p>
    <w:p w14:paraId="7CBF0D2D" w14:textId="23445192" w:rsidR="004F15C0" w:rsidRDefault="004F15C0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7E78DE1C" w14:textId="77777777" w:rsidR="00340C07" w:rsidRDefault="00340C0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br w:type="page"/>
      </w:r>
    </w:p>
    <w:p w14:paraId="2A635C3E" w14:textId="05FACCBA" w:rsidR="009B64B2" w:rsidRPr="00906E2D" w:rsidRDefault="009E39D9" w:rsidP="009B64B2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lastRenderedPageBreak/>
        <w:t>Ταξινόμηση στοιχείων</w:t>
      </w:r>
    </w:p>
    <w:p w14:paraId="40D69336" w14:textId="77777777" w:rsidR="009B64B2" w:rsidRPr="00906E2D" w:rsidRDefault="009B64B2" w:rsidP="009B64B2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11219D21" w14:textId="73D375D1" w:rsidR="009B64B2" w:rsidRDefault="009B64B2" w:rsidP="009B64B2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>
        <w:rPr>
          <w:rStyle w:val="PageNumber"/>
          <w:rFonts w:ascii="Verdana" w:hAnsi="Verdana"/>
          <w:sz w:val="18"/>
          <w:szCs w:val="18"/>
          <w:lang w:val="el-GR"/>
        </w:rPr>
        <w:t xml:space="preserve">Οι δείκτες εργατικού κόστους για την οικονομική δραστηριότητα 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Ε </w:t>
      </w:r>
      <w:r>
        <w:rPr>
          <w:rStyle w:val="PageNumber"/>
          <w:rFonts w:ascii="Verdana" w:hAnsi="Verdana"/>
          <w:sz w:val="18"/>
          <w:szCs w:val="18"/>
          <w:lang w:val="el-GR"/>
        </w:rPr>
        <w:t>(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>NACE Αναθ. 2</w:t>
      </w:r>
      <w:r>
        <w:rPr>
          <w:rStyle w:val="PageNumber"/>
          <w:rFonts w:ascii="Verdana" w:hAnsi="Verdana"/>
          <w:sz w:val="18"/>
          <w:szCs w:val="18"/>
          <w:lang w:val="el-GR"/>
        </w:rPr>
        <w:t>)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>, «Παροχή νερού</w:t>
      </w:r>
      <w:r>
        <w:rPr>
          <w:rStyle w:val="PageNumber"/>
          <w:rFonts w:ascii="Verdana" w:hAnsi="Verdana"/>
          <w:sz w:val="18"/>
          <w:szCs w:val="18"/>
          <w:lang w:val="el-GR"/>
        </w:rPr>
        <w:t>,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>
        <w:rPr>
          <w:rStyle w:val="PageNumber"/>
          <w:rFonts w:ascii="Verdana" w:hAnsi="Verdana"/>
          <w:sz w:val="18"/>
          <w:szCs w:val="18"/>
          <w:lang w:val="el-GR"/>
        </w:rPr>
        <w:t>επεξεργασία λυμάτων, διαχείριση αποβλήτων και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>
        <w:rPr>
          <w:rStyle w:val="PageNumber"/>
          <w:rFonts w:ascii="Verdana" w:hAnsi="Verdana"/>
          <w:sz w:val="18"/>
          <w:szCs w:val="18"/>
          <w:lang w:val="el-GR"/>
        </w:rPr>
        <w:t>δραστηριότητες εξυγίανσης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>» δεν μπορ</w:t>
      </w:r>
      <w:r w:rsidR="00165FFE">
        <w:rPr>
          <w:rStyle w:val="PageNumber"/>
          <w:rFonts w:ascii="Verdana" w:hAnsi="Verdana"/>
          <w:sz w:val="18"/>
          <w:szCs w:val="18"/>
          <w:lang w:val="el-GR"/>
        </w:rPr>
        <w:t>ούν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 να ερμηνευθ</w:t>
      </w:r>
      <w:r w:rsidR="00165FFE">
        <w:rPr>
          <w:rStyle w:val="PageNumber"/>
          <w:rFonts w:ascii="Verdana" w:hAnsi="Verdana"/>
          <w:sz w:val="18"/>
          <w:szCs w:val="18"/>
          <w:lang w:val="el-GR"/>
        </w:rPr>
        <w:t>ούν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 για το τελευταίο τρίμηνο (2024</w:t>
      </w:r>
      <w:r>
        <w:rPr>
          <w:rStyle w:val="PageNumber"/>
          <w:rFonts w:ascii="Verdana" w:hAnsi="Verdana"/>
          <w:sz w:val="18"/>
          <w:szCs w:val="18"/>
        </w:rPr>
        <w:t>T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3) λόγω της μεταφοράς </w:t>
      </w:r>
      <w:r>
        <w:rPr>
          <w:rStyle w:val="PageNumber"/>
          <w:rFonts w:ascii="Verdana" w:hAnsi="Verdana"/>
          <w:sz w:val="18"/>
          <w:szCs w:val="18"/>
          <w:lang w:val="el-GR"/>
        </w:rPr>
        <w:t xml:space="preserve">των 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Συμβουλίων </w:t>
      </w:r>
      <w:r w:rsidR="00340C07" w:rsidRPr="009B64B2">
        <w:rPr>
          <w:rStyle w:val="PageNumber"/>
          <w:rFonts w:ascii="Verdana" w:hAnsi="Verdana"/>
          <w:sz w:val="18"/>
          <w:szCs w:val="18"/>
          <w:lang w:val="el-GR"/>
        </w:rPr>
        <w:t>Αποχετεύσ</w:t>
      </w:r>
      <w:r w:rsidR="00340C07">
        <w:rPr>
          <w:rStyle w:val="PageNumber"/>
          <w:rFonts w:ascii="Verdana" w:hAnsi="Verdana"/>
          <w:sz w:val="18"/>
          <w:szCs w:val="18"/>
          <w:lang w:val="el-GR"/>
        </w:rPr>
        <w:t>εων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 και Συμβουλίων Υδ</w:t>
      </w:r>
      <w:r w:rsidR="000A3464">
        <w:rPr>
          <w:rStyle w:val="PageNumber"/>
          <w:rFonts w:ascii="Verdana" w:hAnsi="Verdana"/>
          <w:sz w:val="18"/>
          <w:szCs w:val="18"/>
          <w:lang w:val="el-GR"/>
        </w:rPr>
        <w:t>ατοπρομήθειας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0A3464">
        <w:rPr>
          <w:rStyle w:val="PageNumber"/>
          <w:rFonts w:ascii="Verdana" w:hAnsi="Verdana"/>
          <w:sz w:val="18"/>
          <w:szCs w:val="18"/>
          <w:lang w:val="el-GR"/>
        </w:rPr>
        <w:t>στους Επαρχιακούς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 Οργανισμούς Αυτοδιοίκησης που ταξινομούνται ως </w:t>
      </w:r>
      <w:r w:rsidR="000A3464">
        <w:rPr>
          <w:rStyle w:val="PageNumber"/>
          <w:rFonts w:ascii="Verdana" w:hAnsi="Verdana"/>
          <w:sz w:val="18"/>
          <w:szCs w:val="18"/>
          <w:lang w:val="el-GR"/>
        </w:rPr>
        <w:t xml:space="preserve">οικονομική δραστηριότητα </w:t>
      </w:r>
      <w:r w:rsidR="000A3464" w:rsidRPr="009B64B2">
        <w:rPr>
          <w:rStyle w:val="PageNumber"/>
          <w:rFonts w:ascii="Verdana" w:hAnsi="Verdana"/>
          <w:sz w:val="18"/>
          <w:szCs w:val="18"/>
          <w:lang w:val="el-GR"/>
        </w:rPr>
        <w:t xml:space="preserve">O </w:t>
      </w:r>
      <w:r w:rsidR="000A3464">
        <w:rPr>
          <w:rStyle w:val="PageNumber"/>
          <w:rFonts w:ascii="Verdana" w:hAnsi="Verdana"/>
          <w:sz w:val="18"/>
          <w:szCs w:val="18"/>
          <w:lang w:val="el-GR"/>
        </w:rPr>
        <w:t>(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>NACE Αναθ. 2</w:t>
      </w:r>
      <w:r w:rsidR="000A3464">
        <w:rPr>
          <w:rStyle w:val="PageNumber"/>
          <w:rFonts w:ascii="Verdana" w:hAnsi="Verdana"/>
          <w:sz w:val="18"/>
          <w:szCs w:val="18"/>
          <w:lang w:val="el-GR"/>
        </w:rPr>
        <w:t>)</w:t>
      </w:r>
      <w:r w:rsidRPr="009B64B2">
        <w:rPr>
          <w:rStyle w:val="PageNumber"/>
          <w:rFonts w:ascii="Verdana" w:hAnsi="Verdana"/>
          <w:sz w:val="18"/>
          <w:szCs w:val="18"/>
          <w:lang w:val="el-GR"/>
        </w:rPr>
        <w:t>, «Δημόσια Διοίκηση και Άμυνα. Υποχρεωτική Κοινωνική Ασφάλιση».</w:t>
      </w:r>
    </w:p>
    <w:p w14:paraId="5FD98782" w14:textId="5195A4A3" w:rsidR="003621A9" w:rsidRPr="008963BC" w:rsidRDefault="003621A9" w:rsidP="008963BC">
      <w:pPr>
        <w:jc w:val="both"/>
        <w:rPr>
          <w:rFonts w:ascii="Verdana" w:eastAsia="Malgun Gothic" w:hAnsi="Verdana" w:cs="Arial"/>
          <w:bCs/>
          <w:iCs/>
          <w:sz w:val="18"/>
          <w:szCs w:val="18"/>
        </w:rPr>
      </w:pPr>
    </w:p>
    <w:p w14:paraId="7CFBA7F7" w14:textId="77777777" w:rsidR="008963BC" w:rsidRPr="008963BC" w:rsidRDefault="008963BC" w:rsidP="008963BC">
      <w:pPr>
        <w:jc w:val="both"/>
        <w:rPr>
          <w:rFonts w:ascii="Verdana" w:eastAsia="Malgun Gothic" w:hAnsi="Verdana" w:cs="Arial"/>
          <w:bCs/>
          <w:iCs/>
          <w:sz w:val="18"/>
          <w:szCs w:val="18"/>
        </w:rPr>
      </w:pPr>
    </w:p>
    <w:p w14:paraId="35FF8016" w14:textId="5E8CEFD4" w:rsidR="00721160" w:rsidRPr="00077A8C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597BF264" w14:textId="0E6AA9EF" w:rsidR="001224CB" w:rsidRPr="00077A8C" w:rsidRDefault="00331F05" w:rsidP="00331F05">
      <w:pPr>
        <w:ind w:right="-79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="001224CB" w:rsidRPr="00077A8C">
          <w:rPr>
            <w:rStyle w:val="Hyperlink"/>
            <w:rFonts w:ascii="Verdana" w:hAnsi="Verdana"/>
            <w:sz w:val="18"/>
            <w:szCs w:val="18"/>
            <w:lang w:val="el-GR"/>
          </w:rPr>
          <w:t>Εργατικό Κόστος και Απολαβές</w:t>
        </w:r>
      </w:hyperlink>
      <w:r w:rsidR="001224CB"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50AC6216" w14:textId="77777777" w:rsidR="006D56A6" w:rsidRPr="00DA4612" w:rsidRDefault="006D56A6" w:rsidP="006D56A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3F08FC">
          <w:rPr>
            <w:rStyle w:val="Hyperlink"/>
            <w:rFonts w:ascii="Verdana" w:hAnsi="Verdana"/>
            <w:sz w:val="18"/>
            <w:szCs w:val="18"/>
          </w:rPr>
          <w:t>CYSTAT</w:t>
        </w:r>
        <w:r w:rsidRPr="00DA4612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3F08FC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DA461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018DFAA" w14:textId="6696A395" w:rsidR="00781E08" w:rsidRPr="00781E08" w:rsidRDefault="00781E08" w:rsidP="00781E08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history="1">
        <w:r w:rsidRPr="00781E08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68EED7C8" w14:textId="4A129B6E" w:rsidR="00721160" w:rsidRPr="00077A8C" w:rsidRDefault="00721160" w:rsidP="00721160">
      <w:pPr>
        <w:ind w:right="-79"/>
        <w:jc w:val="both"/>
        <w:rPr>
          <w:rFonts w:ascii="Verdana" w:hAnsi="Verdana"/>
          <w:i/>
          <w:sz w:val="18"/>
          <w:szCs w:val="18"/>
          <w:u w:val="single"/>
          <w:lang w:val="el-GR"/>
        </w:rPr>
      </w:pPr>
    </w:p>
    <w:p w14:paraId="2DD8FDE9" w14:textId="77777777" w:rsidR="00721160" w:rsidRPr="00077A8C" w:rsidRDefault="00721160" w:rsidP="00721160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02EDD6F2" w14:textId="77777777" w:rsidR="00721160" w:rsidRPr="00991DF6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Φάνη Λαγού: Τηλ:+35722602115, Ηλ. Ταχ.: </w:t>
      </w:r>
      <w:hyperlink r:id="rId12" w:history="1"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plagou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sectPr w:rsidR="00721160" w:rsidRPr="00991DF6" w:rsidSect="00C82E2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216A" w14:textId="77777777" w:rsidR="008D1C5D" w:rsidRDefault="008D1C5D" w:rsidP="00FB398F">
      <w:r>
        <w:separator/>
      </w:r>
    </w:p>
  </w:endnote>
  <w:endnote w:type="continuationSeparator" w:id="0">
    <w:p w14:paraId="71CDD961" w14:textId="77777777" w:rsidR="008D1C5D" w:rsidRDefault="008D1C5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EA6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5259E6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90C6" w14:textId="77777777" w:rsidR="00533762" w:rsidRPr="00030B8B" w:rsidRDefault="00533762" w:rsidP="00533762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030B8B">
      <w:rPr>
        <w:rFonts w:ascii="Verdana" w:hAnsi="Verdana" w:cs="Arial"/>
        <w:iCs/>
        <w:sz w:val="16"/>
        <w:szCs w:val="16"/>
        <w:lang w:val="el-GR"/>
      </w:rPr>
      <w:t>Διεύθυνση: Μιχαήλ Καραολή, 1444 Λευκωσία, Κύπρος</w:t>
    </w:r>
  </w:p>
  <w:p w14:paraId="6726E640" w14:textId="77777777" w:rsidR="00533762" w:rsidRPr="00030B8B" w:rsidRDefault="00533762" w:rsidP="00533762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r w:rsidRPr="00030B8B">
      <w:rPr>
        <w:rFonts w:ascii="Verdana" w:hAnsi="Verdana" w:cs="Arial"/>
        <w:iCs/>
        <w:sz w:val="16"/>
        <w:szCs w:val="16"/>
        <w:lang w:val="el-GR"/>
      </w:rPr>
      <w:t>Τηλ</w:t>
    </w:r>
    <w:r w:rsidRPr="00193555">
      <w:rPr>
        <w:rFonts w:ascii="Verdana" w:hAnsi="Verdana" w:cs="Arial"/>
        <w:iCs/>
        <w:sz w:val="16"/>
        <w:szCs w:val="16"/>
        <w:lang w:val="el-GR"/>
      </w:rPr>
      <w:t xml:space="preserve">.:  22 602129, </w:t>
    </w:r>
    <w:r w:rsidRPr="00030B8B">
      <w:rPr>
        <w:rFonts w:ascii="Verdana" w:hAnsi="Verdana" w:cs="Arial"/>
        <w:iCs/>
        <w:sz w:val="16"/>
        <w:szCs w:val="16"/>
        <w:lang w:val="de-DE"/>
      </w:rPr>
      <w:t xml:space="preserve">E-mail: </w:t>
    </w:r>
    <w:hyperlink r:id="rId1" w:history="1">
      <w:r w:rsidRPr="00030B8B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  <w:r w:rsidRPr="00030B8B">
      <w:rPr>
        <w:rFonts w:ascii="Verdana" w:hAnsi="Verdana" w:cs="Arial"/>
        <w:iCs/>
        <w:sz w:val="16"/>
        <w:szCs w:val="16"/>
        <w:lang w:val="de-DE"/>
      </w:rPr>
      <w:t xml:space="preserve">  </w:t>
    </w:r>
  </w:p>
  <w:p w14:paraId="5A5C1BC9" w14:textId="77777777" w:rsidR="00533762" w:rsidRPr="00030B8B" w:rsidRDefault="00533762" w:rsidP="00533762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030B8B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Pr="00030B8B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cystat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gov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  <w:r w:rsidRPr="00030B8B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41D4D" w14:textId="77777777" w:rsidR="008D1C5D" w:rsidRDefault="008D1C5D" w:rsidP="00FB398F">
      <w:r>
        <w:separator/>
      </w:r>
    </w:p>
  </w:footnote>
  <w:footnote w:type="continuationSeparator" w:id="0">
    <w:p w14:paraId="080A8CC0" w14:textId="77777777" w:rsidR="008D1C5D" w:rsidRDefault="008D1C5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5A6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95BD9" w14:textId="77777777" w:rsidR="00DC7E27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1CD6D" wp14:editId="4072AA0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13" name="Picture 13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0FFA6" wp14:editId="7D8C2C83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1714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AB2F8" w14:textId="77777777" w:rsidR="00DC7E27" w:rsidRDefault="00DC7E27" w:rsidP="00DC7E27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03B09B21" wp14:editId="293BFBF5">
                                <wp:extent cx="1095375" cy="7905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0FFA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.8pt;margin-top:-5.45pt;width:101.4pt;height:8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MQ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4r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i&#10;PeMQ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3FAB2F8" w14:textId="77777777" w:rsidR="00DC7E27" w:rsidRDefault="00DC7E27" w:rsidP="00DC7E27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03B09B21" wp14:editId="293BFBF5">
                          <wp:extent cx="1095375" cy="7905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49A0D" wp14:editId="30E68CF6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14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DBDF7" w14:textId="77777777" w:rsidR="00DC7E27" w:rsidRDefault="00DC7E27" w:rsidP="00DC7E27">
                          <w:r>
                            <w:rPr>
                              <w:noProof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573A4E46" wp14:editId="72D9C59E">
                                <wp:extent cx="1276350" cy="10096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49A0D" id="Text Box 10" o:spid="_x0000_s1027" type="#_x0000_t202" style="position:absolute;left:0;text-align:left;margin-left:270.8pt;margin-top:-17.45pt;width:115.65pt;height:9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" strokecolor="white">
              <v:textbox>
                <w:txbxContent>
                  <w:p w14:paraId="7D3DBDF7" w14:textId="77777777" w:rsidR="00DC7E27" w:rsidRDefault="00DC7E27" w:rsidP="00DC7E27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573A4E46" wp14:editId="72D9C59E">
                          <wp:extent cx="1276350" cy="10096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3254AAE" w14:textId="77777777" w:rsidR="00DC7E27" w:rsidRDefault="00DC7E27" w:rsidP="00DC7E27">
    <w:pPr>
      <w:pStyle w:val="Header"/>
      <w:tabs>
        <w:tab w:val="clear" w:pos="4153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08AECD8E" w14:textId="77777777" w:rsidR="00DC7E27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351079FB" w14:textId="77777777" w:rsidR="00DC7E27" w:rsidRDefault="00DC7E27" w:rsidP="00DC7E27">
    <w:pPr>
      <w:pStyle w:val="Header"/>
      <w:tabs>
        <w:tab w:val="clear" w:pos="4153"/>
        <w:tab w:val="center" w:pos="1620"/>
        <w:tab w:val="left" w:pos="429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4247144" w14:textId="77777777" w:rsidR="00DC7E27" w:rsidRDefault="00DC7E27" w:rsidP="00DC7E27">
    <w:pPr>
      <w:pStyle w:val="Header"/>
      <w:tabs>
        <w:tab w:val="clear" w:pos="4153"/>
        <w:tab w:val="center" w:pos="4794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BA819A" wp14:editId="690AA851">
              <wp:simplePos x="0" y="0"/>
              <wp:positionH relativeFrom="column">
                <wp:posOffset>3928110</wp:posOffset>
              </wp:positionH>
              <wp:positionV relativeFrom="paragraph">
                <wp:posOffset>104140</wp:posOffset>
              </wp:positionV>
              <wp:extent cx="2057400" cy="4953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F37B6" w14:textId="77777777" w:rsidR="00DC7E27" w:rsidRPr="007A76E5" w:rsidRDefault="00DC7E27" w:rsidP="00DC7E27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A76E5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A76E5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688F797" w14:textId="77777777" w:rsidR="00DC7E27" w:rsidRPr="007A76E5" w:rsidRDefault="00DC7E27" w:rsidP="00DC7E27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A76E5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BA819A" id="Text Box 4" o:spid="_x0000_s1028" type="#_x0000_t202" style="position:absolute;margin-left:309.3pt;margin-top:8.2pt;width:16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zn9QEAANE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" stroked="f">
              <v:textbox>
                <w:txbxContent>
                  <w:p w14:paraId="277F37B6" w14:textId="77777777" w:rsidR="00DC7E27" w:rsidRPr="007A76E5" w:rsidRDefault="00DC7E27" w:rsidP="00DC7E27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A76E5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A76E5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688F797" w14:textId="77777777" w:rsidR="00DC7E27" w:rsidRPr="007A76E5" w:rsidRDefault="00DC7E27" w:rsidP="00DC7E27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A76E5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sz w:val="18"/>
        <w:szCs w:val="18"/>
      </w:rPr>
      <w:tab/>
    </w:r>
  </w:p>
  <w:p w14:paraId="151A2ACD" w14:textId="77777777" w:rsidR="00DC7E27" w:rsidRPr="007A76E5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>
      <w:rPr>
        <w:rFonts w:ascii="Arial" w:hAnsi="Arial" w:cs="Arial"/>
        <w:bCs/>
        <w:sz w:val="18"/>
        <w:szCs w:val="18"/>
        <w:lang w:val="en-US"/>
      </w:rPr>
      <w:t xml:space="preserve">        </w:t>
    </w:r>
    <w:r w:rsidRPr="007A76E5">
      <w:rPr>
        <w:rFonts w:ascii="Verdana" w:hAnsi="Verdana" w:cs="Arial"/>
        <w:bCs/>
        <w:sz w:val="20"/>
        <w:szCs w:val="20"/>
      </w:rPr>
      <w:t>ΚΥΠΡΙΑΚΗ ΔΗΜΟΚΡΑΤΙΑ</w:t>
    </w:r>
    <w:r w:rsidRPr="007A76E5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A76E5">
      <w:rPr>
        <w:rFonts w:ascii="Verdana" w:hAnsi="Verdana"/>
        <w:b/>
        <w:bCs/>
        <w:sz w:val="20"/>
        <w:szCs w:val="20"/>
        <w:lang w:val="en-US"/>
      </w:rPr>
      <w:tab/>
    </w:r>
  </w:p>
  <w:p w14:paraId="2717F5EA" w14:textId="71B93592" w:rsidR="00DC7E27" w:rsidRDefault="00DC7E27" w:rsidP="00DC7E27">
    <w:pPr>
      <w:pStyle w:val="Header"/>
    </w:pPr>
  </w:p>
  <w:p w14:paraId="69490D7C" w14:textId="77777777" w:rsidR="00DC7E27" w:rsidRPr="004F3AE1" w:rsidRDefault="00DC7E27" w:rsidP="00DC7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93EC3"/>
    <w:multiLevelType w:val="hybridMultilevel"/>
    <w:tmpl w:val="175A1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B06C9"/>
    <w:multiLevelType w:val="hybridMultilevel"/>
    <w:tmpl w:val="050C1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A0824"/>
    <w:multiLevelType w:val="hybridMultilevel"/>
    <w:tmpl w:val="F3D617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0747598">
    <w:abstractNumId w:val="5"/>
  </w:num>
  <w:num w:numId="2" w16cid:durableId="700936570">
    <w:abstractNumId w:val="2"/>
  </w:num>
  <w:num w:numId="3" w16cid:durableId="1800756774">
    <w:abstractNumId w:val="3"/>
  </w:num>
  <w:num w:numId="4" w16cid:durableId="704330692">
    <w:abstractNumId w:val="4"/>
  </w:num>
  <w:num w:numId="5" w16cid:durableId="1298532958">
    <w:abstractNumId w:val="1"/>
  </w:num>
  <w:num w:numId="6" w16cid:durableId="178862089">
    <w:abstractNumId w:val="6"/>
  </w:num>
  <w:num w:numId="7" w16cid:durableId="1774473819">
    <w:abstractNumId w:val="0"/>
  </w:num>
  <w:num w:numId="8" w16cid:durableId="112015798">
    <w:abstractNumId w:val="8"/>
  </w:num>
  <w:num w:numId="9" w16cid:durableId="1674724264">
    <w:abstractNumId w:val="7"/>
  </w:num>
  <w:num w:numId="10" w16cid:durableId="86997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4E08"/>
    <w:rsid w:val="0000542E"/>
    <w:rsid w:val="000059B2"/>
    <w:rsid w:val="00007B44"/>
    <w:rsid w:val="00012EC9"/>
    <w:rsid w:val="00013E40"/>
    <w:rsid w:val="000160CC"/>
    <w:rsid w:val="000161B1"/>
    <w:rsid w:val="00017E99"/>
    <w:rsid w:val="00022E0B"/>
    <w:rsid w:val="00022E82"/>
    <w:rsid w:val="00025A39"/>
    <w:rsid w:val="00025BF5"/>
    <w:rsid w:val="00027853"/>
    <w:rsid w:val="00030E18"/>
    <w:rsid w:val="00031D32"/>
    <w:rsid w:val="00034A14"/>
    <w:rsid w:val="0003603D"/>
    <w:rsid w:val="00045088"/>
    <w:rsid w:val="00045A06"/>
    <w:rsid w:val="000464A9"/>
    <w:rsid w:val="00050391"/>
    <w:rsid w:val="00054516"/>
    <w:rsid w:val="00055291"/>
    <w:rsid w:val="000563D3"/>
    <w:rsid w:val="00057162"/>
    <w:rsid w:val="00057E44"/>
    <w:rsid w:val="00060BAF"/>
    <w:rsid w:val="00061299"/>
    <w:rsid w:val="000619C4"/>
    <w:rsid w:val="000671E6"/>
    <w:rsid w:val="00070576"/>
    <w:rsid w:val="000724E8"/>
    <w:rsid w:val="000727E3"/>
    <w:rsid w:val="000752BB"/>
    <w:rsid w:val="00077A8C"/>
    <w:rsid w:val="00081ADF"/>
    <w:rsid w:val="000839A4"/>
    <w:rsid w:val="00084A02"/>
    <w:rsid w:val="00084BF7"/>
    <w:rsid w:val="000870E9"/>
    <w:rsid w:val="0009038F"/>
    <w:rsid w:val="00092654"/>
    <w:rsid w:val="000932CF"/>
    <w:rsid w:val="00096592"/>
    <w:rsid w:val="00096ED8"/>
    <w:rsid w:val="000A0203"/>
    <w:rsid w:val="000A1A88"/>
    <w:rsid w:val="000A2B5C"/>
    <w:rsid w:val="000A32B3"/>
    <w:rsid w:val="000A3464"/>
    <w:rsid w:val="000A3601"/>
    <w:rsid w:val="000A6FA8"/>
    <w:rsid w:val="000B4267"/>
    <w:rsid w:val="000B4C58"/>
    <w:rsid w:val="000B5492"/>
    <w:rsid w:val="000B579E"/>
    <w:rsid w:val="000C1070"/>
    <w:rsid w:val="000C122B"/>
    <w:rsid w:val="000C1B8D"/>
    <w:rsid w:val="000C2BF6"/>
    <w:rsid w:val="000C3B16"/>
    <w:rsid w:val="000C4E72"/>
    <w:rsid w:val="000D041F"/>
    <w:rsid w:val="000D1E7A"/>
    <w:rsid w:val="000E1C2E"/>
    <w:rsid w:val="000E24B1"/>
    <w:rsid w:val="000E2735"/>
    <w:rsid w:val="000E29E5"/>
    <w:rsid w:val="000E32D6"/>
    <w:rsid w:val="000E42D7"/>
    <w:rsid w:val="000E4B59"/>
    <w:rsid w:val="000E57F2"/>
    <w:rsid w:val="000E5E60"/>
    <w:rsid w:val="000E72A7"/>
    <w:rsid w:val="000F1162"/>
    <w:rsid w:val="000F3467"/>
    <w:rsid w:val="000F38DE"/>
    <w:rsid w:val="000F3C74"/>
    <w:rsid w:val="000F532A"/>
    <w:rsid w:val="000F5886"/>
    <w:rsid w:val="000F5D6C"/>
    <w:rsid w:val="000F7308"/>
    <w:rsid w:val="000F762B"/>
    <w:rsid w:val="00103E27"/>
    <w:rsid w:val="00106852"/>
    <w:rsid w:val="00110F9D"/>
    <w:rsid w:val="0011237E"/>
    <w:rsid w:val="001147C0"/>
    <w:rsid w:val="00114A67"/>
    <w:rsid w:val="0011536F"/>
    <w:rsid w:val="001224CB"/>
    <w:rsid w:val="001248A2"/>
    <w:rsid w:val="001253B6"/>
    <w:rsid w:val="001257BC"/>
    <w:rsid w:val="001262C3"/>
    <w:rsid w:val="00127320"/>
    <w:rsid w:val="00127456"/>
    <w:rsid w:val="0013075F"/>
    <w:rsid w:val="00130E4E"/>
    <w:rsid w:val="001312D8"/>
    <w:rsid w:val="0013137B"/>
    <w:rsid w:val="00132C06"/>
    <w:rsid w:val="001343AF"/>
    <w:rsid w:val="00141512"/>
    <w:rsid w:val="00141BEE"/>
    <w:rsid w:val="0015118B"/>
    <w:rsid w:val="001519CE"/>
    <w:rsid w:val="00161CF3"/>
    <w:rsid w:val="0016234D"/>
    <w:rsid w:val="00162AF8"/>
    <w:rsid w:val="00162C00"/>
    <w:rsid w:val="001639EF"/>
    <w:rsid w:val="0016589F"/>
    <w:rsid w:val="00165FFE"/>
    <w:rsid w:val="0017084A"/>
    <w:rsid w:val="001708D9"/>
    <w:rsid w:val="00171638"/>
    <w:rsid w:val="0017769A"/>
    <w:rsid w:val="00180B2D"/>
    <w:rsid w:val="00181155"/>
    <w:rsid w:val="0018250A"/>
    <w:rsid w:val="00183DFC"/>
    <w:rsid w:val="00184384"/>
    <w:rsid w:val="001846A5"/>
    <w:rsid w:val="0018595E"/>
    <w:rsid w:val="00186717"/>
    <w:rsid w:val="00187FFC"/>
    <w:rsid w:val="0019196F"/>
    <w:rsid w:val="00193555"/>
    <w:rsid w:val="001959E3"/>
    <w:rsid w:val="001A2018"/>
    <w:rsid w:val="001A2191"/>
    <w:rsid w:val="001A4860"/>
    <w:rsid w:val="001B1BD4"/>
    <w:rsid w:val="001B2C39"/>
    <w:rsid w:val="001B313C"/>
    <w:rsid w:val="001B3675"/>
    <w:rsid w:val="001B5E10"/>
    <w:rsid w:val="001B6AB3"/>
    <w:rsid w:val="001B73D5"/>
    <w:rsid w:val="001C0681"/>
    <w:rsid w:val="001C1766"/>
    <w:rsid w:val="001C549B"/>
    <w:rsid w:val="001C62B3"/>
    <w:rsid w:val="001C6D54"/>
    <w:rsid w:val="001C7C8C"/>
    <w:rsid w:val="001D0D6A"/>
    <w:rsid w:val="001D1C29"/>
    <w:rsid w:val="001D20A4"/>
    <w:rsid w:val="001D5D48"/>
    <w:rsid w:val="001D798E"/>
    <w:rsid w:val="001E00D1"/>
    <w:rsid w:val="001E0E58"/>
    <w:rsid w:val="001E14F3"/>
    <w:rsid w:val="001E159A"/>
    <w:rsid w:val="001E15ED"/>
    <w:rsid w:val="001E47CD"/>
    <w:rsid w:val="001E61AA"/>
    <w:rsid w:val="001E7658"/>
    <w:rsid w:val="001F5498"/>
    <w:rsid w:val="00200036"/>
    <w:rsid w:val="0020309E"/>
    <w:rsid w:val="00206189"/>
    <w:rsid w:val="0021061B"/>
    <w:rsid w:val="002109D5"/>
    <w:rsid w:val="00210B58"/>
    <w:rsid w:val="00212C1B"/>
    <w:rsid w:val="00216B06"/>
    <w:rsid w:val="002223B4"/>
    <w:rsid w:val="00222423"/>
    <w:rsid w:val="00225B28"/>
    <w:rsid w:val="0022606C"/>
    <w:rsid w:val="00226891"/>
    <w:rsid w:val="00230BF4"/>
    <w:rsid w:val="00230D9B"/>
    <w:rsid w:val="002313AC"/>
    <w:rsid w:val="00233340"/>
    <w:rsid w:val="00233BFB"/>
    <w:rsid w:val="00235FB2"/>
    <w:rsid w:val="00236ECE"/>
    <w:rsid w:val="00237BC1"/>
    <w:rsid w:val="002430B4"/>
    <w:rsid w:val="002447D0"/>
    <w:rsid w:val="002454C5"/>
    <w:rsid w:val="00245E19"/>
    <w:rsid w:val="00246AEB"/>
    <w:rsid w:val="00250005"/>
    <w:rsid w:val="0025254F"/>
    <w:rsid w:val="00254AD3"/>
    <w:rsid w:val="0025566D"/>
    <w:rsid w:val="0025595C"/>
    <w:rsid w:val="00256E2A"/>
    <w:rsid w:val="00257149"/>
    <w:rsid w:val="002576E7"/>
    <w:rsid w:val="00257C6E"/>
    <w:rsid w:val="00260357"/>
    <w:rsid w:val="00264F04"/>
    <w:rsid w:val="00267554"/>
    <w:rsid w:val="00267C3D"/>
    <w:rsid w:val="00271940"/>
    <w:rsid w:val="00273C8A"/>
    <w:rsid w:val="0027553E"/>
    <w:rsid w:val="00281B73"/>
    <w:rsid w:val="00281D55"/>
    <w:rsid w:val="0028338F"/>
    <w:rsid w:val="0028381B"/>
    <w:rsid w:val="00283B20"/>
    <w:rsid w:val="0029018A"/>
    <w:rsid w:val="002915C4"/>
    <w:rsid w:val="0029215E"/>
    <w:rsid w:val="00292B36"/>
    <w:rsid w:val="00293BF0"/>
    <w:rsid w:val="00297E6B"/>
    <w:rsid w:val="002A1D1C"/>
    <w:rsid w:val="002A3949"/>
    <w:rsid w:val="002A4956"/>
    <w:rsid w:val="002A4D64"/>
    <w:rsid w:val="002B0EA5"/>
    <w:rsid w:val="002B1E5B"/>
    <w:rsid w:val="002B3A3D"/>
    <w:rsid w:val="002B4969"/>
    <w:rsid w:val="002B6554"/>
    <w:rsid w:val="002B6869"/>
    <w:rsid w:val="002B7C27"/>
    <w:rsid w:val="002B7DAA"/>
    <w:rsid w:val="002C218C"/>
    <w:rsid w:val="002C3371"/>
    <w:rsid w:val="002C3834"/>
    <w:rsid w:val="002C566B"/>
    <w:rsid w:val="002C5A68"/>
    <w:rsid w:val="002C62AD"/>
    <w:rsid w:val="002C6784"/>
    <w:rsid w:val="002D05F0"/>
    <w:rsid w:val="002D2829"/>
    <w:rsid w:val="002D4064"/>
    <w:rsid w:val="002D7D4A"/>
    <w:rsid w:val="002E28AD"/>
    <w:rsid w:val="002E2BD0"/>
    <w:rsid w:val="002E3846"/>
    <w:rsid w:val="002E3F78"/>
    <w:rsid w:val="002F400C"/>
    <w:rsid w:val="002F4D76"/>
    <w:rsid w:val="002F6D26"/>
    <w:rsid w:val="002F75BE"/>
    <w:rsid w:val="00300493"/>
    <w:rsid w:val="0030231E"/>
    <w:rsid w:val="003023EC"/>
    <w:rsid w:val="003042C4"/>
    <w:rsid w:val="00304CB4"/>
    <w:rsid w:val="00313F37"/>
    <w:rsid w:val="003141D0"/>
    <w:rsid w:val="003168C1"/>
    <w:rsid w:val="00321F41"/>
    <w:rsid w:val="00322FBE"/>
    <w:rsid w:val="00323818"/>
    <w:rsid w:val="00323CDF"/>
    <w:rsid w:val="003247BA"/>
    <w:rsid w:val="00325570"/>
    <w:rsid w:val="00325632"/>
    <w:rsid w:val="003263AF"/>
    <w:rsid w:val="00327549"/>
    <w:rsid w:val="00331F05"/>
    <w:rsid w:val="00331FDF"/>
    <w:rsid w:val="003342A5"/>
    <w:rsid w:val="003342F4"/>
    <w:rsid w:val="00334616"/>
    <w:rsid w:val="00334F57"/>
    <w:rsid w:val="00336C36"/>
    <w:rsid w:val="00340346"/>
    <w:rsid w:val="003403B5"/>
    <w:rsid w:val="00340C07"/>
    <w:rsid w:val="0034184D"/>
    <w:rsid w:val="00343815"/>
    <w:rsid w:val="0034789B"/>
    <w:rsid w:val="0035178C"/>
    <w:rsid w:val="003522BB"/>
    <w:rsid w:val="00352F6C"/>
    <w:rsid w:val="00354298"/>
    <w:rsid w:val="003556EA"/>
    <w:rsid w:val="003621A9"/>
    <w:rsid w:val="003640B7"/>
    <w:rsid w:val="00364A6A"/>
    <w:rsid w:val="003667D6"/>
    <w:rsid w:val="0038153A"/>
    <w:rsid w:val="00386FC7"/>
    <w:rsid w:val="00390A32"/>
    <w:rsid w:val="0039680D"/>
    <w:rsid w:val="003A1142"/>
    <w:rsid w:val="003A1E91"/>
    <w:rsid w:val="003A241F"/>
    <w:rsid w:val="003A40F2"/>
    <w:rsid w:val="003A50D1"/>
    <w:rsid w:val="003B12AA"/>
    <w:rsid w:val="003B13F7"/>
    <w:rsid w:val="003B196D"/>
    <w:rsid w:val="003B2710"/>
    <w:rsid w:val="003B4608"/>
    <w:rsid w:val="003B5DC6"/>
    <w:rsid w:val="003B60F5"/>
    <w:rsid w:val="003B6A68"/>
    <w:rsid w:val="003B706F"/>
    <w:rsid w:val="003C11C2"/>
    <w:rsid w:val="003C2392"/>
    <w:rsid w:val="003C5174"/>
    <w:rsid w:val="003C5240"/>
    <w:rsid w:val="003C76E6"/>
    <w:rsid w:val="003D106E"/>
    <w:rsid w:val="003D14E0"/>
    <w:rsid w:val="003D1B3C"/>
    <w:rsid w:val="003D1EA5"/>
    <w:rsid w:val="003D3348"/>
    <w:rsid w:val="003D3471"/>
    <w:rsid w:val="003D6822"/>
    <w:rsid w:val="003D724C"/>
    <w:rsid w:val="003E0CE2"/>
    <w:rsid w:val="003E14AC"/>
    <w:rsid w:val="003F1C6D"/>
    <w:rsid w:val="003F49E4"/>
    <w:rsid w:val="003F4D2F"/>
    <w:rsid w:val="003F5E32"/>
    <w:rsid w:val="003F75F6"/>
    <w:rsid w:val="003F7A4F"/>
    <w:rsid w:val="004037A2"/>
    <w:rsid w:val="00404670"/>
    <w:rsid w:val="0040739F"/>
    <w:rsid w:val="0040784F"/>
    <w:rsid w:val="00410D23"/>
    <w:rsid w:val="00412425"/>
    <w:rsid w:val="00413CDB"/>
    <w:rsid w:val="00414CA0"/>
    <w:rsid w:val="0041794F"/>
    <w:rsid w:val="004217D5"/>
    <w:rsid w:val="00422F54"/>
    <w:rsid w:val="00431516"/>
    <w:rsid w:val="00434DB3"/>
    <w:rsid w:val="004361B3"/>
    <w:rsid w:val="00436DD3"/>
    <w:rsid w:val="00442440"/>
    <w:rsid w:val="0044249D"/>
    <w:rsid w:val="0044379F"/>
    <w:rsid w:val="004438DB"/>
    <w:rsid w:val="00444FCC"/>
    <w:rsid w:val="00446106"/>
    <w:rsid w:val="00446FB1"/>
    <w:rsid w:val="0045145A"/>
    <w:rsid w:val="00452753"/>
    <w:rsid w:val="004551E1"/>
    <w:rsid w:val="0045751E"/>
    <w:rsid w:val="0046078F"/>
    <w:rsid w:val="00462150"/>
    <w:rsid w:val="00463214"/>
    <w:rsid w:val="0046434D"/>
    <w:rsid w:val="00464FEB"/>
    <w:rsid w:val="004656FA"/>
    <w:rsid w:val="004708F7"/>
    <w:rsid w:val="00471D77"/>
    <w:rsid w:val="00475587"/>
    <w:rsid w:val="00476E97"/>
    <w:rsid w:val="00480BC2"/>
    <w:rsid w:val="004838CE"/>
    <w:rsid w:val="004929C2"/>
    <w:rsid w:val="00493FDD"/>
    <w:rsid w:val="00495727"/>
    <w:rsid w:val="0049586B"/>
    <w:rsid w:val="00495D7C"/>
    <w:rsid w:val="00497B3F"/>
    <w:rsid w:val="004A3E44"/>
    <w:rsid w:val="004B2018"/>
    <w:rsid w:val="004B2896"/>
    <w:rsid w:val="004B31D7"/>
    <w:rsid w:val="004B37F6"/>
    <w:rsid w:val="004B38A1"/>
    <w:rsid w:val="004B38E9"/>
    <w:rsid w:val="004B3AD6"/>
    <w:rsid w:val="004B3FBA"/>
    <w:rsid w:val="004B52B6"/>
    <w:rsid w:val="004B6599"/>
    <w:rsid w:val="004C16F8"/>
    <w:rsid w:val="004C2A4B"/>
    <w:rsid w:val="004C2C3D"/>
    <w:rsid w:val="004C390D"/>
    <w:rsid w:val="004C468C"/>
    <w:rsid w:val="004C6CA7"/>
    <w:rsid w:val="004C78F4"/>
    <w:rsid w:val="004D071F"/>
    <w:rsid w:val="004D2721"/>
    <w:rsid w:val="004D30F8"/>
    <w:rsid w:val="004D4357"/>
    <w:rsid w:val="004D4950"/>
    <w:rsid w:val="004D7B9A"/>
    <w:rsid w:val="004E0015"/>
    <w:rsid w:val="004E2393"/>
    <w:rsid w:val="004E3745"/>
    <w:rsid w:val="004E42BE"/>
    <w:rsid w:val="004E4F42"/>
    <w:rsid w:val="004E5CEE"/>
    <w:rsid w:val="004E63D5"/>
    <w:rsid w:val="004E65F9"/>
    <w:rsid w:val="004F03FD"/>
    <w:rsid w:val="004F15C0"/>
    <w:rsid w:val="004F1AE6"/>
    <w:rsid w:val="004F2C9D"/>
    <w:rsid w:val="004F44D9"/>
    <w:rsid w:val="004F52F0"/>
    <w:rsid w:val="004F6250"/>
    <w:rsid w:val="004F6542"/>
    <w:rsid w:val="004F677C"/>
    <w:rsid w:val="004F6D8F"/>
    <w:rsid w:val="004F7915"/>
    <w:rsid w:val="00504984"/>
    <w:rsid w:val="00505503"/>
    <w:rsid w:val="0050716C"/>
    <w:rsid w:val="0051107B"/>
    <w:rsid w:val="00511914"/>
    <w:rsid w:val="00512462"/>
    <w:rsid w:val="00512F9C"/>
    <w:rsid w:val="00514E41"/>
    <w:rsid w:val="0051692A"/>
    <w:rsid w:val="00516D38"/>
    <w:rsid w:val="00521DFE"/>
    <w:rsid w:val="005251B1"/>
    <w:rsid w:val="005259E6"/>
    <w:rsid w:val="00527CDB"/>
    <w:rsid w:val="005335B9"/>
    <w:rsid w:val="00533762"/>
    <w:rsid w:val="005341C9"/>
    <w:rsid w:val="005369CA"/>
    <w:rsid w:val="00536D0B"/>
    <w:rsid w:val="00536DE9"/>
    <w:rsid w:val="00536F27"/>
    <w:rsid w:val="00541E08"/>
    <w:rsid w:val="005548B4"/>
    <w:rsid w:val="00554FE0"/>
    <w:rsid w:val="00555452"/>
    <w:rsid w:val="00556AAC"/>
    <w:rsid w:val="005576DF"/>
    <w:rsid w:val="0055789A"/>
    <w:rsid w:val="00560952"/>
    <w:rsid w:val="005652D1"/>
    <w:rsid w:val="005660A0"/>
    <w:rsid w:val="005669E1"/>
    <w:rsid w:val="00566A4F"/>
    <w:rsid w:val="00567D64"/>
    <w:rsid w:val="00591B64"/>
    <w:rsid w:val="005978D4"/>
    <w:rsid w:val="00597A21"/>
    <w:rsid w:val="005A0D3D"/>
    <w:rsid w:val="005A12C4"/>
    <w:rsid w:val="005A19B8"/>
    <w:rsid w:val="005A23FA"/>
    <w:rsid w:val="005A4484"/>
    <w:rsid w:val="005B2A67"/>
    <w:rsid w:val="005B3DCD"/>
    <w:rsid w:val="005B4AD4"/>
    <w:rsid w:val="005B5602"/>
    <w:rsid w:val="005B790A"/>
    <w:rsid w:val="005C2798"/>
    <w:rsid w:val="005C36C3"/>
    <w:rsid w:val="005C4109"/>
    <w:rsid w:val="005C56DD"/>
    <w:rsid w:val="005C56EE"/>
    <w:rsid w:val="005D1714"/>
    <w:rsid w:val="005D760E"/>
    <w:rsid w:val="005D7638"/>
    <w:rsid w:val="005E2882"/>
    <w:rsid w:val="005E5534"/>
    <w:rsid w:val="005E66E0"/>
    <w:rsid w:val="005F12F5"/>
    <w:rsid w:val="005F538F"/>
    <w:rsid w:val="005F547F"/>
    <w:rsid w:val="005F7C7D"/>
    <w:rsid w:val="00601868"/>
    <w:rsid w:val="006044B7"/>
    <w:rsid w:val="006052E8"/>
    <w:rsid w:val="006071CE"/>
    <w:rsid w:val="006075B5"/>
    <w:rsid w:val="0061018C"/>
    <w:rsid w:val="006103E0"/>
    <w:rsid w:val="0061094E"/>
    <w:rsid w:val="00613440"/>
    <w:rsid w:val="00613BE3"/>
    <w:rsid w:val="00622103"/>
    <w:rsid w:val="0062327B"/>
    <w:rsid w:val="00627ACA"/>
    <w:rsid w:val="00632777"/>
    <w:rsid w:val="0063334A"/>
    <w:rsid w:val="00633750"/>
    <w:rsid w:val="00633986"/>
    <w:rsid w:val="00634491"/>
    <w:rsid w:val="00634F6C"/>
    <w:rsid w:val="0063679C"/>
    <w:rsid w:val="00637055"/>
    <w:rsid w:val="00637CEC"/>
    <w:rsid w:val="00640A45"/>
    <w:rsid w:val="00641D59"/>
    <w:rsid w:val="00642BD8"/>
    <w:rsid w:val="00643161"/>
    <w:rsid w:val="00644507"/>
    <w:rsid w:val="00646880"/>
    <w:rsid w:val="00647D2A"/>
    <w:rsid w:val="00651847"/>
    <w:rsid w:val="00651C4C"/>
    <w:rsid w:val="006537BB"/>
    <w:rsid w:val="00653A57"/>
    <w:rsid w:val="00655848"/>
    <w:rsid w:val="00655DC1"/>
    <w:rsid w:val="0065643E"/>
    <w:rsid w:val="00665974"/>
    <w:rsid w:val="00667E07"/>
    <w:rsid w:val="00671785"/>
    <w:rsid w:val="00672BA9"/>
    <w:rsid w:val="00673005"/>
    <w:rsid w:val="00676AA8"/>
    <w:rsid w:val="006804BE"/>
    <w:rsid w:val="00681AD6"/>
    <w:rsid w:val="00682728"/>
    <w:rsid w:val="0068434A"/>
    <w:rsid w:val="0069008E"/>
    <w:rsid w:val="0069087E"/>
    <w:rsid w:val="006925C4"/>
    <w:rsid w:val="00692E75"/>
    <w:rsid w:val="0069745D"/>
    <w:rsid w:val="006A02B7"/>
    <w:rsid w:val="006A119D"/>
    <w:rsid w:val="006A6AD8"/>
    <w:rsid w:val="006A7019"/>
    <w:rsid w:val="006A76CF"/>
    <w:rsid w:val="006B46D5"/>
    <w:rsid w:val="006B46F4"/>
    <w:rsid w:val="006C1929"/>
    <w:rsid w:val="006C19AE"/>
    <w:rsid w:val="006C39BB"/>
    <w:rsid w:val="006C7AF3"/>
    <w:rsid w:val="006D0B9D"/>
    <w:rsid w:val="006D56A6"/>
    <w:rsid w:val="006D602A"/>
    <w:rsid w:val="006D6548"/>
    <w:rsid w:val="006E014F"/>
    <w:rsid w:val="006E0E20"/>
    <w:rsid w:val="006E3069"/>
    <w:rsid w:val="006E4256"/>
    <w:rsid w:val="006E4BBA"/>
    <w:rsid w:val="006E5F43"/>
    <w:rsid w:val="006E60A6"/>
    <w:rsid w:val="006F0F69"/>
    <w:rsid w:val="006F116B"/>
    <w:rsid w:val="006F117F"/>
    <w:rsid w:val="006F13DF"/>
    <w:rsid w:val="006F22C0"/>
    <w:rsid w:val="006F2780"/>
    <w:rsid w:val="006F3359"/>
    <w:rsid w:val="006F3809"/>
    <w:rsid w:val="006F4755"/>
    <w:rsid w:val="006F481E"/>
    <w:rsid w:val="006F7283"/>
    <w:rsid w:val="00700D27"/>
    <w:rsid w:val="00702F26"/>
    <w:rsid w:val="0070313E"/>
    <w:rsid w:val="00703799"/>
    <w:rsid w:val="00704D1D"/>
    <w:rsid w:val="00705C5C"/>
    <w:rsid w:val="00706635"/>
    <w:rsid w:val="00710C61"/>
    <w:rsid w:val="007110D8"/>
    <w:rsid w:val="00711475"/>
    <w:rsid w:val="007116CE"/>
    <w:rsid w:val="00712987"/>
    <w:rsid w:val="00716401"/>
    <w:rsid w:val="00720A6A"/>
    <w:rsid w:val="00721160"/>
    <w:rsid w:val="00721BD0"/>
    <w:rsid w:val="00721E8C"/>
    <w:rsid w:val="00722621"/>
    <w:rsid w:val="0072548A"/>
    <w:rsid w:val="007277A6"/>
    <w:rsid w:val="00730FCF"/>
    <w:rsid w:val="007339F6"/>
    <w:rsid w:val="0074028F"/>
    <w:rsid w:val="0074137C"/>
    <w:rsid w:val="007437AB"/>
    <w:rsid w:val="00745425"/>
    <w:rsid w:val="0075158A"/>
    <w:rsid w:val="007534F8"/>
    <w:rsid w:val="0075413E"/>
    <w:rsid w:val="007545AD"/>
    <w:rsid w:val="00756CA4"/>
    <w:rsid w:val="00763722"/>
    <w:rsid w:val="00764081"/>
    <w:rsid w:val="00764BC1"/>
    <w:rsid w:val="0076604A"/>
    <w:rsid w:val="00770869"/>
    <w:rsid w:val="00772FE4"/>
    <w:rsid w:val="007738AA"/>
    <w:rsid w:val="007777AC"/>
    <w:rsid w:val="00780690"/>
    <w:rsid w:val="00780A62"/>
    <w:rsid w:val="00781E08"/>
    <w:rsid w:val="00783241"/>
    <w:rsid w:val="00784BDC"/>
    <w:rsid w:val="00787A31"/>
    <w:rsid w:val="007924A2"/>
    <w:rsid w:val="00792F28"/>
    <w:rsid w:val="00792FD5"/>
    <w:rsid w:val="0079543F"/>
    <w:rsid w:val="00795880"/>
    <w:rsid w:val="007A1268"/>
    <w:rsid w:val="007A4367"/>
    <w:rsid w:val="007B0867"/>
    <w:rsid w:val="007B1AC1"/>
    <w:rsid w:val="007B4B39"/>
    <w:rsid w:val="007B5A08"/>
    <w:rsid w:val="007B693D"/>
    <w:rsid w:val="007B7D67"/>
    <w:rsid w:val="007C1EA2"/>
    <w:rsid w:val="007C4CDC"/>
    <w:rsid w:val="007C597A"/>
    <w:rsid w:val="007C6102"/>
    <w:rsid w:val="007D0380"/>
    <w:rsid w:val="007D602E"/>
    <w:rsid w:val="007E041B"/>
    <w:rsid w:val="007E199A"/>
    <w:rsid w:val="007E2415"/>
    <w:rsid w:val="007E3769"/>
    <w:rsid w:val="007E39F3"/>
    <w:rsid w:val="007E405E"/>
    <w:rsid w:val="007E68F4"/>
    <w:rsid w:val="007E6DE2"/>
    <w:rsid w:val="007F070B"/>
    <w:rsid w:val="007F31BA"/>
    <w:rsid w:val="007F39AC"/>
    <w:rsid w:val="007F4078"/>
    <w:rsid w:val="0080014B"/>
    <w:rsid w:val="00801793"/>
    <w:rsid w:val="00803642"/>
    <w:rsid w:val="00805BA7"/>
    <w:rsid w:val="00806EA2"/>
    <w:rsid w:val="008078EA"/>
    <w:rsid w:val="00812A2B"/>
    <w:rsid w:val="00814A4C"/>
    <w:rsid w:val="00814BDA"/>
    <w:rsid w:val="00831AAB"/>
    <w:rsid w:val="00833BCD"/>
    <w:rsid w:val="00834287"/>
    <w:rsid w:val="00834B82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1550"/>
    <w:rsid w:val="008528B3"/>
    <w:rsid w:val="008535C5"/>
    <w:rsid w:val="00853765"/>
    <w:rsid w:val="00853DBD"/>
    <w:rsid w:val="00853DFC"/>
    <w:rsid w:val="008540BD"/>
    <w:rsid w:val="0085516F"/>
    <w:rsid w:val="00860C57"/>
    <w:rsid w:val="00861717"/>
    <w:rsid w:val="00861957"/>
    <w:rsid w:val="0086487E"/>
    <w:rsid w:val="008669FD"/>
    <w:rsid w:val="00867186"/>
    <w:rsid w:val="00867CBF"/>
    <w:rsid w:val="00870AF6"/>
    <w:rsid w:val="0087542F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63BC"/>
    <w:rsid w:val="008965E9"/>
    <w:rsid w:val="00897F25"/>
    <w:rsid w:val="008A169A"/>
    <w:rsid w:val="008B0E7E"/>
    <w:rsid w:val="008B290A"/>
    <w:rsid w:val="008B3C0A"/>
    <w:rsid w:val="008B65BD"/>
    <w:rsid w:val="008B7246"/>
    <w:rsid w:val="008B7900"/>
    <w:rsid w:val="008C71BF"/>
    <w:rsid w:val="008C7FE0"/>
    <w:rsid w:val="008D1C5D"/>
    <w:rsid w:val="008D5163"/>
    <w:rsid w:val="008D5717"/>
    <w:rsid w:val="008E018D"/>
    <w:rsid w:val="008E415F"/>
    <w:rsid w:val="008E44A9"/>
    <w:rsid w:val="008E66FB"/>
    <w:rsid w:val="008E6B4D"/>
    <w:rsid w:val="008E6BFF"/>
    <w:rsid w:val="008F21AF"/>
    <w:rsid w:val="008F2400"/>
    <w:rsid w:val="008F240B"/>
    <w:rsid w:val="008F61BA"/>
    <w:rsid w:val="008F6903"/>
    <w:rsid w:val="008F6E3C"/>
    <w:rsid w:val="008F7871"/>
    <w:rsid w:val="008F7C55"/>
    <w:rsid w:val="00906E2D"/>
    <w:rsid w:val="00907C4C"/>
    <w:rsid w:val="00910D74"/>
    <w:rsid w:val="00913097"/>
    <w:rsid w:val="00914A23"/>
    <w:rsid w:val="00915D53"/>
    <w:rsid w:val="0092466C"/>
    <w:rsid w:val="00924CEE"/>
    <w:rsid w:val="00930754"/>
    <w:rsid w:val="00934F68"/>
    <w:rsid w:val="009355AC"/>
    <w:rsid w:val="00935773"/>
    <w:rsid w:val="00935F38"/>
    <w:rsid w:val="00936E21"/>
    <w:rsid w:val="00937586"/>
    <w:rsid w:val="00941E1A"/>
    <w:rsid w:val="0094460D"/>
    <w:rsid w:val="00946676"/>
    <w:rsid w:val="00947889"/>
    <w:rsid w:val="009478BD"/>
    <w:rsid w:val="00960E98"/>
    <w:rsid w:val="00962A8B"/>
    <w:rsid w:val="00963A82"/>
    <w:rsid w:val="00972912"/>
    <w:rsid w:val="00976D1F"/>
    <w:rsid w:val="009777B3"/>
    <w:rsid w:val="00981C81"/>
    <w:rsid w:val="00991DF6"/>
    <w:rsid w:val="009923AF"/>
    <w:rsid w:val="009963EE"/>
    <w:rsid w:val="009A2566"/>
    <w:rsid w:val="009A2D24"/>
    <w:rsid w:val="009A3772"/>
    <w:rsid w:val="009A456C"/>
    <w:rsid w:val="009A607A"/>
    <w:rsid w:val="009B00E0"/>
    <w:rsid w:val="009B292A"/>
    <w:rsid w:val="009B3D80"/>
    <w:rsid w:val="009B64B2"/>
    <w:rsid w:val="009B6F56"/>
    <w:rsid w:val="009B76D5"/>
    <w:rsid w:val="009C165D"/>
    <w:rsid w:val="009C3CEA"/>
    <w:rsid w:val="009C583D"/>
    <w:rsid w:val="009C7C76"/>
    <w:rsid w:val="009D0079"/>
    <w:rsid w:val="009D2611"/>
    <w:rsid w:val="009D3545"/>
    <w:rsid w:val="009D504D"/>
    <w:rsid w:val="009D79D2"/>
    <w:rsid w:val="009E247C"/>
    <w:rsid w:val="009E2D67"/>
    <w:rsid w:val="009E31BA"/>
    <w:rsid w:val="009E39D9"/>
    <w:rsid w:val="009E4C5B"/>
    <w:rsid w:val="009F0528"/>
    <w:rsid w:val="009F0806"/>
    <w:rsid w:val="009F233B"/>
    <w:rsid w:val="009F71D7"/>
    <w:rsid w:val="00A0297C"/>
    <w:rsid w:val="00A03098"/>
    <w:rsid w:val="00A032E0"/>
    <w:rsid w:val="00A05D16"/>
    <w:rsid w:val="00A0659F"/>
    <w:rsid w:val="00A06FA6"/>
    <w:rsid w:val="00A0704E"/>
    <w:rsid w:val="00A073F9"/>
    <w:rsid w:val="00A079BA"/>
    <w:rsid w:val="00A12E81"/>
    <w:rsid w:val="00A14E8C"/>
    <w:rsid w:val="00A14FBA"/>
    <w:rsid w:val="00A15BA2"/>
    <w:rsid w:val="00A15E51"/>
    <w:rsid w:val="00A16170"/>
    <w:rsid w:val="00A1625B"/>
    <w:rsid w:val="00A20C70"/>
    <w:rsid w:val="00A24335"/>
    <w:rsid w:val="00A25711"/>
    <w:rsid w:val="00A27EB3"/>
    <w:rsid w:val="00A33875"/>
    <w:rsid w:val="00A34F03"/>
    <w:rsid w:val="00A360A1"/>
    <w:rsid w:val="00A402B3"/>
    <w:rsid w:val="00A40587"/>
    <w:rsid w:val="00A47C39"/>
    <w:rsid w:val="00A536E9"/>
    <w:rsid w:val="00A544B7"/>
    <w:rsid w:val="00A55EF2"/>
    <w:rsid w:val="00A56B71"/>
    <w:rsid w:val="00A618CF"/>
    <w:rsid w:val="00A62770"/>
    <w:rsid w:val="00A62DFC"/>
    <w:rsid w:val="00A62EEB"/>
    <w:rsid w:val="00A660FF"/>
    <w:rsid w:val="00A66ED2"/>
    <w:rsid w:val="00A718DF"/>
    <w:rsid w:val="00A73395"/>
    <w:rsid w:val="00A73CEE"/>
    <w:rsid w:val="00A771E3"/>
    <w:rsid w:val="00A82B4C"/>
    <w:rsid w:val="00A86986"/>
    <w:rsid w:val="00A91158"/>
    <w:rsid w:val="00A93A4C"/>
    <w:rsid w:val="00A94D5D"/>
    <w:rsid w:val="00A95C13"/>
    <w:rsid w:val="00AA1D9B"/>
    <w:rsid w:val="00AA2543"/>
    <w:rsid w:val="00AA2F69"/>
    <w:rsid w:val="00AA2FC2"/>
    <w:rsid w:val="00AA348D"/>
    <w:rsid w:val="00AA3804"/>
    <w:rsid w:val="00AA55C2"/>
    <w:rsid w:val="00AB0ACA"/>
    <w:rsid w:val="00AB0ECD"/>
    <w:rsid w:val="00AB1D41"/>
    <w:rsid w:val="00AB2D2D"/>
    <w:rsid w:val="00AB74FA"/>
    <w:rsid w:val="00AC5706"/>
    <w:rsid w:val="00AC5E9A"/>
    <w:rsid w:val="00AC704B"/>
    <w:rsid w:val="00AD1654"/>
    <w:rsid w:val="00AD553E"/>
    <w:rsid w:val="00AD5848"/>
    <w:rsid w:val="00AE1D55"/>
    <w:rsid w:val="00AE2EE0"/>
    <w:rsid w:val="00AE523F"/>
    <w:rsid w:val="00AE52CE"/>
    <w:rsid w:val="00AE5ADA"/>
    <w:rsid w:val="00AE723A"/>
    <w:rsid w:val="00AF16D6"/>
    <w:rsid w:val="00AF6145"/>
    <w:rsid w:val="00B01386"/>
    <w:rsid w:val="00B01BB5"/>
    <w:rsid w:val="00B026CC"/>
    <w:rsid w:val="00B029A4"/>
    <w:rsid w:val="00B03E3B"/>
    <w:rsid w:val="00B04AF4"/>
    <w:rsid w:val="00B04F1E"/>
    <w:rsid w:val="00B05214"/>
    <w:rsid w:val="00B14D5D"/>
    <w:rsid w:val="00B30D97"/>
    <w:rsid w:val="00B31074"/>
    <w:rsid w:val="00B315E8"/>
    <w:rsid w:val="00B3181A"/>
    <w:rsid w:val="00B35A7C"/>
    <w:rsid w:val="00B4166D"/>
    <w:rsid w:val="00B420D9"/>
    <w:rsid w:val="00B44ECD"/>
    <w:rsid w:val="00B450D1"/>
    <w:rsid w:val="00B53636"/>
    <w:rsid w:val="00B53D47"/>
    <w:rsid w:val="00B54A25"/>
    <w:rsid w:val="00B5778E"/>
    <w:rsid w:val="00B57E6E"/>
    <w:rsid w:val="00B60B0F"/>
    <w:rsid w:val="00B618C3"/>
    <w:rsid w:val="00B63652"/>
    <w:rsid w:val="00B661D6"/>
    <w:rsid w:val="00B668B0"/>
    <w:rsid w:val="00B70F5C"/>
    <w:rsid w:val="00B7141D"/>
    <w:rsid w:val="00B716F1"/>
    <w:rsid w:val="00B71873"/>
    <w:rsid w:val="00B73980"/>
    <w:rsid w:val="00B75AE5"/>
    <w:rsid w:val="00B75F1D"/>
    <w:rsid w:val="00B800C0"/>
    <w:rsid w:val="00B8132B"/>
    <w:rsid w:val="00B8213A"/>
    <w:rsid w:val="00B8329D"/>
    <w:rsid w:val="00B83DF0"/>
    <w:rsid w:val="00B84C5A"/>
    <w:rsid w:val="00B858F5"/>
    <w:rsid w:val="00B85BA1"/>
    <w:rsid w:val="00B93668"/>
    <w:rsid w:val="00B96088"/>
    <w:rsid w:val="00B97183"/>
    <w:rsid w:val="00B9718A"/>
    <w:rsid w:val="00BA151C"/>
    <w:rsid w:val="00BA2CC5"/>
    <w:rsid w:val="00BA68C6"/>
    <w:rsid w:val="00BB12F1"/>
    <w:rsid w:val="00BB2183"/>
    <w:rsid w:val="00BB276E"/>
    <w:rsid w:val="00BB2772"/>
    <w:rsid w:val="00BB3FEE"/>
    <w:rsid w:val="00BB5EB0"/>
    <w:rsid w:val="00BC00EA"/>
    <w:rsid w:val="00BC0352"/>
    <w:rsid w:val="00BC0539"/>
    <w:rsid w:val="00BC245A"/>
    <w:rsid w:val="00BC2A4D"/>
    <w:rsid w:val="00BD05F8"/>
    <w:rsid w:val="00BD16FA"/>
    <w:rsid w:val="00BD41C3"/>
    <w:rsid w:val="00BD488B"/>
    <w:rsid w:val="00BD5F4E"/>
    <w:rsid w:val="00BD7850"/>
    <w:rsid w:val="00BD7CCC"/>
    <w:rsid w:val="00BE002A"/>
    <w:rsid w:val="00BE0283"/>
    <w:rsid w:val="00BE1BC9"/>
    <w:rsid w:val="00BE5CDA"/>
    <w:rsid w:val="00BE5ED2"/>
    <w:rsid w:val="00BE608F"/>
    <w:rsid w:val="00BE6FB8"/>
    <w:rsid w:val="00BF1B3D"/>
    <w:rsid w:val="00BF23BB"/>
    <w:rsid w:val="00BF33DD"/>
    <w:rsid w:val="00BF52D2"/>
    <w:rsid w:val="00BF5755"/>
    <w:rsid w:val="00BF5BD2"/>
    <w:rsid w:val="00BF684B"/>
    <w:rsid w:val="00C016F3"/>
    <w:rsid w:val="00C03F3F"/>
    <w:rsid w:val="00C05806"/>
    <w:rsid w:val="00C06535"/>
    <w:rsid w:val="00C07BFD"/>
    <w:rsid w:val="00C15193"/>
    <w:rsid w:val="00C15609"/>
    <w:rsid w:val="00C15F6A"/>
    <w:rsid w:val="00C20F3F"/>
    <w:rsid w:val="00C23EA7"/>
    <w:rsid w:val="00C2470F"/>
    <w:rsid w:val="00C256F3"/>
    <w:rsid w:val="00C270A2"/>
    <w:rsid w:val="00C315B5"/>
    <w:rsid w:val="00C32F6C"/>
    <w:rsid w:val="00C35E28"/>
    <w:rsid w:val="00C426AF"/>
    <w:rsid w:val="00C42A4F"/>
    <w:rsid w:val="00C469C1"/>
    <w:rsid w:val="00C500CD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D1D"/>
    <w:rsid w:val="00C62F44"/>
    <w:rsid w:val="00C6300F"/>
    <w:rsid w:val="00C635A8"/>
    <w:rsid w:val="00C641E1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7D9D"/>
    <w:rsid w:val="00C82E26"/>
    <w:rsid w:val="00C83027"/>
    <w:rsid w:val="00C84B8A"/>
    <w:rsid w:val="00C85E25"/>
    <w:rsid w:val="00C85E65"/>
    <w:rsid w:val="00C87CA1"/>
    <w:rsid w:val="00C911B4"/>
    <w:rsid w:val="00C91B3B"/>
    <w:rsid w:val="00C92C30"/>
    <w:rsid w:val="00C94262"/>
    <w:rsid w:val="00C946C4"/>
    <w:rsid w:val="00C96A74"/>
    <w:rsid w:val="00C976E1"/>
    <w:rsid w:val="00CA0CA5"/>
    <w:rsid w:val="00CA148E"/>
    <w:rsid w:val="00CA2EEA"/>
    <w:rsid w:val="00CA3A9A"/>
    <w:rsid w:val="00CA46D5"/>
    <w:rsid w:val="00CA5A0D"/>
    <w:rsid w:val="00CA5E9A"/>
    <w:rsid w:val="00CA68C2"/>
    <w:rsid w:val="00CB0FBF"/>
    <w:rsid w:val="00CB4675"/>
    <w:rsid w:val="00CB6438"/>
    <w:rsid w:val="00CB6BC1"/>
    <w:rsid w:val="00CB7021"/>
    <w:rsid w:val="00CC7DCB"/>
    <w:rsid w:val="00CD3294"/>
    <w:rsid w:val="00CD369E"/>
    <w:rsid w:val="00CD4524"/>
    <w:rsid w:val="00CD5C6B"/>
    <w:rsid w:val="00CD6027"/>
    <w:rsid w:val="00CD784D"/>
    <w:rsid w:val="00CE29AF"/>
    <w:rsid w:val="00CE4805"/>
    <w:rsid w:val="00CF025A"/>
    <w:rsid w:val="00CF0B80"/>
    <w:rsid w:val="00CF2355"/>
    <w:rsid w:val="00CF3A1C"/>
    <w:rsid w:val="00CF40F8"/>
    <w:rsid w:val="00D008DA"/>
    <w:rsid w:val="00D013BE"/>
    <w:rsid w:val="00D0416F"/>
    <w:rsid w:val="00D04F74"/>
    <w:rsid w:val="00D05851"/>
    <w:rsid w:val="00D07332"/>
    <w:rsid w:val="00D10FED"/>
    <w:rsid w:val="00D11736"/>
    <w:rsid w:val="00D12EE8"/>
    <w:rsid w:val="00D14CDF"/>
    <w:rsid w:val="00D15FF1"/>
    <w:rsid w:val="00D167F4"/>
    <w:rsid w:val="00D17323"/>
    <w:rsid w:val="00D1733F"/>
    <w:rsid w:val="00D17725"/>
    <w:rsid w:val="00D17727"/>
    <w:rsid w:val="00D2092A"/>
    <w:rsid w:val="00D2216D"/>
    <w:rsid w:val="00D268FB"/>
    <w:rsid w:val="00D30BEA"/>
    <w:rsid w:val="00D31A6F"/>
    <w:rsid w:val="00D32D13"/>
    <w:rsid w:val="00D32DC3"/>
    <w:rsid w:val="00D33518"/>
    <w:rsid w:val="00D353D1"/>
    <w:rsid w:val="00D367DB"/>
    <w:rsid w:val="00D36E05"/>
    <w:rsid w:val="00D44F27"/>
    <w:rsid w:val="00D45304"/>
    <w:rsid w:val="00D46165"/>
    <w:rsid w:val="00D461C7"/>
    <w:rsid w:val="00D50424"/>
    <w:rsid w:val="00D5168F"/>
    <w:rsid w:val="00D523D2"/>
    <w:rsid w:val="00D525C9"/>
    <w:rsid w:val="00D543C3"/>
    <w:rsid w:val="00D57D3E"/>
    <w:rsid w:val="00D61F12"/>
    <w:rsid w:val="00D620FA"/>
    <w:rsid w:val="00D62AC5"/>
    <w:rsid w:val="00D63458"/>
    <w:rsid w:val="00D635B1"/>
    <w:rsid w:val="00D66E02"/>
    <w:rsid w:val="00D67EF5"/>
    <w:rsid w:val="00D7006E"/>
    <w:rsid w:val="00D732E6"/>
    <w:rsid w:val="00D75917"/>
    <w:rsid w:val="00D76249"/>
    <w:rsid w:val="00D81EC2"/>
    <w:rsid w:val="00D823E0"/>
    <w:rsid w:val="00D830C6"/>
    <w:rsid w:val="00D862D1"/>
    <w:rsid w:val="00D9373D"/>
    <w:rsid w:val="00DA11D5"/>
    <w:rsid w:val="00DA2913"/>
    <w:rsid w:val="00DA4612"/>
    <w:rsid w:val="00DA5C22"/>
    <w:rsid w:val="00DA7D12"/>
    <w:rsid w:val="00DB25ED"/>
    <w:rsid w:val="00DB2E22"/>
    <w:rsid w:val="00DB617F"/>
    <w:rsid w:val="00DB62B5"/>
    <w:rsid w:val="00DB6505"/>
    <w:rsid w:val="00DB7E97"/>
    <w:rsid w:val="00DC23CF"/>
    <w:rsid w:val="00DC53AA"/>
    <w:rsid w:val="00DC6562"/>
    <w:rsid w:val="00DC7416"/>
    <w:rsid w:val="00DC7E27"/>
    <w:rsid w:val="00DD1A90"/>
    <w:rsid w:val="00DD1FAA"/>
    <w:rsid w:val="00DD2919"/>
    <w:rsid w:val="00DD298A"/>
    <w:rsid w:val="00DD4B68"/>
    <w:rsid w:val="00DE0A67"/>
    <w:rsid w:val="00DE130D"/>
    <w:rsid w:val="00DE24CF"/>
    <w:rsid w:val="00DE407C"/>
    <w:rsid w:val="00DE5D35"/>
    <w:rsid w:val="00DE7C7D"/>
    <w:rsid w:val="00DF2992"/>
    <w:rsid w:val="00DF2D0C"/>
    <w:rsid w:val="00DF64A4"/>
    <w:rsid w:val="00DF6B5A"/>
    <w:rsid w:val="00E00058"/>
    <w:rsid w:val="00E00A9F"/>
    <w:rsid w:val="00E01B9D"/>
    <w:rsid w:val="00E028DF"/>
    <w:rsid w:val="00E02F5D"/>
    <w:rsid w:val="00E0468F"/>
    <w:rsid w:val="00E04F5E"/>
    <w:rsid w:val="00E0522E"/>
    <w:rsid w:val="00E120F4"/>
    <w:rsid w:val="00E15CC9"/>
    <w:rsid w:val="00E1613D"/>
    <w:rsid w:val="00E16CFF"/>
    <w:rsid w:val="00E17172"/>
    <w:rsid w:val="00E17A33"/>
    <w:rsid w:val="00E24DE3"/>
    <w:rsid w:val="00E27137"/>
    <w:rsid w:val="00E3181C"/>
    <w:rsid w:val="00E3280A"/>
    <w:rsid w:val="00E35421"/>
    <w:rsid w:val="00E35A74"/>
    <w:rsid w:val="00E372AF"/>
    <w:rsid w:val="00E37D68"/>
    <w:rsid w:val="00E40EAE"/>
    <w:rsid w:val="00E436AC"/>
    <w:rsid w:val="00E44F7A"/>
    <w:rsid w:val="00E44FF8"/>
    <w:rsid w:val="00E46F58"/>
    <w:rsid w:val="00E5066A"/>
    <w:rsid w:val="00E52CF9"/>
    <w:rsid w:val="00E54397"/>
    <w:rsid w:val="00E54950"/>
    <w:rsid w:val="00E625E3"/>
    <w:rsid w:val="00E63F34"/>
    <w:rsid w:val="00E63FEA"/>
    <w:rsid w:val="00E6715A"/>
    <w:rsid w:val="00E72968"/>
    <w:rsid w:val="00E74974"/>
    <w:rsid w:val="00E75DC9"/>
    <w:rsid w:val="00E77747"/>
    <w:rsid w:val="00E77C2A"/>
    <w:rsid w:val="00E81610"/>
    <w:rsid w:val="00E8199E"/>
    <w:rsid w:val="00E841B3"/>
    <w:rsid w:val="00E84910"/>
    <w:rsid w:val="00E85B28"/>
    <w:rsid w:val="00E87CEA"/>
    <w:rsid w:val="00E87F0B"/>
    <w:rsid w:val="00E901D9"/>
    <w:rsid w:val="00E91976"/>
    <w:rsid w:val="00E92A3E"/>
    <w:rsid w:val="00E947A6"/>
    <w:rsid w:val="00E97FC7"/>
    <w:rsid w:val="00EA05C2"/>
    <w:rsid w:val="00EA0690"/>
    <w:rsid w:val="00EA3956"/>
    <w:rsid w:val="00EA7012"/>
    <w:rsid w:val="00EA7136"/>
    <w:rsid w:val="00EB0E5C"/>
    <w:rsid w:val="00EB272C"/>
    <w:rsid w:val="00EB325A"/>
    <w:rsid w:val="00EB49A0"/>
    <w:rsid w:val="00EB5514"/>
    <w:rsid w:val="00EC02A5"/>
    <w:rsid w:val="00EC0ABC"/>
    <w:rsid w:val="00EC176B"/>
    <w:rsid w:val="00EC2369"/>
    <w:rsid w:val="00EC3087"/>
    <w:rsid w:val="00EC33CD"/>
    <w:rsid w:val="00EC36FF"/>
    <w:rsid w:val="00EC59AF"/>
    <w:rsid w:val="00EC5BE5"/>
    <w:rsid w:val="00ED2650"/>
    <w:rsid w:val="00ED51A6"/>
    <w:rsid w:val="00ED7188"/>
    <w:rsid w:val="00ED721A"/>
    <w:rsid w:val="00EE165B"/>
    <w:rsid w:val="00EE279B"/>
    <w:rsid w:val="00EE393D"/>
    <w:rsid w:val="00EE742D"/>
    <w:rsid w:val="00EF01CF"/>
    <w:rsid w:val="00EF201A"/>
    <w:rsid w:val="00EF285F"/>
    <w:rsid w:val="00EF3AA4"/>
    <w:rsid w:val="00EF64F1"/>
    <w:rsid w:val="00EF6A47"/>
    <w:rsid w:val="00EF7AF9"/>
    <w:rsid w:val="00F00952"/>
    <w:rsid w:val="00F01495"/>
    <w:rsid w:val="00F06A09"/>
    <w:rsid w:val="00F07F94"/>
    <w:rsid w:val="00F10138"/>
    <w:rsid w:val="00F11452"/>
    <w:rsid w:val="00F12DFE"/>
    <w:rsid w:val="00F13DBA"/>
    <w:rsid w:val="00F13F92"/>
    <w:rsid w:val="00F222FB"/>
    <w:rsid w:val="00F22ECA"/>
    <w:rsid w:val="00F23348"/>
    <w:rsid w:val="00F240E8"/>
    <w:rsid w:val="00F244FA"/>
    <w:rsid w:val="00F26ED8"/>
    <w:rsid w:val="00F304F6"/>
    <w:rsid w:val="00F3133C"/>
    <w:rsid w:val="00F366A2"/>
    <w:rsid w:val="00F42B8F"/>
    <w:rsid w:val="00F44F43"/>
    <w:rsid w:val="00F450E1"/>
    <w:rsid w:val="00F455DA"/>
    <w:rsid w:val="00F50DF4"/>
    <w:rsid w:val="00F57AFE"/>
    <w:rsid w:val="00F6278E"/>
    <w:rsid w:val="00F6352B"/>
    <w:rsid w:val="00F63894"/>
    <w:rsid w:val="00F63C41"/>
    <w:rsid w:val="00F63E96"/>
    <w:rsid w:val="00F6421C"/>
    <w:rsid w:val="00F6748D"/>
    <w:rsid w:val="00F701E3"/>
    <w:rsid w:val="00F71008"/>
    <w:rsid w:val="00F718EF"/>
    <w:rsid w:val="00F71F8C"/>
    <w:rsid w:val="00F7702D"/>
    <w:rsid w:val="00F770CE"/>
    <w:rsid w:val="00F85082"/>
    <w:rsid w:val="00F86AD4"/>
    <w:rsid w:val="00F87D45"/>
    <w:rsid w:val="00F91FBB"/>
    <w:rsid w:val="00F959AB"/>
    <w:rsid w:val="00FA0113"/>
    <w:rsid w:val="00FA12B2"/>
    <w:rsid w:val="00FA7610"/>
    <w:rsid w:val="00FB02BD"/>
    <w:rsid w:val="00FB1F24"/>
    <w:rsid w:val="00FB37AA"/>
    <w:rsid w:val="00FB398F"/>
    <w:rsid w:val="00FB4EF8"/>
    <w:rsid w:val="00FB54AE"/>
    <w:rsid w:val="00FB6DA6"/>
    <w:rsid w:val="00FB709A"/>
    <w:rsid w:val="00FB78DD"/>
    <w:rsid w:val="00FC3EF3"/>
    <w:rsid w:val="00FC57C9"/>
    <w:rsid w:val="00FC5D35"/>
    <w:rsid w:val="00FD0547"/>
    <w:rsid w:val="00FD2049"/>
    <w:rsid w:val="00FD2140"/>
    <w:rsid w:val="00FD5B5F"/>
    <w:rsid w:val="00FD5BDE"/>
    <w:rsid w:val="00FD5FFB"/>
    <w:rsid w:val="00FD68EC"/>
    <w:rsid w:val="00FD6B7E"/>
    <w:rsid w:val="00FE24A5"/>
    <w:rsid w:val="00FE31E5"/>
    <w:rsid w:val="00FE631A"/>
    <w:rsid w:val="00FE6BE7"/>
    <w:rsid w:val="00FF19AD"/>
    <w:rsid w:val="00FF1EB5"/>
    <w:rsid w:val="00FF292D"/>
    <w:rsid w:val="00FF298D"/>
    <w:rsid w:val="00FF4800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5774"/>
  <w15:docId w15:val="{9CD0A4C5-D545-4801-ABD8-28BF955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C6D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262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g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Labour%20Cost%20and%20Earning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55B8-AE7E-49D4-A955-76C7696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6142</CharactersWithSpaces>
  <SharedDoc>false</SharedDoc>
  <HLinks>
    <vt:vector size="24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https://www.census2021.cystat.gov.cy/el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51</cp:revision>
  <cp:lastPrinted>2024-12-16T09:52:00Z</cp:lastPrinted>
  <dcterms:created xsi:type="dcterms:W3CDTF">2023-06-16T10:28:00Z</dcterms:created>
  <dcterms:modified xsi:type="dcterms:W3CDTF">2024-12-16T09:55:00Z</dcterms:modified>
</cp:coreProperties>
</file>