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204D" w14:textId="63D840F0" w:rsidR="00DF2F99" w:rsidRDefault="008D5634" w:rsidP="00DF2F9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 w:rsidR="006A1118">
        <w:rPr>
          <w:rFonts w:ascii="Verdana" w:hAnsi="Verdana" w:cs="Arial"/>
          <w:sz w:val="18"/>
          <w:szCs w:val="18"/>
        </w:rPr>
        <w:tab/>
      </w:r>
    </w:p>
    <w:p w14:paraId="760882D6" w14:textId="77777777" w:rsidR="00200E3A" w:rsidRPr="006A1118" w:rsidRDefault="00200E3A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152D046F" w:rsidR="00DF2F99" w:rsidRPr="00954F9F" w:rsidRDefault="002341D9" w:rsidP="00954F9F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23 April</w:t>
      </w:r>
      <w:r w:rsidR="009B2642">
        <w:rPr>
          <w:rFonts w:ascii="Verdana" w:hAnsi="Verdana" w:cs="Arial"/>
          <w:sz w:val="18"/>
          <w:szCs w:val="18"/>
        </w:rPr>
        <w:t>,</w:t>
      </w:r>
      <w:r w:rsidR="000028B1">
        <w:rPr>
          <w:rFonts w:ascii="Verdana" w:hAnsi="Verdana" w:cs="Arial"/>
          <w:sz w:val="18"/>
          <w:szCs w:val="18"/>
        </w:rPr>
        <w:t xml:space="preserve"> 202</w:t>
      </w:r>
      <w:r w:rsidR="00786E0E">
        <w:rPr>
          <w:rFonts w:ascii="Verdana" w:hAnsi="Verdana" w:cs="Arial"/>
          <w:sz w:val="18"/>
          <w:szCs w:val="18"/>
        </w:rPr>
        <w:t>5</w:t>
      </w:r>
    </w:p>
    <w:p w14:paraId="744E7E0D" w14:textId="77777777" w:rsidR="008E3716" w:rsidRDefault="008E3716" w:rsidP="00954F9F">
      <w:pPr>
        <w:jc w:val="both"/>
        <w:rPr>
          <w:rFonts w:ascii="Verdana" w:hAnsi="Verdana" w:cs="Arial"/>
          <w:sz w:val="18"/>
          <w:szCs w:val="18"/>
        </w:rPr>
      </w:pPr>
    </w:p>
    <w:p w14:paraId="1E2E6FB2" w14:textId="77777777" w:rsidR="00200E3A" w:rsidRPr="00954F9F" w:rsidRDefault="00200E3A" w:rsidP="00954F9F">
      <w:pPr>
        <w:jc w:val="both"/>
        <w:rPr>
          <w:rFonts w:ascii="Verdana" w:hAnsi="Verdana" w:cs="Arial"/>
          <w:sz w:val="18"/>
          <w:szCs w:val="18"/>
        </w:rPr>
      </w:pPr>
    </w:p>
    <w:p w14:paraId="20DAABAF" w14:textId="680AB186" w:rsidR="00DF2F99" w:rsidRPr="00954F9F" w:rsidRDefault="00DF2F99" w:rsidP="00954F9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954F9F">
        <w:rPr>
          <w:rFonts w:ascii="Verdana" w:hAnsi="Verdana" w:cs="Arial"/>
          <w:b/>
          <w:bCs/>
          <w:sz w:val="24"/>
          <w:szCs w:val="24"/>
        </w:rPr>
        <w:t>PRESS RELEASE</w:t>
      </w:r>
      <w:r w:rsidR="009E2F23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34533021" w14:textId="77777777" w:rsidR="00017579" w:rsidRDefault="00017579" w:rsidP="00954F9F">
      <w:pPr>
        <w:rPr>
          <w:rFonts w:ascii="Verdana" w:hAnsi="Verdana" w:cs="Arial"/>
          <w:sz w:val="18"/>
          <w:szCs w:val="18"/>
          <w:u w:val="single"/>
        </w:rPr>
      </w:pPr>
    </w:p>
    <w:p w14:paraId="1CF6D305" w14:textId="77777777" w:rsidR="00200E3A" w:rsidRPr="009E2F23" w:rsidRDefault="00200E3A" w:rsidP="00954F9F">
      <w:pPr>
        <w:rPr>
          <w:rFonts w:ascii="Verdana" w:hAnsi="Verdana" w:cs="Arial"/>
          <w:sz w:val="18"/>
          <w:szCs w:val="18"/>
          <w:u w:val="single"/>
        </w:rPr>
      </w:pPr>
    </w:p>
    <w:p w14:paraId="13C85870" w14:textId="071185A5" w:rsidR="00DF2F99" w:rsidRPr="00017579" w:rsidRDefault="00865246" w:rsidP="00954F9F">
      <w:pPr>
        <w:rPr>
          <w:rFonts w:ascii="Verdana" w:hAnsi="Verdana" w:cs="Arial"/>
          <w:u w:val="single"/>
        </w:rPr>
      </w:pPr>
      <w:r w:rsidRPr="00017579">
        <w:rPr>
          <w:rFonts w:ascii="Verdana" w:hAnsi="Verdana" w:cs="Arial"/>
          <w:u w:val="single"/>
        </w:rPr>
        <w:t>ANNUA</w:t>
      </w:r>
      <w:r w:rsidR="002341D9">
        <w:rPr>
          <w:rFonts w:ascii="Verdana" w:hAnsi="Verdana" w:cs="Arial"/>
          <w:u w:val="single"/>
        </w:rPr>
        <w:t>L &amp; QUARTERLY</w:t>
      </w:r>
      <w:r w:rsidR="0015344C" w:rsidRPr="00017579">
        <w:rPr>
          <w:rFonts w:ascii="Verdana" w:hAnsi="Verdana" w:cs="Arial"/>
          <w:u w:val="single"/>
        </w:rPr>
        <w:t xml:space="preserve"> NATIONAL ACCOUNTS</w:t>
      </w:r>
      <w:r w:rsidR="00DF2F99" w:rsidRPr="00017579">
        <w:rPr>
          <w:rFonts w:ascii="Verdana" w:hAnsi="Verdana" w:cs="Arial"/>
          <w:u w:val="single"/>
        </w:rPr>
        <w:t xml:space="preserve">: </w:t>
      </w:r>
      <w:r w:rsidR="002341D9">
        <w:rPr>
          <w:rFonts w:ascii="Verdana" w:hAnsi="Verdana" w:cs="Arial"/>
          <w:b/>
          <w:u w:val="single"/>
        </w:rPr>
        <w:t xml:space="preserve">UPDATED DATA AND CHANGE OF BASE YEAR FOR </w:t>
      </w:r>
      <w:r w:rsidR="0030274E">
        <w:rPr>
          <w:rFonts w:ascii="Verdana" w:hAnsi="Verdana" w:cs="Arial"/>
          <w:b/>
          <w:u w:val="single"/>
        </w:rPr>
        <w:t xml:space="preserve">THE </w:t>
      </w:r>
      <w:r w:rsidR="002341D9">
        <w:rPr>
          <w:rFonts w:ascii="Verdana" w:hAnsi="Verdana" w:cs="Arial"/>
          <w:b/>
          <w:u w:val="single"/>
        </w:rPr>
        <w:t>VOLUME MEASURES</w:t>
      </w:r>
    </w:p>
    <w:p w14:paraId="62F677A9" w14:textId="77777777" w:rsidR="00017579" w:rsidRDefault="00017579" w:rsidP="00954F9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30CBC01" w14:textId="77777777" w:rsidR="00200E3A" w:rsidRPr="009E2F23" w:rsidRDefault="00200E3A" w:rsidP="00954F9F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C557BAF" w14:textId="390DDFC4" w:rsidR="00DF2F99" w:rsidRDefault="00DF2F99" w:rsidP="00954F9F">
      <w:pPr>
        <w:jc w:val="center"/>
        <w:rPr>
          <w:rFonts w:ascii="Verdana" w:hAnsi="Verdana" w:cs="Arial"/>
          <w:b/>
          <w:bCs/>
        </w:rPr>
      </w:pPr>
      <w:r w:rsidRPr="00954F9F">
        <w:rPr>
          <w:rFonts w:ascii="Verdana" w:hAnsi="Verdana" w:cs="Arial"/>
          <w:b/>
          <w:bCs/>
        </w:rPr>
        <w:t xml:space="preserve">Growth Rate </w:t>
      </w:r>
      <w:r w:rsidR="0095662E">
        <w:rPr>
          <w:rFonts w:ascii="Verdana" w:hAnsi="Verdana" w:cs="Arial"/>
          <w:b/>
          <w:bCs/>
        </w:rPr>
        <w:t>3,4</w:t>
      </w:r>
      <w:r w:rsidRPr="00954F9F">
        <w:rPr>
          <w:rFonts w:ascii="Verdana" w:hAnsi="Verdana" w:cs="Arial"/>
          <w:b/>
          <w:bCs/>
        </w:rPr>
        <w:t>%</w:t>
      </w:r>
    </w:p>
    <w:p w14:paraId="19C8B870" w14:textId="77777777" w:rsidR="002341D9" w:rsidRDefault="002341D9" w:rsidP="00954F9F">
      <w:pPr>
        <w:jc w:val="center"/>
        <w:rPr>
          <w:rFonts w:ascii="Verdana" w:hAnsi="Verdana" w:cs="Arial"/>
          <w:sz w:val="18"/>
          <w:szCs w:val="18"/>
        </w:rPr>
      </w:pPr>
    </w:p>
    <w:p w14:paraId="3C0F3EC5" w14:textId="77777777" w:rsidR="00200E3A" w:rsidRPr="00200E3A" w:rsidRDefault="00200E3A" w:rsidP="00954F9F">
      <w:pPr>
        <w:jc w:val="center"/>
        <w:rPr>
          <w:rFonts w:ascii="Verdana" w:hAnsi="Verdana" w:cs="Arial"/>
          <w:sz w:val="18"/>
          <w:szCs w:val="18"/>
        </w:rPr>
      </w:pPr>
    </w:p>
    <w:p w14:paraId="0FFCEEC1" w14:textId="5F992C99" w:rsidR="002341D9" w:rsidRPr="002341D9" w:rsidRDefault="002341D9" w:rsidP="002341D9">
      <w:pPr>
        <w:rPr>
          <w:rFonts w:ascii="Verdana" w:hAnsi="Verdana" w:cs="Arial"/>
          <w:sz w:val="18"/>
          <w:szCs w:val="18"/>
        </w:rPr>
      </w:pPr>
      <w:r w:rsidRPr="002341D9">
        <w:rPr>
          <w:rFonts w:ascii="Verdana" w:hAnsi="Verdana" w:cs="Arial"/>
          <w:sz w:val="18"/>
          <w:szCs w:val="18"/>
        </w:rPr>
        <w:t>Annual</w:t>
      </w:r>
      <w:r>
        <w:rPr>
          <w:rFonts w:ascii="Verdana" w:hAnsi="Verdana" w:cs="Arial"/>
          <w:sz w:val="18"/>
          <w:szCs w:val="18"/>
        </w:rPr>
        <w:t xml:space="preserve"> and Quarterly National Accounts have been updated in order to incorporate changes in Balance of Payments (BOP) and Government Fina</w:t>
      </w:r>
      <w:r w:rsidR="00C64785">
        <w:rPr>
          <w:rFonts w:ascii="Verdana" w:hAnsi="Verdana" w:cs="Arial"/>
          <w:sz w:val="18"/>
          <w:szCs w:val="18"/>
        </w:rPr>
        <w:t>nce Statistics</w:t>
      </w:r>
      <w:r>
        <w:rPr>
          <w:rFonts w:ascii="Verdana" w:hAnsi="Verdana" w:cs="Arial"/>
          <w:sz w:val="18"/>
          <w:szCs w:val="18"/>
        </w:rPr>
        <w:t xml:space="preserve"> (GFS)</w:t>
      </w:r>
      <w:r w:rsidR="00C64785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and also due to the change of base year from 2010 to 2019 for the calculation of volume measures.</w:t>
      </w:r>
    </w:p>
    <w:p w14:paraId="5DF6110A" w14:textId="77777777" w:rsidR="00954F9F" w:rsidRDefault="00954F9F" w:rsidP="00954F9F">
      <w:pPr>
        <w:jc w:val="both"/>
        <w:rPr>
          <w:rFonts w:ascii="Verdana" w:hAnsi="Verdana" w:cs="Arial"/>
          <w:sz w:val="18"/>
          <w:szCs w:val="18"/>
        </w:rPr>
      </w:pPr>
    </w:p>
    <w:p w14:paraId="2E46EBE2" w14:textId="141D467F" w:rsidR="00865246" w:rsidRDefault="00865246" w:rsidP="002341D9">
      <w:pPr>
        <w:jc w:val="both"/>
        <w:rPr>
          <w:rFonts w:ascii="Verdana" w:hAnsi="Verdana" w:cs="Arial"/>
          <w:sz w:val="18"/>
          <w:szCs w:val="18"/>
        </w:rPr>
      </w:pPr>
      <w:r w:rsidRPr="00954F9F">
        <w:rPr>
          <w:rFonts w:ascii="Verdana" w:hAnsi="Verdana" w:cs="Arial"/>
          <w:sz w:val="18"/>
          <w:szCs w:val="18"/>
        </w:rPr>
        <w:t>The gr</w:t>
      </w:r>
      <w:r w:rsidR="001D5397">
        <w:rPr>
          <w:rFonts w:ascii="Verdana" w:hAnsi="Verdana" w:cs="Arial"/>
          <w:sz w:val="18"/>
          <w:szCs w:val="18"/>
        </w:rPr>
        <w:t>owth rate of the economy in 202</w:t>
      </w:r>
      <w:r w:rsidR="0095662E">
        <w:rPr>
          <w:rFonts w:ascii="Verdana" w:hAnsi="Verdana" w:cs="Arial"/>
          <w:sz w:val="18"/>
          <w:szCs w:val="18"/>
        </w:rPr>
        <w:t>4</w:t>
      </w:r>
      <w:r w:rsidRPr="00954F9F">
        <w:rPr>
          <w:rFonts w:ascii="Verdana" w:hAnsi="Verdana" w:cs="Arial"/>
          <w:sz w:val="18"/>
          <w:szCs w:val="18"/>
        </w:rPr>
        <w:t xml:space="preserve"> </w:t>
      </w:r>
      <w:r w:rsidR="002341D9">
        <w:rPr>
          <w:rFonts w:ascii="Verdana" w:hAnsi="Verdana" w:cs="Arial"/>
          <w:sz w:val="18"/>
          <w:szCs w:val="18"/>
        </w:rPr>
        <w:t>remains</w:t>
      </w:r>
      <w:r w:rsidRPr="00954F9F">
        <w:rPr>
          <w:rFonts w:ascii="Verdana" w:hAnsi="Verdana" w:cs="Arial"/>
          <w:sz w:val="18"/>
          <w:szCs w:val="18"/>
        </w:rPr>
        <w:t xml:space="preserve"> positive</w:t>
      </w:r>
      <w:r w:rsidR="002341D9">
        <w:rPr>
          <w:rFonts w:ascii="Verdana" w:hAnsi="Verdana" w:cs="Arial"/>
          <w:sz w:val="18"/>
          <w:szCs w:val="18"/>
        </w:rPr>
        <w:t xml:space="preserve"> </w:t>
      </w:r>
      <w:r w:rsidRPr="00954F9F">
        <w:rPr>
          <w:rFonts w:ascii="Verdana" w:hAnsi="Verdana" w:cs="Arial"/>
          <w:sz w:val="18"/>
          <w:szCs w:val="18"/>
        </w:rPr>
        <w:t xml:space="preserve">at </w:t>
      </w:r>
      <w:r w:rsidR="0095662E">
        <w:rPr>
          <w:rFonts w:ascii="Verdana" w:hAnsi="Verdana" w:cs="Arial"/>
          <w:sz w:val="18"/>
          <w:szCs w:val="18"/>
        </w:rPr>
        <w:t>3</w:t>
      </w:r>
      <w:r w:rsidR="00F87BB0">
        <w:rPr>
          <w:rFonts w:ascii="Verdana" w:hAnsi="Verdana" w:cs="Arial"/>
          <w:sz w:val="18"/>
          <w:szCs w:val="18"/>
        </w:rPr>
        <w:t>,</w:t>
      </w:r>
      <w:r w:rsidR="0095662E">
        <w:rPr>
          <w:rFonts w:ascii="Verdana" w:hAnsi="Verdana" w:cs="Arial"/>
          <w:sz w:val="18"/>
          <w:szCs w:val="18"/>
        </w:rPr>
        <w:t>4</w:t>
      </w:r>
      <w:r w:rsidRPr="00954F9F">
        <w:rPr>
          <w:rFonts w:ascii="Verdana" w:hAnsi="Verdana" w:cs="Arial"/>
          <w:sz w:val="18"/>
          <w:szCs w:val="18"/>
        </w:rPr>
        <w:t>% in real term</w:t>
      </w:r>
      <w:r w:rsidR="00D11D0B">
        <w:rPr>
          <w:rFonts w:ascii="Verdana" w:hAnsi="Verdana" w:cs="Arial"/>
          <w:sz w:val="18"/>
          <w:szCs w:val="18"/>
        </w:rPr>
        <w:t xml:space="preserve">s (volume measures). </w:t>
      </w:r>
    </w:p>
    <w:p w14:paraId="7890FD43" w14:textId="77777777" w:rsidR="00F35365" w:rsidRDefault="00F35365" w:rsidP="00954F9F">
      <w:pPr>
        <w:jc w:val="both"/>
        <w:rPr>
          <w:rFonts w:ascii="Verdana" w:hAnsi="Verdana" w:cs="Arial"/>
          <w:sz w:val="18"/>
          <w:szCs w:val="18"/>
        </w:rPr>
      </w:pPr>
    </w:p>
    <w:p w14:paraId="766074F5" w14:textId="58C2160A" w:rsidR="002A4FA3" w:rsidRDefault="000C290F" w:rsidP="00954F9F">
      <w:pPr>
        <w:jc w:val="both"/>
        <w:rPr>
          <w:rFonts w:ascii="Verdana" w:hAnsi="Verdana" w:cs="Arial"/>
          <w:sz w:val="18"/>
          <w:szCs w:val="18"/>
        </w:rPr>
      </w:pPr>
      <w:r w:rsidRPr="00954F9F">
        <w:rPr>
          <w:rFonts w:ascii="Verdana" w:hAnsi="Verdana" w:cs="Arial"/>
          <w:sz w:val="18"/>
          <w:szCs w:val="18"/>
        </w:rPr>
        <w:t>Regarding the production approach for the estimation of GDP</w:t>
      </w:r>
      <w:r w:rsidR="00051594">
        <w:rPr>
          <w:rFonts w:ascii="Verdana" w:hAnsi="Verdana" w:cs="Arial"/>
          <w:sz w:val="18"/>
          <w:szCs w:val="18"/>
        </w:rPr>
        <w:t xml:space="preserve"> in real terms,</w:t>
      </w:r>
      <w:r w:rsidRPr="00954F9F">
        <w:rPr>
          <w:rFonts w:ascii="Verdana" w:hAnsi="Verdana" w:cs="Arial"/>
          <w:sz w:val="18"/>
          <w:szCs w:val="18"/>
        </w:rPr>
        <w:t xml:space="preserve"> t</w:t>
      </w:r>
      <w:r w:rsidR="002A4FA3" w:rsidRPr="00954F9F">
        <w:rPr>
          <w:rFonts w:ascii="Verdana" w:hAnsi="Verdana" w:cs="Arial"/>
          <w:sz w:val="18"/>
          <w:szCs w:val="18"/>
        </w:rPr>
        <w:t>he positive</w:t>
      </w:r>
      <w:r w:rsidRPr="00954F9F">
        <w:rPr>
          <w:rFonts w:ascii="Verdana" w:hAnsi="Verdana" w:cs="Arial"/>
          <w:sz w:val="18"/>
          <w:szCs w:val="18"/>
        </w:rPr>
        <w:t xml:space="preserve"> </w:t>
      </w:r>
      <w:r w:rsidR="002A4FA3" w:rsidRPr="00954F9F">
        <w:rPr>
          <w:rFonts w:ascii="Verdana" w:hAnsi="Verdana" w:cs="Arial"/>
          <w:sz w:val="18"/>
          <w:szCs w:val="18"/>
        </w:rPr>
        <w:t xml:space="preserve">growth rate is mainly attributed to the </w:t>
      </w:r>
      <w:r w:rsidR="00D73B89" w:rsidRPr="00954F9F">
        <w:rPr>
          <w:rFonts w:ascii="Verdana" w:hAnsi="Verdana" w:cs="Arial"/>
          <w:sz w:val="18"/>
          <w:szCs w:val="18"/>
        </w:rPr>
        <w:t>sectors:</w:t>
      </w:r>
      <w:r w:rsidR="003E7C7E">
        <w:rPr>
          <w:rFonts w:ascii="Verdana" w:hAnsi="Verdana" w:cs="Arial"/>
          <w:sz w:val="18"/>
          <w:szCs w:val="18"/>
        </w:rPr>
        <w:t xml:space="preserve"> </w:t>
      </w:r>
      <w:r w:rsidR="003E7C7E" w:rsidRPr="00954F9F">
        <w:rPr>
          <w:rFonts w:ascii="Verdana" w:hAnsi="Verdana" w:cs="Arial"/>
          <w:sz w:val="18"/>
          <w:szCs w:val="18"/>
        </w:rPr>
        <w:t>"Hotels and Restaurants"</w:t>
      </w:r>
      <w:r w:rsidR="003E7C7E">
        <w:rPr>
          <w:rFonts w:ascii="Verdana" w:hAnsi="Verdana" w:cs="Arial"/>
          <w:sz w:val="18"/>
          <w:szCs w:val="18"/>
        </w:rPr>
        <w:t xml:space="preserve">, </w:t>
      </w:r>
      <w:r w:rsidR="00D73B89">
        <w:rPr>
          <w:rFonts w:ascii="Verdana" w:hAnsi="Verdana" w:cs="Arial"/>
          <w:sz w:val="18"/>
          <w:szCs w:val="18"/>
        </w:rPr>
        <w:t>“Information</w:t>
      </w:r>
      <w:r w:rsidR="00051594">
        <w:rPr>
          <w:rFonts w:ascii="Verdana" w:hAnsi="Verdana" w:cs="Arial"/>
          <w:sz w:val="18"/>
          <w:szCs w:val="18"/>
        </w:rPr>
        <w:t xml:space="preserve"> and communication”, “Construction”</w:t>
      </w:r>
      <w:r w:rsidR="003E7C7E">
        <w:rPr>
          <w:rFonts w:ascii="Verdana" w:hAnsi="Verdana" w:cs="Arial"/>
          <w:sz w:val="18"/>
          <w:szCs w:val="18"/>
        </w:rPr>
        <w:t xml:space="preserve"> and</w:t>
      </w:r>
      <w:r w:rsidR="00D73B89">
        <w:rPr>
          <w:rFonts w:ascii="Verdana" w:hAnsi="Verdana" w:cs="Arial"/>
          <w:sz w:val="18"/>
          <w:szCs w:val="18"/>
        </w:rPr>
        <w:t xml:space="preserve"> </w:t>
      </w:r>
      <w:r w:rsidR="008D5634">
        <w:rPr>
          <w:rFonts w:ascii="Verdana" w:hAnsi="Verdana" w:cs="Arial"/>
          <w:sz w:val="18"/>
          <w:szCs w:val="18"/>
        </w:rPr>
        <w:t>“Wholesale and retail trade; repair of motor vehicles and motorcycles”</w:t>
      </w:r>
      <w:r w:rsidR="003E7C7E">
        <w:rPr>
          <w:rFonts w:ascii="Verdana" w:hAnsi="Verdana" w:cs="Arial"/>
          <w:sz w:val="18"/>
          <w:szCs w:val="18"/>
        </w:rPr>
        <w:t xml:space="preserve">, </w:t>
      </w:r>
      <w:r w:rsidR="00270E11" w:rsidRPr="00954F9F">
        <w:rPr>
          <w:rFonts w:ascii="Verdana" w:hAnsi="Verdana" w:cs="Arial"/>
          <w:sz w:val="18"/>
          <w:szCs w:val="18"/>
        </w:rPr>
        <w:t>(Table 1)</w:t>
      </w:r>
      <w:r w:rsidR="004F654E">
        <w:rPr>
          <w:rFonts w:ascii="Verdana" w:hAnsi="Verdana" w:cs="Arial"/>
          <w:sz w:val="18"/>
          <w:szCs w:val="18"/>
        </w:rPr>
        <w:t>.</w:t>
      </w:r>
    </w:p>
    <w:p w14:paraId="5F9EE894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6F2D4EE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59B525B6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3409774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6CE9EA9D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2CA4F3F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62F4EE70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75150C45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530F64B5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1B400716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35B432AF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47F303C2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570104DB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4DAD1F89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5B4F25C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669845BE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11BBC5DA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4148CA9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4D7DFCCC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4C73A41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7D69A8F2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1E5F1D63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41628A01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67F7231B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278402D2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052FC56D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17EFC50A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58021AE0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6B3F1D90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09069E0C" w14:textId="77777777" w:rsidR="00200E3A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p w14:paraId="72E3803D" w14:textId="77777777" w:rsidR="00200E3A" w:rsidRPr="00954F9F" w:rsidRDefault="00200E3A" w:rsidP="00200E3A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107" w:type="dxa"/>
        <w:jc w:val="center"/>
        <w:tblLook w:val="04A0" w:firstRow="1" w:lastRow="0" w:firstColumn="1" w:lastColumn="0" w:noHBand="0" w:noVBand="1"/>
      </w:tblPr>
      <w:tblGrid>
        <w:gridCol w:w="1807"/>
        <w:gridCol w:w="1660"/>
        <w:gridCol w:w="1660"/>
        <w:gridCol w:w="1660"/>
        <w:gridCol w:w="1660"/>
        <w:gridCol w:w="1660"/>
      </w:tblGrid>
      <w:tr w:rsidR="00200E3A" w:rsidRPr="008D15E9" w14:paraId="28F927B4" w14:textId="77777777" w:rsidTr="0047747F">
        <w:trPr>
          <w:trHeight w:val="390"/>
          <w:jc w:val="center"/>
        </w:trPr>
        <w:tc>
          <w:tcPr>
            <w:tcW w:w="10107" w:type="dxa"/>
            <w:gridSpan w:val="6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6E4D5D17" w14:textId="77777777" w:rsidR="00200E3A" w:rsidRPr="008D15E9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  <w:lastRenderedPageBreak/>
              <w:t>Table 1: Gross Domestic Product (GDP) - Production Approach</w:t>
            </w:r>
          </w:p>
        </w:tc>
      </w:tr>
      <w:tr w:rsidR="00200E3A" w:rsidRPr="008D15E9" w14:paraId="15FA5CB5" w14:textId="77777777" w:rsidTr="0047747F">
        <w:trPr>
          <w:trHeight w:val="750"/>
          <w:jc w:val="center"/>
        </w:trPr>
        <w:tc>
          <w:tcPr>
            <w:tcW w:w="1807" w:type="dxa"/>
            <w:vMerge w:val="restart"/>
            <w:tcBorders>
              <w:top w:val="single" w:sz="8" w:space="0" w:color="366092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974F10A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 xml:space="preserve">Economic </w:t>
            </w:r>
            <w:proofErr w:type="spellStart"/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Activity</w:t>
            </w:r>
            <w:proofErr w:type="spellEnd"/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 xml:space="preserve"> </w:t>
            </w:r>
          </w:p>
          <w:p w14:paraId="165005DF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(NACE Rev.2)</w:t>
            </w:r>
          </w:p>
        </w:tc>
        <w:tc>
          <w:tcPr>
            <w:tcW w:w="4980" w:type="dxa"/>
            <w:gridSpan w:val="3"/>
            <w:tcBorders>
              <w:top w:val="single" w:sz="8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16FDEB98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GDP at Current Market Prices</w:t>
            </w:r>
          </w:p>
        </w:tc>
        <w:tc>
          <w:tcPr>
            <w:tcW w:w="3320" w:type="dxa"/>
            <w:gridSpan w:val="2"/>
            <w:tcBorders>
              <w:top w:val="single" w:sz="8" w:space="0" w:color="366092"/>
              <w:left w:val="single" w:sz="12" w:space="0" w:color="2F5496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2643E6CF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8D15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GDP at Volume Measures            </w:t>
            </w:r>
            <w:proofErr w:type="gramStart"/>
            <w:r w:rsidRPr="008D15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(</w:t>
            </w:r>
            <w:proofErr w:type="gramEnd"/>
            <w:r w:rsidRPr="008D15E9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base year 2019)</w:t>
            </w:r>
          </w:p>
        </w:tc>
      </w:tr>
      <w:tr w:rsidR="00200E3A" w:rsidRPr="008D15E9" w14:paraId="110E5DE2" w14:textId="77777777" w:rsidTr="0047747F">
        <w:trPr>
          <w:trHeight w:val="1230"/>
          <w:jc w:val="center"/>
        </w:trPr>
        <w:tc>
          <w:tcPr>
            <w:tcW w:w="1807" w:type="dxa"/>
            <w:vMerge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0C3467F" w14:textId="77777777" w:rsidR="00200E3A" w:rsidRPr="008D15E9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E745F90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Distribution of Gross Value Added </w:t>
            </w: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82E097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Euro </w:t>
            </w: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(million)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2F5496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4EEF36C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Change </w:t>
            </w: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  <w:tc>
          <w:tcPr>
            <w:tcW w:w="166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FD45BC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Euro </w:t>
            </w: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(million)</w:t>
            </w:r>
          </w:p>
        </w:tc>
        <w:tc>
          <w:tcPr>
            <w:tcW w:w="1660" w:type="dxa"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8690C6D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Change </w:t>
            </w: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</w:tr>
      <w:tr w:rsidR="00200E3A" w:rsidRPr="008D15E9" w14:paraId="268F53B8" w14:textId="77777777" w:rsidTr="0047747F">
        <w:trPr>
          <w:trHeight w:val="270"/>
          <w:jc w:val="center"/>
        </w:trPr>
        <w:tc>
          <w:tcPr>
            <w:tcW w:w="1807" w:type="dxa"/>
            <w:vMerge/>
            <w:tcBorders>
              <w:top w:val="single" w:sz="8" w:space="0" w:color="2F5496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3467FD" w14:textId="77777777" w:rsidR="00200E3A" w:rsidRPr="008D15E9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660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14:paraId="48863A4A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14:paraId="6076F994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14:paraId="4F5194A8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2024/2023</w:t>
            </w:r>
          </w:p>
        </w:tc>
        <w:tc>
          <w:tcPr>
            <w:tcW w:w="1660" w:type="dxa"/>
            <w:tcBorders>
              <w:top w:val="single" w:sz="4" w:space="0" w:color="366092"/>
              <w:left w:val="single" w:sz="12" w:space="0" w:color="2F5496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14:paraId="07C0CE78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366092"/>
              <w:left w:val="nil"/>
              <w:bottom w:val="single" w:sz="8" w:space="0" w:color="366092"/>
              <w:right w:val="nil"/>
            </w:tcBorders>
            <w:shd w:val="clear" w:color="auto" w:fill="auto"/>
            <w:noWrap/>
            <w:vAlign w:val="center"/>
            <w:hideMark/>
          </w:tcPr>
          <w:p w14:paraId="0ABD987B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2024/2023</w:t>
            </w:r>
          </w:p>
        </w:tc>
      </w:tr>
      <w:tr w:rsidR="00200E3A" w:rsidRPr="008D15E9" w14:paraId="4F928C55" w14:textId="77777777" w:rsidTr="0047747F">
        <w:trPr>
          <w:trHeight w:val="675"/>
          <w:jc w:val="center"/>
        </w:trPr>
        <w:tc>
          <w:tcPr>
            <w:tcW w:w="1807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73B0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Gross Domestic Product </w:t>
            </w:r>
          </w:p>
          <w:p w14:paraId="77E20977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(GDP)</w:t>
            </w:r>
          </w:p>
        </w:tc>
        <w:tc>
          <w:tcPr>
            <w:tcW w:w="1660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14F7" w14:textId="77777777" w:rsidR="00200E3A" w:rsidRPr="008D15E9" w:rsidRDefault="00200E3A" w:rsidP="0047747F">
            <w:pPr>
              <w:ind w:right="39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100,0</w:t>
            </w:r>
          </w:p>
        </w:tc>
        <w:tc>
          <w:tcPr>
            <w:tcW w:w="1660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0F96" w14:textId="77777777" w:rsidR="00200E3A" w:rsidRPr="008D15E9" w:rsidRDefault="00200E3A" w:rsidP="0047747F">
            <w:pPr>
              <w:ind w:right="22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33.567,7</w:t>
            </w:r>
          </w:p>
        </w:tc>
        <w:tc>
          <w:tcPr>
            <w:tcW w:w="1660" w:type="dxa"/>
            <w:tcBorders>
              <w:top w:val="single" w:sz="8" w:space="0" w:color="366092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4D1CEC0" w14:textId="77777777" w:rsidR="00200E3A" w:rsidRPr="008D15E9" w:rsidRDefault="00200E3A" w:rsidP="0047747F">
            <w:pPr>
              <w:ind w:right="51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7,1</w:t>
            </w:r>
          </w:p>
        </w:tc>
        <w:tc>
          <w:tcPr>
            <w:tcW w:w="1660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6CBF" w14:textId="77777777" w:rsidR="00200E3A" w:rsidRPr="008D15E9" w:rsidRDefault="00200E3A" w:rsidP="0047747F">
            <w:pPr>
              <w:ind w:right="227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28.749,6</w:t>
            </w:r>
          </w:p>
        </w:tc>
        <w:tc>
          <w:tcPr>
            <w:tcW w:w="1660" w:type="dxa"/>
            <w:tcBorders>
              <w:top w:val="single" w:sz="8" w:space="0" w:color="3660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C2CA" w14:textId="77777777" w:rsidR="00200E3A" w:rsidRPr="008D15E9" w:rsidRDefault="00200E3A" w:rsidP="0047747F">
            <w:pPr>
              <w:ind w:right="51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3,4</w:t>
            </w:r>
          </w:p>
        </w:tc>
      </w:tr>
      <w:tr w:rsidR="00200E3A" w:rsidRPr="008D15E9" w14:paraId="6D37274E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879F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CA6F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DED7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396,1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A38A1C4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7,2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B6DE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320,6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343E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1,1</w:t>
            </w:r>
          </w:p>
        </w:tc>
      </w:tr>
      <w:tr w:rsidR="00200E3A" w:rsidRPr="008D15E9" w14:paraId="45D9AF17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D40B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9BD0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511C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0844AC9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A98E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90B2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10,1</w:t>
            </w:r>
          </w:p>
        </w:tc>
      </w:tr>
      <w:tr w:rsidR="00200E3A" w:rsidRPr="008D15E9" w14:paraId="722A51BB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E88F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A2AB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6976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1.401,8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69FD112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8D75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1.154,2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AD41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2,8</w:t>
            </w:r>
          </w:p>
        </w:tc>
      </w:tr>
      <w:tr w:rsidR="00200E3A" w:rsidRPr="008D15E9" w14:paraId="67044072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58D6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E4C7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9ABC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287,0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31FDC1C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18C2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188,4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8440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7,7</w:t>
            </w:r>
          </w:p>
        </w:tc>
      </w:tr>
      <w:tr w:rsidR="00200E3A" w:rsidRPr="008D15E9" w14:paraId="020D41E6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5445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A266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F9E5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206,2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CBBB40A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A20D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194,3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8BF7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5,8</w:t>
            </w:r>
          </w:p>
        </w:tc>
      </w:tr>
      <w:tr w:rsidR="00200E3A" w:rsidRPr="008D15E9" w14:paraId="60AFA10A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CCC0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C46E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A945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1.511,2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48298D5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8,5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D1E9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1.239,5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A9C3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5,3</w:t>
            </w:r>
          </w:p>
        </w:tc>
      </w:tr>
      <w:tr w:rsidR="00200E3A" w:rsidRPr="008D15E9" w14:paraId="78254E62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D892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2E02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11,9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DBD1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3.530,3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398B9A5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6A4D0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2.925,4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B068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4,2</w:t>
            </w:r>
          </w:p>
        </w:tc>
      </w:tr>
      <w:tr w:rsidR="00200E3A" w:rsidRPr="008D15E9" w14:paraId="13EDBA23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062E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E0DD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4312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1.511,1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772ED9A2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22B9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1.417,6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EB40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1,6</w:t>
            </w:r>
          </w:p>
        </w:tc>
      </w:tr>
      <w:tr w:rsidR="00200E3A" w:rsidRPr="008D15E9" w14:paraId="31386DD3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99EC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B7F9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78A3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1.938,0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47DF35C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EAB5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1.711,6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1D3C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6,2</w:t>
            </w:r>
          </w:p>
        </w:tc>
      </w:tr>
      <w:tr w:rsidR="00200E3A" w:rsidRPr="008D15E9" w14:paraId="50A94A3E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0820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909D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11,4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9A78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3.381,9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AB0D9B7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1F71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3.182,4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0358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5,6</w:t>
            </w:r>
          </w:p>
        </w:tc>
      </w:tr>
      <w:tr w:rsidR="00200E3A" w:rsidRPr="008D15E9" w14:paraId="5C4C4A03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0F5C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DFF0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10,6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D7C5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3.143,8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416C9BC0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12,7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DFE6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2.421,2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81E0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1,6</w:t>
            </w:r>
          </w:p>
        </w:tc>
      </w:tr>
      <w:tr w:rsidR="00200E3A" w:rsidRPr="008D15E9" w14:paraId="71142070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348C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C86E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219E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3.050,3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15207554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7,7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1E392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2.554,3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1988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2,1</w:t>
            </w:r>
          </w:p>
        </w:tc>
      </w:tr>
      <w:tr w:rsidR="00200E3A" w:rsidRPr="008D15E9" w14:paraId="0ACD3EA3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6512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2B18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2377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2.100,0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8BA6DB7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C506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1.850,8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2BDA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2,1</w:t>
            </w:r>
          </w:p>
        </w:tc>
      </w:tr>
      <w:tr w:rsidR="00200E3A" w:rsidRPr="008D15E9" w14:paraId="1A91D12C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B107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5420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2FC3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758,3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9F9010B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B520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673,0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6AF2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3,8</w:t>
            </w:r>
          </w:p>
        </w:tc>
      </w:tr>
      <w:tr w:rsidR="00200E3A" w:rsidRPr="008D15E9" w14:paraId="192FF242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3B9B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931C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8,6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5EEE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2.553,9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16BAE6C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3689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1.975,3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DC51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4,4</w:t>
            </w:r>
          </w:p>
        </w:tc>
      </w:tr>
      <w:tr w:rsidR="00200E3A" w:rsidRPr="008D15E9" w14:paraId="69335AC1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97DB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8A26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8243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1.598,0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D310F7E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35BC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1.455,3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226C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1,7</w:t>
            </w:r>
          </w:p>
        </w:tc>
      </w:tr>
      <w:tr w:rsidR="00200E3A" w:rsidRPr="008D15E9" w14:paraId="6CAFDF3C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8FED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Q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73ED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3C9E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1.214,4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044D33FF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72C3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1.111,1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745C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2,0</w:t>
            </w:r>
          </w:p>
        </w:tc>
      </w:tr>
      <w:tr w:rsidR="00200E3A" w:rsidRPr="008D15E9" w14:paraId="766C5D5A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FDB4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B470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028E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438,3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181E192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6BAB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388,7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397E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6,0</w:t>
            </w:r>
          </w:p>
        </w:tc>
      </w:tr>
      <w:tr w:rsidR="00200E3A" w:rsidRPr="008D15E9" w14:paraId="68BF86F4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49F2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9351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726D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389,1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51199DEF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A799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351,3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8740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2,3</w:t>
            </w:r>
          </w:p>
        </w:tc>
      </w:tr>
      <w:tr w:rsidR="00200E3A" w:rsidRPr="008D15E9" w14:paraId="4A9DB658" w14:textId="77777777" w:rsidTr="0047747F">
        <w:trPr>
          <w:trHeight w:val="255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1D47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F013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0D74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210,6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270FDB0E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-0,1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7F9B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209,5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16C7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-0,1</w:t>
            </w:r>
          </w:p>
        </w:tc>
      </w:tr>
      <w:tr w:rsidR="00200E3A" w:rsidRPr="008D15E9" w14:paraId="64843AF8" w14:textId="77777777" w:rsidTr="0047747F">
        <w:trPr>
          <w:trHeight w:val="45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3718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Taxes less Subsidies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677E" w14:textId="77777777" w:rsidR="00200E3A" w:rsidRPr="008D15E9" w:rsidRDefault="00200E3A" w:rsidP="0047747F">
            <w:pPr>
              <w:ind w:right="39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0319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3.889,1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2F5496"/>
            </w:tcBorders>
            <w:shd w:val="clear" w:color="auto" w:fill="auto"/>
            <w:vAlign w:val="center"/>
            <w:hideMark/>
          </w:tcPr>
          <w:p w14:paraId="3EC1A402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B6F9" w14:textId="77777777" w:rsidR="00200E3A" w:rsidRPr="008D15E9" w:rsidRDefault="00200E3A" w:rsidP="0047747F">
            <w:pPr>
              <w:ind w:right="227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3.479,3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248D" w14:textId="77777777" w:rsidR="00200E3A" w:rsidRPr="008D15E9" w:rsidRDefault="00200E3A" w:rsidP="0047747F">
            <w:pPr>
              <w:ind w:right="51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3,5</w:t>
            </w:r>
          </w:p>
        </w:tc>
      </w:tr>
      <w:tr w:rsidR="00200E3A" w:rsidRPr="008D15E9" w14:paraId="3E64CEC2" w14:textId="77777777" w:rsidTr="0047747F">
        <w:trPr>
          <w:trHeight w:val="270"/>
          <w:jc w:val="center"/>
        </w:trPr>
        <w:tc>
          <w:tcPr>
            <w:tcW w:w="180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3FD71EC6" w14:textId="77777777" w:rsidR="00200E3A" w:rsidRPr="008D15E9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3AC4743C" w14:textId="77777777" w:rsidR="00200E3A" w:rsidRPr="008D15E9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1DAC07A0" w14:textId="77777777" w:rsidR="00200E3A" w:rsidRPr="008D15E9" w:rsidRDefault="00200E3A" w:rsidP="0047747F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6BAD5931" w14:textId="77777777" w:rsidR="00200E3A" w:rsidRPr="008D15E9" w:rsidRDefault="00200E3A" w:rsidP="004774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7443A55C" w14:textId="77777777" w:rsidR="00200E3A" w:rsidRPr="008D15E9" w:rsidRDefault="00200E3A" w:rsidP="0047747F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622B9E4D" w14:textId="77777777" w:rsidR="00200E3A" w:rsidRPr="008D15E9" w:rsidRDefault="00200E3A" w:rsidP="004774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</w:tr>
    </w:tbl>
    <w:p w14:paraId="3C5CB9B3" w14:textId="77777777" w:rsidR="00200E3A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</w:p>
    <w:p w14:paraId="4C4CDDF8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3BEC5A0C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Mining and quarrying</w:t>
      </w: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</w:t>
      </w:r>
    </w:p>
    <w:p w14:paraId="754747DC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4A9CCA64" w14:textId="77777777" w:rsidR="00200E3A" w:rsidRPr="00954F9F" w:rsidRDefault="00200E3A" w:rsidP="00200E3A">
      <w:pPr>
        <w:jc w:val="both"/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  <w:t xml:space="preserve">D: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Electricity, gas, steam and air conditioning supply</w:t>
      </w:r>
    </w:p>
    <w:p w14:paraId="7C0D47C0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iCs/>
          <w:color w:val="2F5496" w:themeColor="accent1" w:themeShade="BF"/>
          <w:sz w:val="16"/>
          <w:szCs w:val="16"/>
        </w:rPr>
        <w:t>E: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Sewerage, waste management and remediation activities</w:t>
      </w:r>
    </w:p>
    <w:p w14:paraId="24868065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56F86F0B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Wholesale and retail trade; repair of motor vehicles and motorcycles</w:t>
      </w:r>
    </w:p>
    <w:p w14:paraId="13C8D65C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H: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Transportation and storage</w:t>
      </w:r>
    </w:p>
    <w:p w14:paraId="1AD44757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Accommodation and food service activities</w:t>
      </w:r>
    </w:p>
    <w:p w14:paraId="5CC185C2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07354350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216413C1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175695BA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M: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Professional, scientific and technical activities</w:t>
      </w:r>
    </w:p>
    <w:p w14:paraId="6FBAC667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Administrative and support service activities</w:t>
      </w:r>
    </w:p>
    <w:p w14:paraId="6B5A4258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O: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defense</w:t>
      </w:r>
    </w:p>
    <w:p w14:paraId="00B01D96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P: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 xml:space="preserve">Education </w:t>
      </w:r>
    </w:p>
    <w:p w14:paraId="7F6BC174" w14:textId="77777777" w:rsidR="00200E3A" w:rsidRPr="00954F9F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Q: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H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uman health and social work activities</w:t>
      </w:r>
    </w:p>
    <w:p w14:paraId="63E987A9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Arts, entertainment and recreation</w:t>
      </w:r>
    </w:p>
    <w:p w14:paraId="110641D4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S: </w:t>
      </w:r>
      <w:r w:rsidRPr="00954F9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Repair of household goods and other services</w:t>
      </w:r>
    </w:p>
    <w:p w14:paraId="381816EA" w14:textId="77777777" w:rsidR="00200E3A" w:rsidRPr="00954F9F" w:rsidRDefault="00200E3A" w:rsidP="00200E3A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</w:pPr>
      <w:r w:rsidRPr="00954F9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T: </w:t>
      </w:r>
      <w:r w:rsidRPr="00954F9F">
        <w:rPr>
          <w:rFonts w:ascii="Verdana" w:hAnsi="Verdana" w:cs="Arial"/>
          <w:iCs/>
          <w:color w:val="2F5496" w:themeColor="accent1" w:themeShade="BF"/>
          <w:sz w:val="16"/>
          <w:szCs w:val="16"/>
        </w:rPr>
        <w:t>Activities of households as employers</w:t>
      </w:r>
    </w:p>
    <w:p w14:paraId="0F33F1FE" w14:textId="77777777" w:rsidR="00200E3A" w:rsidRPr="00A453EB" w:rsidRDefault="00200E3A" w:rsidP="00200E3A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</w:p>
    <w:p w14:paraId="56D74EBA" w14:textId="77777777" w:rsidR="00200E3A" w:rsidRDefault="00200E3A" w:rsidP="00200E3A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130C87C" w14:textId="77777777" w:rsidR="00200E3A" w:rsidRDefault="00200E3A" w:rsidP="00200E3A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DBA136B" w14:textId="77777777" w:rsidR="00200E3A" w:rsidRDefault="00200E3A" w:rsidP="00200E3A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313B4956" w14:textId="77777777" w:rsidR="00200E3A" w:rsidRDefault="00200E3A" w:rsidP="00200E3A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581F87D" w14:textId="77777777" w:rsidR="00200E3A" w:rsidRDefault="00200E3A" w:rsidP="00200E3A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3692"/>
        <w:gridCol w:w="1540"/>
        <w:gridCol w:w="1364"/>
        <w:gridCol w:w="1660"/>
        <w:gridCol w:w="1364"/>
      </w:tblGrid>
      <w:tr w:rsidR="00200E3A" w:rsidRPr="008D15E9" w14:paraId="59538893" w14:textId="77777777" w:rsidTr="0047747F">
        <w:trPr>
          <w:trHeight w:val="525"/>
          <w:jc w:val="center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1CF40AEB" w14:textId="77777777" w:rsidR="00200E3A" w:rsidRPr="008D15E9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  <w:lastRenderedPageBreak/>
              <w:t>Table 2: Gross Domestic Product (GDP) - Expenditure Approach</w:t>
            </w:r>
          </w:p>
        </w:tc>
      </w:tr>
      <w:tr w:rsidR="00200E3A" w:rsidRPr="00895EDB" w14:paraId="1105A6E7" w14:textId="77777777" w:rsidTr="0047747F">
        <w:trPr>
          <w:trHeight w:val="585"/>
          <w:jc w:val="center"/>
        </w:trPr>
        <w:tc>
          <w:tcPr>
            <w:tcW w:w="3692" w:type="dxa"/>
            <w:vMerge w:val="restart"/>
            <w:tcBorders>
              <w:top w:val="single" w:sz="8" w:space="0" w:color="366092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4AB59DF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D15E9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Type of Expenditure</w:t>
            </w:r>
          </w:p>
        </w:tc>
        <w:tc>
          <w:tcPr>
            <w:tcW w:w="2904" w:type="dxa"/>
            <w:gridSpan w:val="2"/>
            <w:tcBorders>
              <w:top w:val="single" w:sz="8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6CA3C47C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895EDB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GDP at Current Prices</w:t>
            </w:r>
          </w:p>
        </w:tc>
        <w:tc>
          <w:tcPr>
            <w:tcW w:w="3024" w:type="dxa"/>
            <w:gridSpan w:val="2"/>
            <w:tcBorders>
              <w:top w:val="single" w:sz="8" w:space="0" w:color="366092"/>
              <w:left w:val="single" w:sz="12" w:space="0" w:color="2F5496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61B5A847" w14:textId="77777777" w:rsidR="00200E3A" w:rsidRPr="00895EDB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  <w:r w:rsidRPr="00895ED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GDP at Volume Measures           </w:t>
            </w:r>
            <w:proofErr w:type="gramStart"/>
            <w:r w:rsidRPr="00895ED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(</w:t>
            </w:r>
            <w:proofErr w:type="gramEnd"/>
            <w:r w:rsidRPr="00895EDB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base year 2019)</w:t>
            </w:r>
          </w:p>
        </w:tc>
      </w:tr>
      <w:tr w:rsidR="00200E3A" w:rsidRPr="00E66AAC" w14:paraId="4F1AD997" w14:textId="77777777" w:rsidTr="0047747F">
        <w:trPr>
          <w:trHeight w:val="540"/>
          <w:jc w:val="center"/>
        </w:trPr>
        <w:tc>
          <w:tcPr>
            <w:tcW w:w="3692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0E0B01B" w14:textId="77777777" w:rsidR="00200E3A" w:rsidRPr="00895EDB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eastAsia="en-CY" w:bidi="he-IL"/>
              </w:rPr>
            </w:pPr>
          </w:p>
        </w:tc>
        <w:tc>
          <w:tcPr>
            <w:tcW w:w="15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66D0BA86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Euro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 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million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709081CA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Change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 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  <w:tc>
          <w:tcPr>
            <w:tcW w:w="1660" w:type="dxa"/>
            <w:tcBorders>
              <w:top w:val="single" w:sz="4" w:space="0" w:color="366092"/>
              <w:left w:val="single" w:sz="12" w:space="0" w:color="2F5496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72D01DC9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Euro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 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</w:t>
            </w: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million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  <w:hideMark/>
          </w:tcPr>
          <w:p w14:paraId="3513AE84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Change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 xml:space="preserve"> </w:t>
            </w: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br/>
              <w:t>(%)</w:t>
            </w:r>
          </w:p>
        </w:tc>
      </w:tr>
      <w:tr w:rsidR="00200E3A" w:rsidRPr="00E66AAC" w14:paraId="1F300EC7" w14:textId="77777777" w:rsidTr="0047747F">
        <w:trPr>
          <w:trHeight w:val="480"/>
          <w:jc w:val="center"/>
        </w:trPr>
        <w:tc>
          <w:tcPr>
            <w:tcW w:w="3692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41A5550" w14:textId="77777777" w:rsidR="00200E3A" w:rsidRPr="00E66AAC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540" w:type="dxa"/>
            <w:tcBorders>
              <w:top w:val="single" w:sz="4" w:space="0" w:color="366092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1147C7A4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09C28F6F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2024/2023</w:t>
            </w:r>
          </w:p>
        </w:tc>
        <w:tc>
          <w:tcPr>
            <w:tcW w:w="1660" w:type="dxa"/>
            <w:tcBorders>
              <w:top w:val="single" w:sz="4" w:space="0" w:color="366092"/>
              <w:left w:val="single" w:sz="12" w:space="0" w:color="2F5496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0805594A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1364" w:type="dxa"/>
            <w:tcBorders>
              <w:top w:val="single" w:sz="4" w:space="0" w:color="366092"/>
              <w:left w:val="nil"/>
              <w:bottom w:val="single" w:sz="8" w:space="0" w:color="2F5496"/>
              <w:right w:val="nil"/>
            </w:tcBorders>
            <w:shd w:val="clear" w:color="auto" w:fill="auto"/>
            <w:noWrap/>
            <w:vAlign w:val="center"/>
            <w:hideMark/>
          </w:tcPr>
          <w:p w14:paraId="503F15B1" w14:textId="77777777" w:rsidR="00200E3A" w:rsidRPr="00E66AAC" w:rsidRDefault="00200E3A" w:rsidP="0047747F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2024/2023</w:t>
            </w:r>
          </w:p>
        </w:tc>
      </w:tr>
      <w:tr w:rsidR="00200E3A" w:rsidRPr="00E66AAC" w14:paraId="00E7E0BF" w14:textId="77777777" w:rsidTr="0047747F">
        <w:trPr>
          <w:trHeight w:val="450"/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BC37" w14:textId="77777777" w:rsidR="00200E3A" w:rsidRPr="00E66AAC" w:rsidRDefault="00200E3A" w:rsidP="0047747F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7511AA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Gross domestic product (GDP)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4E3E" w14:textId="77777777" w:rsidR="00200E3A" w:rsidRPr="00E66AAC" w:rsidRDefault="00200E3A" w:rsidP="0047747F">
            <w:pPr>
              <w:ind w:right="17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33.567,7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6634" w14:textId="77777777" w:rsidR="00200E3A" w:rsidRPr="00E66AAC" w:rsidRDefault="00200E3A" w:rsidP="0047747F">
            <w:pPr>
              <w:ind w:right="34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7,1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D63F" w14:textId="77777777" w:rsidR="00200E3A" w:rsidRPr="00E66AAC" w:rsidRDefault="00200E3A" w:rsidP="0047747F">
            <w:pPr>
              <w:ind w:right="17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28.749,6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0461" w14:textId="77777777" w:rsidR="00200E3A" w:rsidRPr="00E66AAC" w:rsidRDefault="00200E3A" w:rsidP="0047747F">
            <w:pPr>
              <w:ind w:right="34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3,4</w:t>
            </w:r>
          </w:p>
        </w:tc>
      </w:tr>
      <w:tr w:rsidR="00200E3A" w:rsidRPr="00E66AAC" w14:paraId="4CAC0C25" w14:textId="77777777" w:rsidTr="0047747F">
        <w:trPr>
          <w:trHeight w:val="390"/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BB41" w14:textId="77777777" w:rsidR="00200E3A" w:rsidRPr="00E66AAC" w:rsidRDefault="00200E3A" w:rsidP="0047747F">
            <w:pPr>
              <w:ind w:firstLineChars="100" w:firstLine="180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7511AA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Government final consumption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8B7A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6.241,8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849C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6,9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44D7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4.873,9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C2BA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1,5</w:t>
            </w:r>
          </w:p>
        </w:tc>
      </w:tr>
      <w:tr w:rsidR="00200E3A" w:rsidRPr="00E66AAC" w14:paraId="08C95CC5" w14:textId="77777777" w:rsidTr="0047747F">
        <w:trPr>
          <w:trHeight w:val="405"/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D894" w14:textId="77777777" w:rsidR="00200E3A" w:rsidRPr="00E66AAC" w:rsidRDefault="00200E3A" w:rsidP="0047747F">
            <w:pPr>
              <w:ind w:firstLineChars="100" w:firstLine="180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7511AA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Private final consumption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B09B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19.764,6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1A79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5,7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90EF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17.626,9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2021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3,8</w:t>
            </w:r>
          </w:p>
        </w:tc>
      </w:tr>
      <w:tr w:rsidR="00200E3A" w:rsidRPr="00E66AAC" w14:paraId="6F3A5ACA" w14:textId="77777777" w:rsidTr="0047747F">
        <w:trPr>
          <w:trHeight w:val="255"/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AFAF" w14:textId="77777777" w:rsidR="00200E3A" w:rsidRPr="00E66AAC" w:rsidRDefault="00200E3A" w:rsidP="0047747F">
            <w:pPr>
              <w:ind w:firstLineChars="100" w:firstLine="180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7511AA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Gross capital formation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964D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6.358,4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FDFD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-1,7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89AE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5.042,0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CFF3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-9,5</w:t>
            </w:r>
          </w:p>
        </w:tc>
      </w:tr>
      <w:tr w:rsidR="00200E3A" w:rsidRPr="00E66AAC" w14:paraId="73D023B8" w14:textId="77777777" w:rsidTr="0047747F">
        <w:trPr>
          <w:trHeight w:val="480"/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9FC75" w14:textId="77777777" w:rsidR="00200E3A" w:rsidRPr="00E66AAC" w:rsidRDefault="00200E3A" w:rsidP="0047747F">
            <w:pPr>
              <w:ind w:firstLineChars="100" w:firstLine="180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7511AA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Exports of goods and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DEC1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32.457,1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928A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6,6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9EDB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29.806,2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38E2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5,3</w:t>
            </w:r>
          </w:p>
        </w:tc>
      </w:tr>
      <w:tr w:rsidR="00200E3A" w:rsidRPr="00E66AAC" w14:paraId="18BAA9D6" w14:textId="77777777" w:rsidTr="0047747F">
        <w:trPr>
          <w:trHeight w:val="480"/>
          <w:jc w:val="center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4029" w14:textId="77777777" w:rsidR="00200E3A" w:rsidRPr="008D15E9" w:rsidRDefault="00200E3A" w:rsidP="0047747F">
            <w:pPr>
              <w:ind w:left="176"/>
              <w:rPr>
                <w:rFonts w:ascii="Verdana" w:eastAsia="Times New Roman" w:hAnsi="Verdana" w:cs="Arial"/>
                <w:color w:val="366092"/>
                <w:sz w:val="18"/>
                <w:szCs w:val="18"/>
                <w:lang w:eastAsia="en-CY" w:bidi="he-IL"/>
              </w:rPr>
            </w:pPr>
            <w:r w:rsidRPr="008D15E9">
              <w:rPr>
                <w:rFonts w:ascii="Verdana" w:eastAsia="Times New Roman" w:hAnsi="Verdana" w:cs="Arial"/>
                <w:i/>
                <w:iCs/>
                <w:color w:val="2F5496"/>
                <w:sz w:val="18"/>
                <w:szCs w:val="18"/>
                <w:lang w:val="en-CY" w:eastAsia="en-CY" w:bidi="he-IL"/>
              </w:rPr>
              <w:t>Less</w:t>
            </w:r>
            <w:r w:rsidRPr="007511AA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:  Imports of goods and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 xml:space="preserve">   </w:t>
            </w:r>
            <w:r w:rsidRPr="007511AA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services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65112E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31.254,1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50D299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3,8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right w:val="nil"/>
            </w:tcBorders>
            <w:shd w:val="clear" w:color="auto" w:fill="auto"/>
            <w:vAlign w:val="center"/>
            <w:hideMark/>
          </w:tcPr>
          <w:p w14:paraId="39AC1CF6" w14:textId="77777777" w:rsidR="00200E3A" w:rsidRPr="00E66AAC" w:rsidRDefault="00200E3A" w:rsidP="0047747F">
            <w:pPr>
              <w:ind w:right="17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28.472,1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DFD9FE" w14:textId="77777777" w:rsidR="00200E3A" w:rsidRPr="00E66AAC" w:rsidRDefault="00200E3A" w:rsidP="0047747F">
            <w:pPr>
              <w:ind w:right="340" w:firstLineChars="100" w:firstLine="180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2,4</w:t>
            </w:r>
          </w:p>
        </w:tc>
      </w:tr>
      <w:tr w:rsidR="00200E3A" w:rsidRPr="00E66AAC" w14:paraId="2C65F615" w14:textId="77777777" w:rsidTr="0047747F">
        <w:trPr>
          <w:trHeight w:val="270"/>
          <w:jc w:val="center"/>
        </w:trPr>
        <w:tc>
          <w:tcPr>
            <w:tcW w:w="369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4C1231EF" w14:textId="77777777" w:rsidR="00200E3A" w:rsidRPr="00E66AAC" w:rsidRDefault="00200E3A" w:rsidP="004774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71128AB1" w14:textId="77777777" w:rsidR="00200E3A" w:rsidRPr="00E66AAC" w:rsidRDefault="00200E3A" w:rsidP="004774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6F5FA594" w14:textId="77777777" w:rsidR="00200E3A" w:rsidRPr="00E66AAC" w:rsidRDefault="00200E3A" w:rsidP="004774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12" w:space="0" w:color="2F5496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43601394" w14:textId="77777777" w:rsidR="00200E3A" w:rsidRPr="00E66AAC" w:rsidRDefault="00200E3A" w:rsidP="004774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auto" w:fill="auto"/>
            <w:vAlign w:val="center"/>
            <w:hideMark/>
          </w:tcPr>
          <w:p w14:paraId="57DBF57F" w14:textId="77777777" w:rsidR="00200E3A" w:rsidRPr="00E66AAC" w:rsidRDefault="00200E3A" w:rsidP="004774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</w:pPr>
            <w:r w:rsidRPr="00E66AAC">
              <w:rPr>
                <w:rFonts w:ascii="Verdana" w:eastAsia="Times New Roman" w:hAnsi="Verdana" w:cs="Arial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</w:tr>
    </w:tbl>
    <w:p w14:paraId="5E9E6183" w14:textId="77777777" w:rsidR="00200E3A" w:rsidRDefault="00200E3A" w:rsidP="00200E3A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1B3BCA8" w14:textId="77777777" w:rsidR="00622FD9" w:rsidRDefault="00622FD9" w:rsidP="00954F9F">
      <w:pPr>
        <w:jc w:val="both"/>
        <w:rPr>
          <w:rFonts w:ascii="Verdana" w:hAnsi="Verdana" w:cs="Arial"/>
          <w:sz w:val="18"/>
          <w:szCs w:val="18"/>
        </w:rPr>
      </w:pPr>
    </w:p>
    <w:p w14:paraId="2546C2D8" w14:textId="4366F8B3" w:rsidR="00217A4A" w:rsidRPr="00F5259D" w:rsidRDefault="00217A4A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7C39D72" w14:textId="7F3D7C1E" w:rsidR="00D31929" w:rsidRDefault="004B5866" w:rsidP="00313301">
      <w:pPr>
        <w:jc w:val="center"/>
        <w:rPr>
          <w:rFonts w:ascii="Verdana" w:eastAsia="Malgun Gothic" w:hAnsi="Verdana" w:cs="Arial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97B1C" wp14:editId="4FA2B35E">
                <wp:simplePos x="0" y="0"/>
                <wp:positionH relativeFrom="margin">
                  <wp:posOffset>1480186</wp:posOffset>
                </wp:positionH>
                <wp:positionV relativeFrom="paragraph">
                  <wp:posOffset>2027555</wp:posOffset>
                </wp:positionV>
                <wp:extent cx="1047750" cy="847725"/>
                <wp:effectExtent l="0" t="0" r="0" b="9525"/>
                <wp:wrapNone/>
                <wp:docPr id="1822489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12C75E" w14:textId="77777777" w:rsidR="004B5866" w:rsidRDefault="004B5866" w:rsidP="004B5866">
                            <w:pPr>
                              <w:jc w:val="center"/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GDP             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current prices)</w:t>
                            </w:r>
                          </w:p>
                          <w:p w14:paraId="14772F60" w14:textId="77777777" w:rsidR="004B5866" w:rsidRDefault="004B5866" w:rsidP="004B5866">
                            <w:pPr>
                              <w:jc w:val="center"/>
                              <w:textAlignment w:val="baseline"/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567</w:t>
                            </w: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7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+mn-c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97B1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16.55pt;margin-top:159.65pt;width:82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" filled="f" stroked="f">
                <v:textbox>
                  <w:txbxContent>
                    <w:p w14:paraId="3D12C75E" w14:textId="77777777" w:rsidR="004B5866" w:rsidRDefault="004B5866" w:rsidP="004B5866">
                      <w:pPr>
                        <w:jc w:val="center"/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GDP              </w:t>
                      </w:r>
                      <w:proofErr w:type="gramStart"/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>current prices)</w:t>
                      </w:r>
                    </w:p>
                    <w:p w14:paraId="14772F60" w14:textId="77777777" w:rsidR="004B5866" w:rsidRDefault="004B5866" w:rsidP="004B5866">
                      <w:pPr>
                        <w:jc w:val="center"/>
                        <w:textAlignment w:val="baseline"/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  <w:lang w:val="el-GR"/>
                        </w:rPr>
                        <w:t>3</w:t>
                      </w: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  <w:lang w:val="el-GR"/>
                        </w:rPr>
                        <w:t>.</w:t>
                      </w: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>567</w:t>
                      </w: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  <w:lang w:val="el-GR"/>
                        </w:rPr>
                        <w:t>,</w:t>
                      </w:r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7 </w:t>
                      </w:r>
                      <w:proofErr w:type="spellStart"/>
                      <w:r>
                        <w:rPr>
                          <w:rFonts w:ascii="Verdana" w:eastAsia="Verdana" w:hAnsi="Verdana" w:cs="+mn-cs"/>
                          <w:b/>
                          <w:bCs/>
                          <w:color w:val="000000"/>
                          <w:sz w:val="18"/>
                          <w:szCs w:val="18"/>
                        </w:rPr>
                        <w:t>mn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13301">
        <w:rPr>
          <w:rFonts w:ascii="Verdana" w:eastAsia="Malgun Gothic" w:hAnsi="Verdana" w:cs="Arial"/>
          <w:bCs/>
          <w:noProof/>
          <w:sz w:val="18"/>
          <w:szCs w:val="18"/>
        </w:rPr>
        <w:drawing>
          <wp:inline distT="0" distB="0" distL="0" distR="0" wp14:anchorId="49FD675A" wp14:editId="188D4930">
            <wp:extent cx="6102350" cy="4432300"/>
            <wp:effectExtent l="0" t="0" r="0" b="6350"/>
            <wp:docPr id="8805931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D22A0" w14:textId="10827238" w:rsidR="0073574E" w:rsidRPr="0073574E" w:rsidRDefault="0073574E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67C0FDB" w14:textId="0FDE9347" w:rsidR="00D31929" w:rsidRDefault="00D31929" w:rsidP="0073574E">
      <w:pPr>
        <w:jc w:val="center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0791E8B" w14:textId="77777777" w:rsidR="00D31929" w:rsidRPr="00D31929" w:rsidRDefault="00D31929" w:rsidP="00954F9F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B134793" w14:textId="00BC4789" w:rsidR="00954F9F" w:rsidRPr="00566EB7" w:rsidRDefault="00954F9F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5F3ED7D" w14:textId="77777777" w:rsidR="00ED7DBB" w:rsidRPr="00566EB7" w:rsidRDefault="00ED7DBB" w:rsidP="00954F9F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BD2576D" w14:textId="66E3E8BA" w:rsidR="00ED7DBB" w:rsidRPr="00ED7DBB" w:rsidRDefault="00ED7DBB" w:rsidP="00566EB7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3DEECE9C" w14:textId="77777777" w:rsidR="00ED7DBB" w:rsidRPr="00ED7DBB" w:rsidRDefault="00ED7DBB" w:rsidP="00954F9F">
      <w:pPr>
        <w:jc w:val="both"/>
        <w:rPr>
          <w:rFonts w:ascii="Verdana" w:eastAsia="Malgun Gothic" w:hAnsi="Verdana" w:cs="Arial"/>
          <w:b/>
          <w:sz w:val="18"/>
          <w:szCs w:val="18"/>
        </w:rPr>
      </w:pPr>
    </w:p>
    <w:p w14:paraId="3AEA9481" w14:textId="35DFBF6E" w:rsidR="00954F9F" w:rsidRDefault="00954F9F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8AAFB1B" w14:textId="77777777" w:rsidR="00313301" w:rsidRPr="00566EB7" w:rsidRDefault="00313301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95E1DBB" w14:textId="77777777" w:rsidR="00954F9F" w:rsidRPr="00566EB7" w:rsidRDefault="00954F9F" w:rsidP="00566EB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200C8CE" w14:textId="24DBBDFE" w:rsidR="0095405B" w:rsidRPr="00970856" w:rsidRDefault="0095405B" w:rsidP="00FF19E0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7928A577" w14:textId="77777777" w:rsidR="00ED7DBB" w:rsidRDefault="00ED7DBB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2A498990" w14:textId="0C9CDF21" w:rsidR="00DF2F99" w:rsidRPr="006A5B9D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372FDE63" w14:textId="77777777" w:rsidR="006A5B9D" w:rsidRPr="006A5B9D" w:rsidRDefault="006A5B9D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09D6E34D" w14:textId="64C4FAB2" w:rsidR="00DF2F99" w:rsidRDefault="006A5B9D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</w:t>
      </w:r>
      <w:r w:rsidR="004B5866">
        <w:rPr>
          <w:rFonts w:ascii="Verdana" w:eastAsia="Malgun Gothic" w:hAnsi="Verdana" w:cs="Arial"/>
          <w:sz w:val="18"/>
          <w:szCs w:val="18"/>
        </w:rPr>
        <w:t>update of National Accounts, 110 days after the reference year,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 </w:t>
      </w:r>
      <w:r w:rsidR="000720AF">
        <w:rPr>
          <w:rFonts w:ascii="Verdana" w:eastAsia="Malgun Gothic" w:hAnsi="Verdana" w:cs="Arial"/>
          <w:sz w:val="18"/>
          <w:szCs w:val="18"/>
        </w:rPr>
        <w:t>is</w:t>
      </w:r>
      <w:r w:rsidR="004B5866">
        <w:rPr>
          <w:rFonts w:ascii="Verdana" w:eastAsia="Malgun Gothic" w:hAnsi="Verdana" w:cs="Arial"/>
          <w:sz w:val="18"/>
          <w:szCs w:val="18"/>
        </w:rPr>
        <w:t xml:space="preserve"> to </w:t>
      </w:r>
      <w:r w:rsidR="004B5866">
        <w:rPr>
          <w:rFonts w:ascii="Verdana" w:hAnsi="Verdana" w:cs="Arial"/>
          <w:sz w:val="18"/>
          <w:szCs w:val="18"/>
        </w:rPr>
        <w:t>incorporate revised data of Balance of Payments (BOP) and Government Fina</w:t>
      </w:r>
      <w:r w:rsidR="00C64785">
        <w:rPr>
          <w:rFonts w:ascii="Verdana" w:hAnsi="Verdana" w:cs="Arial"/>
          <w:sz w:val="18"/>
          <w:szCs w:val="18"/>
        </w:rPr>
        <w:t>nce Statistics</w:t>
      </w:r>
      <w:r w:rsidR="004B5866">
        <w:rPr>
          <w:rFonts w:ascii="Verdana" w:hAnsi="Verdana" w:cs="Arial"/>
          <w:sz w:val="18"/>
          <w:szCs w:val="18"/>
        </w:rPr>
        <w:t xml:space="preserve"> (GFS)</w:t>
      </w:r>
      <w:r w:rsidR="004B5866">
        <w:rPr>
          <w:rFonts w:ascii="Verdana" w:eastAsia="Malgun Gothic" w:hAnsi="Verdana" w:cs="Arial"/>
          <w:sz w:val="18"/>
          <w:szCs w:val="18"/>
        </w:rPr>
        <w:t xml:space="preserve">, providing at the same time </w:t>
      </w:r>
      <w:r w:rsidR="00505DB0" w:rsidRPr="00505DB0">
        <w:rPr>
          <w:rFonts w:ascii="Verdana" w:eastAsia="Malgun Gothic" w:hAnsi="Verdana" w:cs="Arial"/>
          <w:sz w:val="18"/>
          <w:szCs w:val="18"/>
        </w:rPr>
        <w:t>information on the main variables of the production</w:t>
      </w:r>
      <w:r w:rsidR="00E606F1">
        <w:rPr>
          <w:rFonts w:ascii="Verdana" w:eastAsia="Malgun Gothic" w:hAnsi="Verdana" w:cs="Arial"/>
          <w:sz w:val="18"/>
          <w:szCs w:val="18"/>
        </w:rPr>
        <w:t xml:space="preserve">, </w:t>
      </w:r>
      <w:r w:rsidR="00505DB0" w:rsidRPr="00505DB0">
        <w:rPr>
          <w:rFonts w:ascii="Verdana" w:eastAsia="Malgun Gothic" w:hAnsi="Verdana" w:cs="Arial"/>
          <w:sz w:val="18"/>
          <w:szCs w:val="18"/>
        </w:rPr>
        <w:t xml:space="preserve">expenditure </w:t>
      </w:r>
      <w:r w:rsidR="00E606F1">
        <w:rPr>
          <w:rFonts w:ascii="Verdana" w:eastAsia="Malgun Gothic" w:hAnsi="Verdana" w:cs="Arial"/>
          <w:sz w:val="18"/>
          <w:szCs w:val="18"/>
        </w:rPr>
        <w:t xml:space="preserve">and income </w:t>
      </w:r>
      <w:r w:rsidR="00505DB0" w:rsidRPr="00505DB0">
        <w:rPr>
          <w:rFonts w:ascii="Verdana" w:eastAsia="Malgun Gothic" w:hAnsi="Verdana" w:cs="Arial"/>
          <w:sz w:val="18"/>
          <w:szCs w:val="18"/>
        </w:rPr>
        <w:t>approach.</w:t>
      </w:r>
    </w:p>
    <w:p w14:paraId="2C18E5E0" w14:textId="1CB35B3B" w:rsidR="00ED7DBB" w:rsidRDefault="004B5866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3DAC383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3582D46D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D80750" w14:textId="52377B52" w:rsidR="00E606F1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</w:t>
      </w:r>
      <w:r>
        <w:rPr>
          <w:rFonts w:ascii="Verdana" w:eastAsia="Malgun Gothic" w:hAnsi="Verdana" w:cs="Arial"/>
          <w:sz w:val="18"/>
          <w:szCs w:val="18"/>
        </w:rPr>
        <w:t xml:space="preserve"> as concerns the operating surplus</w:t>
      </w:r>
      <w:r w:rsidRPr="00DF2F99">
        <w:rPr>
          <w:rFonts w:ascii="Verdana" w:eastAsia="Malgun Gothic" w:hAnsi="Verdana" w:cs="Arial"/>
          <w:sz w:val="18"/>
          <w:szCs w:val="18"/>
        </w:rPr>
        <w:t>.</w:t>
      </w:r>
    </w:p>
    <w:p w14:paraId="4E981BDD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F485F8" w14:textId="74098006" w:rsidR="00E606F1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Annual </w:t>
      </w:r>
      <w:r w:rsidR="001D0974">
        <w:rPr>
          <w:rFonts w:ascii="Verdana" w:eastAsia="Malgun Gothic" w:hAnsi="Verdana" w:cs="Arial"/>
          <w:sz w:val="18"/>
          <w:szCs w:val="18"/>
        </w:rPr>
        <w:t xml:space="preserve">and Quarterly </w:t>
      </w:r>
      <w:r>
        <w:rPr>
          <w:rFonts w:ascii="Verdana" w:eastAsia="Malgun Gothic" w:hAnsi="Verdana" w:cs="Arial"/>
          <w:sz w:val="18"/>
          <w:szCs w:val="18"/>
        </w:rPr>
        <w:t>National Account</w:t>
      </w:r>
      <w:r w:rsidR="001D0974">
        <w:rPr>
          <w:rFonts w:ascii="Verdana" w:eastAsia="Malgun Gothic" w:hAnsi="Verdana" w:cs="Arial"/>
          <w:sz w:val="18"/>
          <w:szCs w:val="18"/>
        </w:rPr>
        <w:t>s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produced at current</w:t>
      </w:r>
      <w:r w:rsidR="006E7FE9">
        <w:rPr>
          <w:rFonts w:ascii="Verdana" w:eastAsia="Malgun Gothic" w:hAnsi="Verdana" w:cs="Arial"/>
          <w:sz w:val="18"/>
          <w:szCs w:val="18"/>
        </w:rPr>
        <w:t xml:space="preserve"> prices</w:t>
      </w:r>
      <w:r w:rsidRPr="00DF2F99">
        <w:rPr>
          <w:rFonts w:ascii="Verdana" w:eastAsia="Malgun Gothic" w:hAnsi="Verdana" w:cs="Arial"/>
          <w:sz w:val="18"/>
          <w:szCs w:val="18"/>
        </w:rPr>
        <w:t>, volume</w:t>
      </w:r>
      <w:r>
        <w:rPr>
          <w:rFonts w:ascii="Verdana" w:eastAsia="Malgun Gothic" w:hAnsi="Verdana" w:cs="Arial"/>
          <w:sz w:val="18"/>
          <w:szCs w:val="18"/>
        </w:rPr>
        <w:t xml:space="preserve"> measures</w:t>
      </w:r>
      <w:r w:rsidR="000720AF">
        <w:rPr>
          <w:rFonts w:ascii="Verdana" w:eastAsia="Malgun Gothic" w:hAnsi="Verdana" w:cs="Arial"/>
          <w:sz w:val="18"/>
          <w:szCs w:val="18"/>
        </w:rPr>
        <w:t xml:space="preserve"> (base year 2019) </w:t>
      </w:r>
      <w:r w:rsidRPr="00DF2F99">
        <w:rPr>
          <w:rFonts w:ascii="Verdana" w:eastAsia="Malgun Gothic" w:hAnsi="Verdana" w:cs="Arial"/>
          <w:sz w:val="18"/>
          <w:szCs w:val="18"/>
        </w:rPr>
        <w:t>and previous-year-prices, published and transmitted to Eurostat</w:t>
      </w:r>
      <w:r w:rsidR="00694DA6">
        <w:rPr>
          <w:rFonts w:ascii="Verdana" w:eastAsia="Malgun Gothic" w:hAnsi="Verdana" w:cs="Arial"/>
          <w:sz w:val="18"/>
          <w:szCs w:val="18"/>
        </w:rPr>
        <w:t>.</w:t>
      </w:r>
    </w:p>
    <w:p w14:paraId="779FBDE0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891BB6" w14:textId="5EE0E71D" w:rsidR="00AF0115" w:rsidRDefault="00E606F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A</w:t>
      </w:r>
      <w:r w:rsidR="00694DA6">
        <w:rPr>
          <w:rFonts w:ascii="Verdana" w:eastAsia="Malgun Gothic" w:hAnsi="Verdana" w:cs="Arial"/>
          <w:sz w:val="18"/>
          <w:szCs w:val="18"/>
        </w:rPr>
        <w:t xml:space="preserve">nnual National Accounts and Quarterly National Accounts </w:t>
      </w:r>
      <w:r w:rsidRPr="00DF2F99">
        <w:rPr>
          <w:rFonts w:ascii="Verdana" w:eastAsia="Malgun Gothic" w:hAnsi="Verdana" w:cs="Arial"/>
          <w:sz w:val="18"/>
          <w:szCs w:val="18"/>
        </w:rPr>
        <w:t>are compiled in accordance with the European System of Accounts (ESA 2010) as defined in Regulation (EU) No 549/2013 of the European Parliament and of the Council of 21 May 2013.</w:t>
      </w:r>
    </w:p>
    <w:p w14:paraId="10C5B7AA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814451F" w14:textId="35C66122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Production Approach</w:t>
      </w:r>
    </w:p>
    <w:p w14:paraId="3184B1C9" w14:textId="67646A2C" w:rsidR="00AF0115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>The estimation of GDP is based mainly on the results of the annual economic surveys (SBS) and the quarterly Short</w:t>
      </w:r>
      <w:r>
        <w:rPr>
          <w:rFonts w:ascii="Verdana" w:eastAsia="Malgun Gothic" w:hAnsi="Verdana" w:cs="Arial"/>
          <w:sz w:val="18"/>
          <w:szCs w:val="18"/>
        </w:rPr>
        <w:t>-</w:t>
      </w:r>
      <w:r w:rsidRPr="00AF0115">
        <w:rPr>
          <w:rFonts w:ascii="Verdana" w:eastAsia="Malgun Gothic" w:hAnsi="Verdana" w:cs="Arial"/>
          <w:sz w:val="18"/>
          <w:szCs w:val="18"/>
        </w:rPr>
        <w:t>Term Statistics (STS) of the Statistical Service of Cyprus, administrative sources, Government Finance Statistics and any data adjustments according to the European System of Accounts 2010 (ESA 2010).</w:t>
      </w:r>
    </w:p>
    <w:p w14:paraId="411DE1CF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280158" w14:textId="7259EE9F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Expenditure Approach</w:t>
      </w:r>
    </w:p>
    <w:p w14:paraId="328EECCA" w14:textId="56411572" w:rsidR="00E606F1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>The calculation of GDP is based on the statistics of the Private and Government Consu</w:t>
      </w:r>
      <w:r>
        <w:rPr>
          <w:rFonts w:ascii="Verdana" w:eastAsia="Malgun Gothic" w:hAnsi="Verdana" w:cs="Arial"/>
          <w:sz w:val="18"/>
          <w:szCs w:val="18"/>
        </w:rPr>
        <w:t>m</w:t>
      </w:r>
      <w:r w:rsidRPr="00AF0115">
        <w:rPr>
          <w:rFonts w:ascii="Verdana" w:eastAsia="Malgun Gothic" w:hAnsi="Verdana" w:cs="Arial"/>
          <w:sz w:val="18"/>
          <w:szCs w:val="18"/>
        </w:rPr>
        <w:t>ption, the Gross Fixed Capital Formation, the Changes in Inventories, the acquisitions less disposals of valuables and the external balance of goods and services (Exports minus Imports).</w:t>
      </w:r>
    </w:p>
    <w:p w14:paraId="09F8F0D6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D430AC" w14:textId="4A0F868A" w:rsidR="00E606F1" w:rsidRPr="00E606F1" w:rsidRDefault="00E606F1" w:rsidP="00ED7DBB">
      <w:pPr>
        <w:jc w:val="both"/>
        <w:rPr>
          <w:rFonts w:ascii="Verdana" w:eastAsia="Malgun Gothic" w:hAnsi="Verdana" w:cs="Arial"/>
          <w:b/>
          <w:bCs/>
          <w:i/>
          <w:iCs/>
          <w:sz w:val="18"/>
          <w:szCs w:val="18"/>
        </w:rPr>
      </w:pPr>
      <w:r w:rsidRPr="00E606F1">
        <w:rPr>
          <w:rFonts w:ascii="Verdana" w:eastAsia="Malgun Gothic" w:hAnsi="Verdana" w:cs="Arial"/>
          <w:b/>
          <w:bCs/>
          <w:i/>
          <w:iCs/>
          <w:sz w:val="18"/>
          <w:szCs w:val="18"/>
        </w:rPr>
        <w:t>Income Approach</w:t>
      </w:r>
    </w:p>
    <w:p w14:paraId="0C5F3D63" w14:textId="2C5481C8" w:rsidR="00DF2F99" w:rsidRDefault="00AF0115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AF0115">
        <w:rPr>
          <w:rFonts w:ascii="Verdana" w:eastAsia="Malgun Gothic" w:hAnsi="Verdana" w:cs="Arial"/>
          <w:sz w:val="18"/>
          <w:szCs w:val="18"/>
        </w:rPr>
        <w:t xml:space="preserve">The calculation of GDP is the sum of income components for the total economy and it is comprised of the compensation of employees, taxes on production </w:t>
      </w:r>
      <w:r w:rsidR="00391BB6">
        <w:rPr>
          <w:rFonts w:ascii="Verdana" w:eastAsia="Malgun Gothic" w:hAnsi="Verdana" w:cs="Arial"/>
          <w:sz w:val="18"/>
          <w:szCs w:val="18"/>
        </w:rPr>
        <w:t>&amp;</w:t>
      </w:r>
      <w:r w:rsidRPr="00AF0115">
        <w:rPr>
          <w:rFonts w:ascii="Verdana" w:eastAsia="Malgun Gothic" w:hAnsi="Verdana" w:cs="Arial"/>
          <w:sz w:val="18"/>
          <w:szCs w:val="18"/>
        </w:rPr>
        <w:t xml:space="preserve"> imports less subsidies and gross operating surplus </w:t>
      </w:r>
      <w:r w:rsidR="00391BB6">
        <w:rPr>
          <w:rFonts w:ascii="Verdana" w:eastAsia="Malgun Gothic" w:hAnsi="Verdana" w:cs="Arial"/>
          <w:sz w:val="18"/>
          <w:szCs w:val="18"/>
        </w:rPr>
        <w:t>including</w:t>
      </w:r>
      <w:r w:rsidRPr="00AF0115">
        <w:rPr>
          <w:rFonts w:ascii="Verdana" w:eastAsia="Malgun Gothic" w:hAnsi="Verdana" w:cs="Arial"/>
          <w:sz w:val="18"/>
          <w:szCs w:val="18"/>
        </w:rPr>
        <w:t xml:space="preserve"> mixed income.</w:t>
      </w:r>
    </w:p>
    <w:p w14:paraId="4E6EC92D" w14:textId="77777777" w:rsidR="00ED7DBB" w:rsidRPr="00DF2F99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32FA4B64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4BBD830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In order to produce </w:t>
      </w:r>
      <w:r w:rsidR="00010401">
        <w:rPr>
          <w:rFonts w:ascii="Verdana" w:eastAsia="Malgun Gothic" w:hAnsi="Verdana" w:cs="Arial"/>
          <w:sz w:val="18"/>
          <w:szCs w:val="18"/>
        </w:rPr>
        <w:t>A</w:t>
      </w:r>
      <w:r w:rsidRPr="00DF2F99">
        <w:rPr>
          <w:rFonts w:ascii="Verdana" w:eastAsia="Malgun Gothic" w:hAnsi="Verdana" w:cs="Arial"/>
          <w:sz w:val="18"/>
          <w:szCs w:val="18"/>
        </w:rPr>
        <w:t>NA</w:t>
      </w:r>
      <w:r w:rsidR="00BF6996" w:rsidRPr="00BF6996">
        <w:rPr>
          <w:rFonts w:ascii="Verdana" w:eastAsia="Malgun Gothic" w:hAnsi="Verdana" w:cs="Arial"/>
          <w:sz w:val="18"/>
          <w:szCs w:val="18"/>
        </w:rPr>
        <w:t xml:space="preserve"> </w:t>
      </w:r>
      <w:r w:rsidR="00BF6996">
        <w:rPr>
          <w:rFonts w:ascii="Verdana" w:eastAsia="Malgun Gothic" w:hAnsi="Verdana" w:cs="Arial"/>
          <w:sz w:val="18"/>
          <w:szCs w:val="18"/>
        </w:rPr>
        <w:t>and QNA</w:t>
      </w:r>
      <w:r w:rsidRPr="00DF2F99">
        <w:rPr>
          <w:rFonts w:ascii="Verdana" w:eastAsia="Malgun Gothic" w:hAnsi="Verdana" w:cs="Arial"/>
          <w:sz w:val="18"/>
          <w:szCs w:val="18"/>
        </w:rPr>
        <w:t xml:space="preserve"> estimates, the following data</w:t>
      </w:r>
      <w:r w:rsidR="00BF7A18">
        <w:rPr>
          <w:rFonts w:ascii="Verdana" w:eastAsia="Malgun Gothic" w:hAnsi="Verdana" w:cs="Arial"/>
          <w:sz w:val="18"/>
          <w:szCs w:val="18"/>
        </w:rPr>
        <w:t>sets</w:t>
      </w:r>
      <w:r w:rsidRPr="00DF2F99">
        <w:rPr>
          <w:rFonts w:ascii="Verdana" w:eastAsia="Malgun Gothic" w:hAnsi="Verdana" w:cs="Arial"/>
          <w:sz w:val="18"/>
          <w:szCs w:val="18"/>
        </w:rPr>
        <w:t xml:space="preserve"> are used as input to the system of calculation:</w:t>
      </w:r>
    </w:p>
    <w:p w14:paraId="6E06F208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68DE60BC" w:rsidR="00DF2F99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- </w:t>
      </w:r>
      <w:r w:rsidR="00010401">
        <w:rPr>
          <w:rFonts w:ascii="Verdana" w:eastAsia="Malgun Gothic" w:hAnsi="Verdana" w:cs="Arial"/>
          <w:sz w:val="18"/>
          <w:szCs w:val="18"/>
        </w:rPr>
        <w:t>annual business surveys</w:t>
      </w:r>
      <w:r w:rsidRPr="00DF2F99">
        <w:rPr>
          <w:rFonts w:ascii="Verdana" w:eastAsia="Malgun Gothic" w:hAnsi="Verdana" w:cs="Arial"/>
          <w:sz w:val="18"/>
          <w:szCs w:val="18"/>
        </w:rPr>
        <w:t>,</w:t>
      </w:r>
    </w:p>
    <w:p w14:paraId="4D1B5EF4" w14:textId="27F39258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- G</w:t>
      </w:r>
      <w:r w:rsidRPr="00010401">
        <w:rPr>
          <w:rFonts w:ascii="Verdana" w:eastAsia="Malgun Gothic" w:hAnsi="Verdana" w:cs="Arial"/>
          <w:sz w:val="18"/>
          <w:szCs w:val="18"/>
        </w:rPr>
        <w:t xml:space="preserve">eneral </w:t>
      </w:r>
      <w:r>
        <w:rPr>
          <w:rFonts w:ascii="Verdana" w:eastAsia="Malgun Gothic" w:hAnsi="Verdana" w:cs="Arial"/>
          <w:sz w:val="18"/>
          <w:szCs w:val="18"/>
        </w:rPr>
        <w:t>G</w:t>
      </w:r>
      <w:r w:rsidRPr="00010401">
        <w:rPr>
          <w:rFonts w:ascii="Verdana" w:eastAsia="Malgun Gothic" w:hAnsi="Verdana" w:cs="Arial"/>
          <w:sz w:val="18"/>
          <w:szCs w:val="18"/>
        </w:rPr>
        <w:t xml:space="preserve">overnment </w:t>
      </w:r>
      <w:r w:rsidR="00BF7A18">
        <w:rPr>
          <w:rFonts w:ascii="Verdana" w:eastAsia="Malgun Gothic" w:hAnsi="Verdana" w:cs="Arial"/>
          <w:sz w:val="18"/>
          <w:szCs w:val="18"/>
        </w:rPr>
        <w:t>Statistics</w:t>
      </w:r>
      <w:r w:rsidRPr="00010401">
        <w:rPr>
          <w:rFonts w:ascii="Verdana" w:eastAsia="Malgun Gothic" w:hAnsi="Verdana" w:cs="Arial"/>
          <w:sz w:val="18"/>
          <w:szCs w:val="18"/>
        </w:rPr>
        <w:t>,</w:t>
      </w:r>
    </w:p>
    <w:p w14:paraId="2E16A144" w14:textId="363971B9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P</w:t>
      </w:r>
      <w:r w:rsidRPr="00010401">
        <w:rPr>
          <w:rFonts w:ascii="Verdana" w:eastAsia="Malgun Gothic" w:hAnsi="Verdana" w:cs="Arial"/>
          <w:sz w:val="18"/>
          <w:szCs w:val="18"/>
        </w:rPr>
        <w:t xml:space="preserve">rivate and </w:t>
      </w:r>
      <w:r>
        <w:rPr>
          <w:rFonts w:ascii="Verdana" w:eastAsia="Malgun Gothic" w:hAnsi="Verdana" w:cs="Arial"/>
          <w:sz w:val="18"/>
          <w:szCs w:val="18"/>
        </w:rPr>
        <w:t>P</w:t>
      </w:r>
      <w:r w:rsidRPr="00010401">
        <w:rPr>
          <w:rFonts w:ascii="Verdana" w:eastAsia="Malgun Gothic" w:hAnsi="Verdana" w:cs="Arial"/>
          <w:sz w:val="18"/>
          <w:szCs w:val="18"/>
        </w:rPr>
        <w:t xml:space="preserve">ublic </w:t>
      </w:r>
      <w:r>
        <w:rPr>
          <w:rFonts w:ascii="Verdana" w:eastAsia="Malgun Gothic" w:hAnsi="Verdana" w:cs="Arial"/>
          <w:sz w:val="18"/>
          <w:szCs w:val="18"/>
        </w:rPr>
        <w:t>C</w:t>
      </w:r>
      <w:r w:rsidRPr="00010401">
        <w:rPr>
          <w:rFonts w:ascii="Verdana" w:eastAsia="Malgun Gothic" w:hAnsi="Verdana" w:cs="Arial"/>
          <w:sz w:val="18"/>
          <w:szCs w:val="18"/>
        </w:rPr>
        <w:t>onsumption,</w:t>
      </w:r>
    </w:p>
    <w:p w14:paraId="35357363" w14:textId="566635B1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 xml:space="preserve">- Gross Fixed Capital </w:t>
      </w:r>
      <w:r>
        <w:rPr>
          <w:rFonts w:ascii="Verdana" w:eastAsia="Malgun Gothic" w:hAnsi="Verdana" w:cs="Arial"/>
          <w:sz w:val="18"/>
          <w:szCs w:val="18"/>
        </w:rPr>
        <w:t>Formation</w:t>
      </w:r>
      <w:r w:rsidRPr="00010401">
        <w:rPr>
          <w:rFonts w:ascii="Verdana" w:eastAsia="Malgun Gothic" w:hAnsi="Verdana" w:cs="Arial"/>
          <w:sz w:val="18"/>
          <w:szCs w:val="18"/>
        </w:rPr>
        <w:t>,</w:t>
      </w:r>
    </w:p>
    <w:p w14:paraId="5E9873F4" w14:textId="77777777" w:rsidR="00010401" w:rsidRPr="00010401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>- change in stocks,</w:t>
      </w:r>
    </w:p>
    <w:p w14:paraId="359B4444" w14:textId="19A5536D" w:rsidR="00010401" w:rsidRPr="00DF2F99" w:rsidRDefault="00010401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010401">
        <w:rPr>
          <w:rFonts w:ascii="Verdana" w:eastAsia="Malgun Gothic" w:hAnsi="Verdana" w:cs="Arial"/>
          <w:sz w:val="18"/>
          <w:szCs w:val="18"/>
        </w:rPr>
        <w:t>- external balance of goods and services,</w:t>
      </w:r>
    </w:p>
    <w:p w14:paraId="0832D64F" w14:textId="3B669B59" w:rsidR="0095405B" w:rsidRDefault="00DF2F99" w:rsidP="00ED7DBB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6106F37C" w14:textId="77777777" w:rsidR="00ED7DBB" w:rsidRDefault="00ED7DBB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396145" w14:textId="77777777" w:rsidR="0073574E" w:rsidRDefault="0073574E" w:rsidP="00ED7DBB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ED7DB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ED7DBB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DF2F99" w:rsidP="00ED7DBB">
      <w:pPr>
        <w:rPr>
          <w:rFonts w:ascii="Verdana" w:hAnsi="Verdana"/>
          <w:sz w:val="18"/>
          <w:szCs w:val="18"/>
        </w:rPr>
      </w:pPr>
      <w:hyperlink r:id="rId10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DF2F99" w:rsidP="00ED7DBB">
      <w:hyperlink r:id="rId11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Pr="00DF2F99">
        <w:t xml:space="preserve"> (Excel)</w:t>
      </w:r>
    </w:p>
    <w:p w14:paraId="43980C08" w14:textId="3B20988B" w:rsidR="00460421" w:rsidRPr="00DF2F99" w:rsidRDefault="00460421" w:rsidP="00ED7DBB">
      <w:pPr>
        <w:rPr>
          <w:rFonts w:ascii="Verdana" w:hAnsi="Verdana"/>
          <w:sz w:val="18"/>
          <w:szCs w:val="18"/>
        </w:rPr>
      </w:pPr>
      <w:hyperlink r:id="rId12" w:history="1">
        <w:r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1C01DFA" w14:textId="77777777" w:rsidR="00ED7DBB" w:rsidRPr="00786E0E" w:rsidRDefault="00ED7DBB" w:rsidP="00ED7DBB">
      <w:pPr>
        <w:jc w:val="both"/>
        <w:rPr>
          <w:rFonts w:ascii="Verdana" w:eastAsia="Malgun Gothic" w:hAnsi="Verdana" w:cs="Arial"/>
          <w:i/>
          <w:sz w:val="18"/>
          <w:szCs w:val="18"/>
          <w:u w:val="single"/>
        </w:rPr>
      </w:pPr>
    </w:p>
    <w:p w14:paraId="37997F6F" w14:textId="62B7D701" w:rsidR="00DF2F99" w:rsidRPr="00786E0E" w:rsidRDefault="00DF2F99" w:rsidP="00ED7DBB">
      <w:pPr>
        <w:jc w:val="both"/>
        <w:rPr>
          <w:rFonts w:ascii="Verdana" w:eastAsia="Malgun Gothic" w:hAnsi="Verdana" w:cs="Arial"/>
          <w:i/>
          <w:sz w:val="18"/>
          <w:szCs w:val="18"/>
        </w:rPr>
      </w:pPr>
      <w:r w:rsidRPr="00786E0E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786E0E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5A69251E" w14:textId="143D2DFC" w:rsidR="00C26329" w:rsidRPr="00E86032" w:rsidRDefault="00D36486" w:rsidP="000F3593">
      <w:pPr>
        <w:rPr>
          <w:rFonts w:ascii="Verdana" w:hAnsi="Verdana"/>
          <w:sz w:val="18"/>
          <w:szCs w:val="18"/>
          <w:lang w:val="pt-PT"/>
        </w:rPr>
      </w:pPr>
      <w:r>
        <w:rPr>
          <w:rFonts w:ascii="Verdana" w:eastAsia="Malgun Gothic" w:hAnsi="Verdana" w:cs="Arial"/>
          <w:sz w:val="18"/>
          <w:szCs w:val="18"/>
          <w:lang w:val="pt-PT"/>
        </w:rPr>
        <w:t>Demetris Ioannou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: </w:t>
      </w:r>
      <w:r w:rsidR="00DF2F99"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>el: +3572260</w:t>
      </w:r>
      <w:r>
        <w:rPr>
          <w:rFonts w:ascii="Verdana" w:eastAsia="Malgun Gothic" w:hAnsi="Verdana" w:cs="Arial"/>
          <w:sz w:val="18"/>
          <w:szCs w:val="18"/>
          <w:lang w:val="pt-PT"/>
        </w:rPr>
        <w:t>5128</w:t>
      </w:r>
      <w:r w:rsidR="00DF2F99"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, Email: </w:t>
      </w:r>
      <w:hyperlink r:id="rId13" w:history="1">
        <w:r w:rsidRPr="00786E0E">
          <w:rPr>
            <w:rStyle w:val="Hyperlink"/>
            <w:rFonts w:ascii="Verdana" w:hAnsi="Verdana"/>
            <w:sz w:val="18"/>
            <w:szCs w:val="18"/>
            <w:lang w:val="pt-PT"/>
          </w:rPr>
          <w:t>dioannou</w:t>
        </w:r>
        <w:r w:rsidRPr="00DF5553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74334636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625DEFFC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694D719D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0935E127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10E38B27" w14:textId="6CF2038D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29E489EC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7499D0C9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p w14:paraId="79E497C9" w14:textId="77777777" w:rsidR="009E2F23" w:rsidRPr="00E86032" w:rsidRDefault="009E2F23" w:rsidP="000F3593">
      <w:pPr>
        <w:rPr>
          <w:rFonts w:ascii="Verdana" w:hAnsi="Verdana"/>
          <w:sz w:val="18"/>
          <w:szCs w:val="18"/>
          <w:lang w:val="pt-PT"/>
        </w:rPr>
      </w:pPr>
    </w:p>
    <w:sectPr w:rsidR="009E2F23" w:rsidRPr="00E86032" w:rsidSect="00FE340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854C" w14:textId="77777777" w:rsidR="00C166C2" w:rsidRDefault="00C166C2" w:rsidP="00FB398F">
      <w:r>
        <w:separator/>
      </w:r>
    </w:p>
  </w:endnote>
  <w:endnote w:type="continuationSeparator" w:id="0">
    <w:p w14:paraId="6F1406E2" w14:textId="77777777" w:rsidR="00C166C2" w:rsidRDefault="00C166C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FF19E0">
      <w:rPr>
        <w:noProof/>
      </w:rPr>
      <w:t>4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06F0A0A4" w:rsidR="0060256A" w:rsidRPr="007B73EB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7B73EB">
      <w:rPr>
        <w:rFonts w:ascii="Verdana" w:hAnsi="Verdana" w:cs="Arial"/>
        <w:sz w:val="16"/>
        <w:szCs w:val="16"/>
      </w:rPr>
      <w:t>Address: Micha</w:t>
    </w:r>
    <w:r w:rsidR="00EF6A66" w:rsidRPr="007B73EB">
      <w:rPr>
        <w:rFonts w:ascii="Verdana" w:hAnsi="Verdana" w:cs="Arial"/>
        <w:sz w:val="16"/>
        <w:szCs w:val="16"/>
      </w:rPr>
      <w:t>el</w:t>
    </w:r>
    <w:r w:rsidRPr="007B73EB">
      <w:rPr>
        <w:rFonts w:ascii="Verdana" w:hAnsi="Verdana" w:cs="Arial"/>
        <w:sz w:val="16"/>
        <w:szCs w:val="16"/>
      </w:rPr>
      <w:t xml:space="preserve"> Karaoli Str., 1444 Nicosia, Cyprus</w:t>
    </w:r>
  </w:p>
  <w:p w14:paraId="25D48CDB" w14:textId="513A5D68" w:rsidR="007B73EB" w:rsidRPr="007B73EB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7B73EB">
      <w:rPr>
        <w:rFonts w:ascii="Verdana" w:hAnsi="Verdana" w:cs="Arial"/>
        <w:sz w:val="16"/>
        <w:szCs w:val="16"/>
        <w:lang w:val="pt-PT"/>
      </w:rPr>
      <w:t xml:space="preserve">Tel.: </w:t>
    </w:r>
    <w:r w:rsidRPr="007B73EB">
      <w:rPr>
        <w:rFonts w:ascii="Verdana" w:hAnsi="Verdana" w:cs="Arial"/>
        <w:sz w:val="16"/>
        <w:szCs w:val="16"/>
        <w:lang w:val="pt-PT"/>
      </w:rPr>
      <w:t xml:space="preserve">22 602129, </w:t>
    </w:r>
    <w:r w:rsidR="0060256A" w:rsidRPr="007B73EB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7B73EB" w:rsidRPr="00366DD9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381B63A7" w:rsidR="004E4F42" w:rsidRPr="007B73EB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7B73EB">
      <w:rPr>
        <w:rFonts w:ascii="Verdana" w:hAnsi="Verdana" w:cs="Arial"/>
        <w:sz w:val="16"/>
        <w:szCs w:val="16"/>
      </w:rPr>
      <w:t xml:space="preserve">Web </w:t>
    </w:r>
    <w:r w:rsidR="007B73EB">
      <w:rPr>
        <w:rFonts w:ascii="Verdana" w:hAnsi="Verdana" w:cs="Arial"/>
        <w:sz w:val="16"/>
        <w:szCs w:val="16"/>
      </w:rPr>
      <w:t>Portal</w:t>
    </w:r>
    <w:r w:rsidRPr="007B73EB">
      <w:rPr>
        <w:rFonts w:ascii="Verdana" w:hAnsi="Verdana" w:cs="Arial"/>
        <w:sz w:val="16"/>
        <w:szCs w:val="16"/>
      </w:rPr>
      <w:t xml:space="preserve">: </w:t>
    </w:r>
    <w:hyperlink r:id="rId2" w:history="1">
      <w:r w:rsidRPr="007B73EB">
        <w:rPr>
          <w:rStyle w:val="Hyperlink"/>
          <w:rFonts w:ascii="Verdana" w:hAnsi="Verdana" w:cs="Arial"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C8AB" w14:textId="77777777" w:rsidR="00C166C2" w:rsidRDefault="00C166C2" w:rsidP="00FB398F">
      <w:r>
        <w:separator/>
      </w:r>
    </w:p>
  </w:footnote>
  <w:footnote w:type="continuationSeparator" w:id="0">
    <w:p w14:paraId="08D13917" w14:textId="77777777" w:rsidR="00C166C2" w:rsidRDefault="00C166C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8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2C46AC8C" w:rsidR="00364377" w:rsidRPr="007B73E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7B73EB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B73EB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7B73EB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B73EB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14:paraId="464BD7D4" w14:textId="77777777" w:rsidR="0060256A" w:rsidRPr="007B73EB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7B73EB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1EED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7B73EB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B73EB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7B73EB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B73EB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OF CYPRUS</w:t>
                    </w:r>
                  </w:p>
                  <w:p w14:paraId="464BD7D4" w14:textId="77777777" w:rsidR="0060256A" w:rsidRPr="007B73EB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7B73EB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7B73EB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7B73EB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7B73EB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473886">
    <w:abstractNumId w:val="4"/>
  </w:num>
  <w:num w:numId="2" w16cid:durableId="1311137342">
    <w:abstractNumId w:val="1"/>
  </w:num>
  <w:num w:numId="3" w16cid:durableId="663244027">
    <w:abstractNumId w:val="2"/>
  </w:num>
  <w:num w:numId="4" w16cid:durableId="1735542684">
    <w:abstractNumId w:val="3"/>
  </w:num>
  <w:num w:numId="5" w16cid:durableId="356472237">
    <w:abstractNumId w:val="0"/>
  </w:num>
  <w:num w:numId="6" w16cid:durableId="343476425">
    <w:abstractNumId w:val="5"/>
  </w:num>
  <w:num w:numId="7" w16cid:durableId="104224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8B1"/>
    <w:rsid w:val="00004F86"/>
    <w:rsid w:val="00005149"/>
    <w:rsid w:val="0000542E"/>
    <w:rsid w:val="00010401"/>
    <w:rsid w:val="00013E40"/>
    <w:rsid w:val="000161B1"/>
    <w:rsid w:val="00016D1E"/>
    <w:rsid w:val="00017579"/>
    <w:rsid w:val="0002506A"/>
    <w:rsid w:val="00025A39"/>
    <w:rsid w:val="00027853"/>
    <w:rsid w:val="00030E18"/>
    <w:rsid w:val="00031D32"/>
    <w:rsid w:val="0003603D"/>
    <w:rsid w:val="00036FA9"/>
    <w:rsid w:val="00044E10"/>
    <w:rsid w:val="00045088"/>
    <w:rsid w:val="00045A06"/>
    <w:rsid w:val="00050391"/>
    <w:rsid w:val="00051594"/>
    <w:rsid w:val="00055291"/>
    <w:rsid w:val="000563D3"/>
    <w:rsid w:val="00057E44"/>
    <w:rsid w:val="00061299"/>
    <w:rsid w:val="00062F88"/>
    <w:rsid w:val="00070576"/>
    <w:rsid w:val="000720AF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3528"/>
    <w:rsid w:val="000B386C"/>
    <w:rsid w:val="000B6F3B"/>
    <w:rsid w:val="000B72B3"/>
    <w:rsid w:val="000C083C"/>
    <w:rsid w:val="000C290F"/>
    <w:rsid w:val="000C4E72"/>
    <w:rsid w:val="000D1E7A"/>
    <w:rsid w:val="000E24B1"/>
    <w:rsid w:val="000E2735"/>
    <w:rsid w:val="000E32D6"/>
    <w:rsid w:val="000E44BF"/>
    <w:rsid w:val="000E57F2"/>
    <w:rsid w:val="000E72A7"/>
    <w:rsid w:val="000F1162"/>
    <w:rsid w:val="000F19E6"/>
    <w:rsid w:val="000F200F"/>
    <w:rsid w:val="000F3467"/>
    <w:rsid w:val="000F3593"/>
    <w:rsid w:val="000F38DE"/>
    <w:rsid w:val="000F5D6C"/>
    <w:rsid w:val="00105D96"/>
    <w:rsid w:val="00106852"/>
    <w:rsid w:val="00110F9D"/>
    <w:rsid w:val="00114A67"/>
    <w:rsid w:val="00120DCF"/>
    <w:rsid w:val="00122143"/>
    <w:rsid w:val="001253B6"/>
    <w:rsid w:val="00125D16"/>
    <w:rsid w:val="00127320"/>
    <w:rsid w:val="00127456"/>
    <w:rsid w:val="001312D8"/>
    <w:rsid w:val="0013137B"/>
    <w:rsid w:val="001344E5"/>
    <w:rsid w:val="00135925"/>
    <w:rsid w:val="001405FF"/>
    <w:rsid w:val="0014250E"/>
    <w:rsid w:val="00146F6E"/>
    <w:rsid w:val="0015118B"/>
    <w:rsid w:val="001519CE"/>
    <w:rsid w:val="00152605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14EF"/>
    <w:rsid w:val="001B2085"/>
    <w:rsid w:val="001B2C39"/>
    <w:rsid w:val="001B3675"/>
    <w:rsid w:val="001B54AB"/>
    <w:rsid w:val="001B5E10"/>
    <w:rsid w:val="001B6AB3"/>
    <w:rsid w:val="001B73D5"/>
    <w:rsid w:val="001C0681"/>
    <w:rsid w:val="001C14B9"/>
    <w:rsid w:val="001C42EF"/>
    <w:rsid w:val="001C62B3"/>
    <w:rsid w:val="001C7C8C"/>
    <w:rsid w:val="001D0974"/>
    <w:rsid w:val="001D0D6A"/>
    <w:rsid w:val="001D20A4"/>
    <w:rsid w:val="001D20E0"/>
    <w:rsid w:val="001D5397"/>
    <w:rsid w:val="001E00D1"/>
    <w:rsid w:val="001E0E58"/>
    <w:rsid w:val="001E14F3"/>
    <w:rsid w:val="001E15ED"/>
    <w:rsid w:val="001E61AA"/>
    <w:rsid w:val="001E7D09"/>
    <w:rsid w:val="00200E3A"/>
    <w:rsid w:val="0020309E"/>
    <w:rsid w:val="00205BA0"/>
    <w:rsid w:val="00207DE5"/>
    <w:rsid w:val="002105CC"/>
    <w:rsid w:val="00210B58"/>
    <w:rsid w:val="00212948"/>
    <w:rsid w:val="00217A4A"/>
    <w:rsid w:val="00222423"/>
    <w:rsid w:val="0022346F"/>
    <w:rsid w:val="00225B28"/>
    <w:rsid w:val="002313AC"/>
    <w:rsid w:val="002341D9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730A0"/>
    <w:rsid w:val="002739CA"/>
    <w:rsid w:val="00282E09"/>
    <w:rsid w:val="0028338F"/>
    <w:rsid w:val="00285C24"/>
    <w:rsid w:val="002915C4"/>
    <w:rsid w:val="002A1D1C"/>
    <w:rsid w:val="002A4D64"/>
    <w:rsid w:val="002A4FA3"/>
    <w:rsid w:val="002B17F7"/>
    <w:rsid w:val="002B4EE4"/>
    <w:rsid w:val="002B6554"/>
    <w:rsid w:val="002C338D"/>
    <w:rsid w:val="002C79A3"/>
    <w:rsid w:val="002D05F0"/>
    <w:rsid w:val="002D37A2"/>
    <w:rsid w:val="002D5C6F"/>
    <w:rsid w:val="002D7D4A"/>
    <w:rsid w:val="002E1906"/>
    <w:rsid w:val="002E3846"/>
    <w:rsid w:val="002E3F78"/>
    <w:rsid w:val="002E62EA"/>
    <w:rsid w:val="002F12A3"/>
    <w:rsid w:val="002F400C"/>
    <w:rsid w:val="002F4D76"/>
    <w:rsid w:val="002F6D26"/>
    <w:rsid w:val="0030231E"/>
    <w:rsid w:val="0030274E"/>
    <w:rsid w:val="003042C4"/>
    <w:rsid w:val="00304CB4"/>
    <w:rsid w:val="00313301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49A5"/>
    <w:rsid w:val="00347234"/>
    <w:rsid w:val="00351CCD"/>
    <w:rsid w:val="003522BB"/>
    <w:rsid w:val="00352F6C"/>
    <w:rsid w:val="0035337D"/>
    <w:rsid w:val="003555AE"/>
    <w:rsid w:val="003556EA"/>
    <w:rsid w:val="00364377"/>
    <w:rsid w:val="00366B67"/>
    <w:rsid w:val="003671CE"/>
    <w:rsid w:val="003707C3"/>
    <w:rsid w:val="003746E6"/>
    <w:rsid w:val="00375F86"/>
    <w:rsid w:val="00377ABB"/>
    <w:rsid w:val="003854F5"/>
    <w:rsid w:val="00386FC7"/>
    <w:rsid w:val="00390A32"/>
    <w:rsid w:val="00391BB6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3C58"/>
    <w:rsid w:val="003D6822"/>
    <w:rsid w:val="003D724C"/>
    <w:rsid w:val="003E0CE2"/>
    <w:rsid w:val="003E5F4D"/>
    <w:rsid w:val="003E7C7E"/>
    <w:rsid w:val="003F49E4"/>
    <w:rsid w:val="003F4D2F"/>
    <w:rsid w:val="003F5E32"/>
    <w:rsid w:val="003F5F60"/>
    <w:rsid w:val="003F75F6"/>
    <w:rsid w:val="00404670"/>
    <w:rsid w:val="00405C3B"/>
    <w:rsid w:val="00414BB0"/>
    <w:rsid w:val="00414CA0"/>
    <w:rsid w:val="00422F54"/>
    <w:rsid w:val="004314A3"/>
    <w:rsid w:val="00431516"/>
    <w:rsid w:val="004361B3"/>
    <w:rsid w:val="0044249D"/>
    <w:rsid w:val="0044379F"/>
    <w:rsid w:val="00444747"/>
    <w:rsid w:val="00446FB1"/>
    <w:rsid w:val="00460421"/>
    <w:rsid w:val="0046078F"/>
    <w:rsid w:val="00462422"/>
    <w:rsid w:val="00462F21"/>
    <w:rsid w:val="00463214"/>
    <w:rsid w:val="00463B81"/>
    <w:rsid w:val="0046434D"/>
    <w:rsid w:val="004656FA"/>
    <w:rsid w:val="004668B9"/>
    <w:rsid w:val="00471D77"/>
    <w:rsid w:val="00475587"/>
    <w:rsid w:val="00480BC2"/>
    <w:rsid w:val="00487A44"/>
    <w:rsid w:val="004929C2"/>
    <w:rsid w:val="00493FDD"/>
    <w:rsid w:val="00494B41"/>
    <w:rsid w:val="0049586B"/>
    <w:rsid w:val="00496882"/>
    <w:rsid w:val="004A3E44"/>
    <w:rsid w:val="004A7983"/>
    <w:rsid w:val="004B2896"/>
    <w:rsid w:val="004B38E9"/>
    <w:rsid w:val="004B3FBA"/>
    <w:rsid w:val="004B556F"/>
    <w:rsid w:val="004B5866"/>
    <w:rsid w:val="004B6599"/>
    <w:rsid w:val="004C2DB8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54E"/>
    <w:rsid w:val="004F677C"/>
    <w:rsid w:val="004F6D8F"/>
    <w:rsid w:val="00505503"/>
    <w:rsid w:val="00505DB0"/>
    <w:rsid w:val="00507703"/>
    <w:rsid w:val="0051107B"/>
    <w:rsid w:val="00511D9A"/>
    <w:rsid w:val="00512F9C"/>
    <w:rsid w:val="00513D67"/>
    <w:rsid w:val="005228FA"/>
    <w:rsid w:val="00527CDB"/>
    <w:rsid w:val="005317FB"/>
    <w:rsid w:val="005341C9"/>
    <w:rsid w:val="005369CA"/>
    <w:rsid w:val="00536DE9"/>
    <w:rsid w:val="00540668"/>
    <w:rsid w:val="00541E08"/>
    <w:rsid w:val="0055789A"/>
    <w:rsid w:val="005627DC"/>
    <w:rsid w:val="00562A7A"/>
    <w:rsid w:val="005652D1"/>
    <w:rsid w:val="005660A0"/>
    <w:rsid w:val="00566A4F"/>
    <w:rsid w:val="00566EB7"/>
    <w:rsid w:val="00567D64"/>
    <w:rsid w:val="00572BC2"/>
    <w:rsid w:val="00575A6B"/>
    <w:rsid w:val="005938ED"/>
    <w:rsid w:val="00593A01"/>
    <w:rsid w:val="0059478C"/>
    <w:rsid w:val="005978D4"/>
    <w:rsid w:val="005A3A6C"/>
    <w:rsid w:val="005B2A67"/>
    <w:rsid w:val="005B3DCD"/>
    <w:rsid w:val="005B4AD4"/>
    <w:rsid w:val="005B5CC7"/>
    <w:rsid w:val="005B7679"/>
    <w:rsid w:val="005C1E0A"/>
    <w:rsid w:val="005C2798"/>
    <w:rsid w:val="005C36C3"/>
    <w:rsid w:val="005C56EE"/>
    <w:rsid w:val="005C5D4B"/>
    <w:rsid w:val="005D1714"/>
    <w:rsid w:val="005D2D39"/>
    <w:rsid w:val="005D7638"/>
    <w:rsid w:val="005E040A"/>
    <w:rsid w:val="005E1B33"/>
    <w:rsid w:val="005F12F5"/>
    <w:rsid w:val="005F4B4F"/>
    <w:rsid w:val="005F7C7D"/>
    <w:rsid w:val="0060061D"/>
    <w:rsid w:val="0060256A"/>
    <w:rsid w:val="006044B7"/>
    <w:rsid w:val="006071CE"/>
    <w:rsid w:val="006075B5"/>
    <w:rsid w:val="0061018C"/>
    <w:rsid w:val="0061094E"/>
    <w:rsid w:val="00613440"/>
    <w:rsid w:val="00613BE3"/>
    <w:rsid w:val="00621B0C"/>
    <w:rsid w:val="00622FD9"/>
    <w:rsid w:val="0062327B"/>
    <w:rsid w:val="00632777"/>
    <w:rsid w:val="00633750"/>
    <w:rsid w:val="00634491"/>
    <w:rsid w:val="0063679C"/>
    <w:rsid w:val="00637055"/>
    <w:rsid w:val="00641D59"/>
    <w:rsid w:val="00644507"/>
    <w:rsid w:val="00645653"/>
    <w:rsid w:val="00646880"/>
    <w:rsid w:val="00647D2A"/>
    <w:rsid w:val="006537BB"/>
    <w:rsid w:val="0065711B"/>
    <w:rsid w:val="00665CE6"/>
    <w:rsid w:val="00671785"/>
    <w:rsid w:val="00672BA9"/>
    <w:rsid w:val="00673005"/>
    <w:rsid w:val="0067615A"/>
    <w:rsid w:val="006804BE"/>
    <w:rsid w:val="0069008E"/>
    <w:rsid w:val="0069087E"/>
    <w:rsid w:val="00691191"/>
    <w:rsid w:val="006925C4"/>
    <w:rsid w:val="0069309C"/>
    <w:rsid w:val="00694929"/>
    <w:rsid w:val="00694DA6"/>
    <w:rsid w:val="006A02B7"/>
    <w:rsid w:val="006A1118"/>
    <w:rsid w:val="006A5B9D"/>
    <w:rsid w:val="006A7E04"/>
    <w:rsid w:val="006B41D8"/>
    <w:rsid w:val="006B46D5"/>
    <w:rsid w:val="006B46F4"/>
    <w:rsid w:val="006B4E79"/>
    <w:rsid w:val="006B757F"/>
    <w:rsid w:val="006C2DBC"/>
    <w:rsid w:val="006C70E6"/>
    <w:rsid w:val="006C7AF3"/>
    <w:rsid w:val="006D6548"/>
    <w:rsid w:val="006E006A"/>
    <w:rsid w:val="006E0E20"/>
    <w:rsid w:val="006E1C7C"/>
    <w:rsid w:val="006E4256"/>
    <w:rsid w:val="006E4BBA"/>
    <w:rsid w:val="006E514F"/>
    <w:rsid w:val="006E5DCB"/>
    <w:rsid w:val="006E5DE5"/>
    <w:rsid w:val="006E5F43"/>
    <w:rsid w:val="006E60A6"/>
    <w:rsid w:val="006E7FE9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32783"/>
    <w:rsid w:val="0073574E"/>
    <w:rsid w:val="007437AB"/>
    <w:rsid w:val="0074794C"/>
    <w:rsid w:val="007511AA"/>
    <w:rsid w:val="007534F8"/>
    <w:rsid w:val="00753C02"/>
    <w:rsid w:val="00754593"/>
    <w:rsid w:val="007545AD"/>
    <w:rsid w:val="00763722"/>
    <w:rsid w:val="00764BC1"/>
    <w:rsid w:val="007665AB"/>
    <w:rsid w:val="00770796"/>
    <w:rsid w:val="00770869"/>
    <w:rsid w:val="007738AA"/>
    <w:rsid w:val="007769CD"/>
    <w:rsid w:val="00780A62"/>
    <w:rsid w:val="00781863"/>
    <w:rsid w:val="00783241"/>
    <w:rsid w:val="007838EC"/>
    <w:rsid w:val="00784BDC"/>
    <w:rsid w:val="00786E0E"/>
    <w:rsid w:val="00792F28"/>
    <w:rsid w:val="0079543F"/>
    <w:rsid w:val="00795565"/>
    <w:rsid w:val="00795880"/>
    <w:rsid w:val="00796758"/>
    <w:rsid w:val="007A4367"/>
    <w:rsid w:val="007A5D73"/>
    <w:rsid w:val="007A6735"/>
    <w:rsid w:val="007B0867"/>
    <w:rsid w:val="007B1AC1"/>
    <w:rsid w:val="007B4CAD"/>
    <w:rsid w:val="007B5A08"/>
    <w:rsid w:val="007B5E3B"/>
    <w:rsid w:val="007B67AE"/>
    <w:rsid w:val="007B693D"/>
    <w:rsid w:val="007B718F"/>
    <w:rsid w:val="007B73EB"/>
    <w:rsid w:val="007C5242"/>
    <w:rsid w:val="007C77DC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5CCC"/>
    <w:rsid w:val="00806EA2"/>
    <w:rsid w:val="00810913"/>
    <w:rsid w:val="00812A2B"/>
    <w:rsid w:val="00814A4C"/>
    <w:rsid w:val="00831AAB"/>
    <w:rsid w:val="0083574E"/>
    <w:rsid w:val="0083640C"/>
    <w:rsid w:val="0084157B"/>
    <w:rsid w:val="00842BFB"/>
    <w:rsid w:val="00845F0F"/>
    <w:rsid w:val="00846B85"/>
    <w:rsid w:val="00847DC3"/>
    <w:rsid w:val="00847F49"/>
    <w:rsid w:val="0085082F"/>
    <w:rsid w:val="008535A0"/>
    <w:rsid w:val="008535C5"/>
    <w:rsid w:val="00853765"/>
    <w:rsid w:val="00853962"/>
    <w:rsid w:val="0085516F"/>
    <w:rsid w:val="00855FD7"/>
    <w:rsid w:val="00861278"/>
    <w:rsid w:val="00865246"/>
    <w:rsid w:val="00867186"/>
    <w:rsid w:val="00870AF6"/>
    <w:rsid w:val="00881268"/>
    <w:rsid w:val="00881642"/>
    <w:rsid w:val="0088394A"/>
    <w:rsid w:val="008860BD"/>
    <w:rsid w:val="00887399"/>
    <w:rsid w:val="0088779E"/>
    <w:rsid w:val="008912AF"/>
    <w:rsid w:val="00892114"/>
    <w:rsid w:val="00892CB9"/>
    <w:rsid w:val="008935CB"/>
    <w:rsid w:val="00895577"/>
    <w:rsid w:val="008B0982"/>
    <w:rsid w:val="008B0E7E"/>
    <w:rsid w:val="008B5FF0"/>
    <w:rsid w:val="008B65BD"/>
    <w:rsid w:val="008B7900"/>
    <w:rsid w:val="008C71BF"/>
    <w:rsid w:val="008C7FE0"/>
    <w:rsid w:val="008D3762"/>
    <w:rsid w:val="008D5634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337"/>
    <w:rsid w:val="008F7C55"/>
    <w:rsid w:val="0090338C"/>
    <w:rsid w:val="009071CC"/>
    <w:rsid w:val="009074EC"/>
    <w:rsid w:val="00913007"/>
    <w:rsid w:val="00914A23"/>
    <w:rsid w:val="00917583"/>
    <w:rsid w:val="00930754"/>
    <w:rsid w:val="009309EE"/>
    <w:rsid w:val="00931164"/>
    <w:rsid w:val="00934F68"/>
    <w:rsid w:val="009355AC"/>
    <w:rsid w:val="00935F38"/>
    <w:rsid w:val="00937586"/>
    <w:rsid w:val="00941663"/>
    <w:rsid w:val="00947889"/>
    <w:rsid w:val="0095405B"/>
    <w:rsid w:val="00954F9F"/>
    <w:rsid w:val="0095662E"/>
    <w:rsid w:val="00960E98"/>
    <w:rsid w:val="00963A82"/>
    <w:rsid w:val="00972912"/>
    <w:rsid w:val="00972CA0"/>
    <w:rsid w:val="00976D1F"/>
    <w:rsid w:val="00981C81"/>
    <w:rsid w:val="00992209"/>
    <w:rsid w:val="009A0085"/>
    <w:rsid w:val="009A2D24"/>
    <w:rsid w:val="009A456C"/>
    <w:rsid w:val="009A4B24"/>
    <w:rsid w:val="009B00E0"/>
    <w:rsid w:val="009B2642"/>
    <w:rsid w:val="009B292A"/>
    <w:rsid w:val="009B76D5"/>
    <w:rsid w:val="009C165D"/>
    <w:rsid w:val="009C37F7"/>
    <w:rsid w:val="009C3BCB"/>
    <w:rsid w:val="009C3CEA"/>
    <w:rsid w:val="009C583D"/>
    <w:rsid w:val="009C713C"/>
    <w:rsid w:val="009C7871"/>
    <w:rsid w:val="009D0E7D"/>
    <w:rsid w:val="009D2611"/>
    <w:rsid w:val="009D79D2"/>
    <w:rsid w:val="009E247C"/>
    <w:rsid w:val="009E2F23"/>
    <w:rsid w:val="009E31BA"/>
    <w:rsid w:val="009E4AAC"/>
    <w:rsid w:val="009E6318"/>
    <w:rsid w:val="009F0528"/>
    <w:rsid w:val="009F0806"/>
    <w:rsid w:val="009F0A0E"/>
    <w:rsid w:val="009F0B47"/>
    <w:rsid w:val="009F1AEC"/>
    <w:rsid w:val="009F233B"/>
    <w:rsid w:val="009F6128"/>
    <w:rsid w:val="00A04A80"/>
    <w:rsid w:val="00A05D16"/>
    <w:rsid w:val="00A0659F"/>
    <w:rsid w:val="00A06740"/>
    <w:rsid w:val="00A079BA"/>
    <w:rsid w:val="00A11DCB"/>
    <w:rsid w:val="00A159C3"/>
    <w:rsid w:val="00A33875"/>
    <w:rsid w:val="00A360A1"/>
    <w:rsid w:val="00A402B3"/>
    <w:rsid w:val="00A453EB"/>
    <w:rsid w:val="00A47131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9635B"/>
    <w:rsid w:val="00AA1B8E"/>
    <w:rsid w:val="00AA1D9B"/>
    <w:rsid w:val="00AA2543"/>
    <w:rsid w:val="00AA3804"/>
    <w:rsid w:val="00AA3F15"/>
    <w:rsid w:val="00AA55C2"/>
    <w:rsid w:val="00AB0ACA"/>
    <w:rsid w:val="00AB0C9A"/>
    <w:rsid w:val="00AB0DAB"/>
    <w:rsid w:val="00AB1D41"/>
    <w:rsid w:val="00AC5E9A"/>
    <w:rsid w:val="00AC67F4"/>
    <w:rsid w:val="00AC704B"/>
    <w:rsid w:val="00AD553E"/>
    <w:rsid w:val="00AD5848"/>
    <w:rsid w:val="00AE3CD1"/>
    <w:rsid w:val="00AE5ADA"/>
    <w:rsid w:val="00AF0115"/>
    <w:rsid w:val="00AF4208"/>
    <w:rsid w:val="00AF6145"/>
    <w:rsid w:val="00AF6ED8"/>
    <w:rsid w:val="00B01386"/>
    <w:rsid w:val="00B01BB5"/>
    <w:rsid w:val="00B04AF4"/>
    <w:rsid w:val="00B05214"/>
    <w:rsid w:val="00B0736F"/>
    <w:rsid w:val="00B12479"/>
    <w:rsid w:val="00B17632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002D"/>
    <w:rsid w:val="00B618C3"/>
    <w:rsid w:val="00B63652"/>
    <w:rsid w:val="00B65098"/>
    <w:rsid w:val="00B668B0"/>
    <w:rsid w:val="00B70F5C"/>
    <w:rsid w:val="00B71873"/>
    <w:rsid w:val="00B730BB"/>
    <w:rsid w:val="00B75AE5"/>
    <w:rsid w:val="00B800C0"/>
    <w:rsid w:val="00B8132B"/>
    <w:rsid w:val="00B84C5A"/>
    <w:rsid w:val="00B84F7B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2658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BF6996"/>
    <w:rsid w:val="00BF7A18"/>
    <w:rsid w:val="00C016F3"/>
    <w:rsid w:val="00C13E0F"/>
    <w:rsid w:val="00C15193"/>
    <w:rsid w:val="00C15609"/>
    <w:rsid w:val="00C15F6A"/>
    <w:rsid w:val="00C166C2"/>
    <w:rsid w:val="00C22EB0"/>
    <w:rsid w:val="00C23EA7"/>
    <w:rsid w:val="00C256F3"/>
    <w:rsid w:val="00C26329"/>
    <w:rsid w:val="00C270A2"/>
    <w:rsid w:val="00C315B5"/>
    <w:rsid w:val="00C32223"/>
    <w:rsid w:val="00C32D3A"/>
    <w:rsid w:val="00C35E28"/>
    <w:rsid w:val="00C406F8"/>
    <w:rsid w:val="00C426AF"/>
    <w:rsid w:val="00C434E1"/>
    <w:rsid w:val="00C469C1"/>
    <w:rsid w:val="00C4733D"/>
    <w:rsid w:val="00C50659"/>
    <w:rsid w:val="00C507DF"/>
    <w:rsid w:val="00C51B39"/>
    <w:rsid w:val="00C528FD"/>
    <w:rsid w:val="00C5338A"/>
    <w:rsid w:val="00C54EF9"/>
    <w:rsid w:val="00C561A5"/>
    <w:rsid w:val="00C56546"/>
    <w:rsid w:val="00C56BBF"/>
    <w:rsid w:val="00C572AA"/>
    <w:rsid w:val="00C57A9A"/>
    <w:rsid w:val="00C6016A"/>
    <w:rsid w:val="00C60B3F"/>
    <w:rsid w:val="00C623EB"/>
    <w:rsid w:val="00C6258A"/>
    <w:rsid w:val="00C64785"/>
    <w:rsid w:val="00C64B80"/>
    <w:rsid w:val="00C64C6B"/>
    <w:rsid w:val="00C65138"/>
    <w:rsid w:val="00C66F2E"/>
    <w:rsid w:val="00C6785C"/>
    <w:rsid w:val="00C70FD1"/>
    <w:rsid w:val="00C72992"/>
    <w:rsid w:val="00C733AA"/>
    <w:rsid w:val="00C83027"/>
    <w:rsid w:val="00C84B8A"/>
    <w:rsid w:val="00C85E65"/>
    <w:rsid w:val="00C87CA1"/>
    <w:rsid w:val="00C911B4"/>
    <w:rsid w:val="00C91B3B"/>
    <w:rsid w:val="00C94262"/>
    <w:rsid w:val="00C94FF5"/>
    <w:rsid w:val="00C976E1"/>
    <w:rsid w:val="00CA148E"/>
    <w:rsid w:val="00CA2B02"/>
    <w:rsid w:val="00CA3A9A"/>
    <w:rsid w:val="00CA6F39"/>
    <w:rsid w:val="00CB6BC1"/>
    <w:rsid w:val="00CB7021"/>
    <w:rsid w:val="00CC4CDF"/>
    <w:rsid w:val="00CD3294"/>
    <w:rsid w:val="00CD4524"/>
    <w:rsid w:val="00CD784D"/>
    <w:rsid w:val="00CE4212"/>
    <w:rsid w:val="00CF40F8"/>
    <w:rsid w:val="00D008DA"/>
    <w:rsid w:val="00D013B6"/>
    <w:rsid w:val="00D0416F"/>
    <w:rsid w:val="00D05851"/>
    <w:rsid w:val="00D05E7C"/>
    <w:rsid w:val="00D10FED"/>
    <w:rsid w:val="00D11736"/>
    <w:rsid w:val="00D11D0B"/>
    <w:rsid w:val="00D12EE8"/>
    <w:rsid w:val="00D15FF1"/>
    <w:rsid w:val="00D167F4"/>
    <w:rsid w:val="00D2092A"/>
    <w:rsid w:val="00D21E57"/>
    <w:rsid w:val="00D2216D"/>
    <w:rsid w:val="00D31929"/>
    <w:rsid w:val="00D31A6F"/>
    <w:rsid w:val="00D33293"/>
    <w:rsid w:val="00D353D1"/>
    <w:rsid w:val="00D36486"/>
    <w:rsid w:val="00D367DB"/>
    <w:rsid w:val="00D36E05"/>
    <w:rsid w:val="00D44F27"/>
    <w:rsid w:val="00D45304"/>
    <w:rsid w:val="00D461C7"/>
    <w:rsid w:val="00D50424"/>
    <w:rsid w:val="00D50BC1"/>
    <w:rsid w:val="00D543A3"/>
    <w:rsid w:val="00D57D3E"/>
    <w:rsid w:val="00D62C52"/>
    <w:rsid w:val="00D62E35"/>
    <w:rsid w:val="00D64C74"/>
    <w:rsid w:val="00D73B89"/>
    <w:rsid w:val="00D843F4"/>
    <w:rsid w:val="00D9771B"/>
    <w:rsid w:val="00DA6CD2"/>
    <w:rsid w:val="00DB406A"/>
    <w:rsid w:val="00DC23CF"/>
    <w:rsid w:val="00DC6562"/>
    <w:rsid w:val="00DC6B6A"/>
    <w:rsid w:val="00DD38D4"/>
    <w:rsid w:val="00DD3D8A"/>
    <w:rsid w:val="00DE130D"/>
    <w:rsid w:val="00DE24CF"/>
    <w:rsid w:val="00DE407C"/>
    <w:rsid w:val="00DE7C7D"/>
    <w:rsid w:val="00DF2992"/>
    <w:rsid w:val="00DF2D0C"/>
    <w:rsid w:val="00DF2F99"/>
    <w:rsid w:val="00E00241"/>
    <w:rsid w:val="00E01B9D"/>
    <w:rsid w:val="00E04F5E"/>
    <w:rsid w:val="00E0522E"/>
    <w:rsid w:val="00E07829"/>
    <w:rsid w:val="00E120F4"/>
    <w:rsid w:val="00E155F9"/>
    <w:rsid w:val="00E17172"/>
    <w:rsid w:val="00E21A8D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5464F"/>
    <w:rsid w:val="00E606F1"/>
    <w:rsid w:val="00E63309"/>
    <w:rsid w:val="00E63F34"/>
    <w:rsid w:val="00E6715A"/>
    <w:rsid w:val="00E75DC9"/>
    <w:rsid w:val="00E81610"/>
    <w:rsid w:val="00E8311B"/>
    <w:rsid w:val="00E84910"/>
    <w:rsid w:val="00E85B28"/>
    <w:rsid w:val="00E86032"/>
    <w:rsid w:val="00E91019"/>
    <w:rsid w:val="00E91976"/>
    <w:rsid w:val="00E93DBF"/>
    <w:rsid w:val="00E947A6"/>
    <w:rsid w:val="00E9578E"/>
    <w:rsid w:val="00E97FC7"/>
    <w:rsid w:val="00EA0690"/>
    <w:rsid w:val="00EA3956"/>
    <w:rsid w:val="00EA5571"/>
    <w:rsid w:val="00EC02A5"/>
    <w:rsid w:val="00EC176B"/>
    <w:rsid w:val="00EC1996"/>
    <w:rsid w:val="00EC33CD"/>
    <w:rsid w:val="00EC5BE5"/>
    <w:rsid w:val="00EC5FF4"/>
    <w:rsid w:val="00ED2650"/>
    <w:rsid w:val="00ED45AC"/>
    <w:rsid w:val="00ED721A"/>
    <w:rsid w:val="00ED7DBB"/>
    <w:rsid w:val="00EE06AE"/>
    <w:rsid w:val="00EE393D"/>
    <w:rsid w:val="00EE3E6A"/>
    <w:rsid w:val="00EF01CF"/>
    <w:rsid w:val="00EF2BB7"/>
    <w:rsid w:val="00EF3D7B"/>
    <w:rsid w:val="00EF6A66"/>
    <w:rsid w:val="00EF7AF9"/>
    <w:rsid w:val="00F01495"/>
    <w:rsid w:val="00F01EE6"/>
    <w:rsid w:val="00F058E6"/>
    <w:rsid w:val="00F10138"/>
    <w:rsid w:val="00F12E57"/>
    <w:rsid w:val="00F13F92"/>
    <w:rsid w:val="00F22ECA"/>
    <w:rsid w:val="00F240E8"/>
    <w:rsid w:val="00F244FA"/>
    <w:rsid w:val="00F3363A"/>
    <w:rsid w:val="00F33E37"/>
    <w:rsid w:val="00F35365"/>
    <w:rsid w:val="00F366A2"/>
    <w:rsid w:val="00F44F02"/>
    <w:rsid w:val="00F44F43"/>
    <w:rsid w:val="00F450E1"/>
    <w:rsid w:val="00F50DF4"/>
    <w:rsid w:val="00F5259D"/>
    <w:rsid w:val="00F54D52"/>
    <w:rsid w:val="00F573CC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8787B"/>
    <w:rsid w:val="00F87BB0"/>
    <w:rsid w:val="00F92EE4"/>
    <w:rsid w:val="00FA0113"/>
    <w:rsid w:val="00FA12B2"/>
    <w:rsid w:val="00FA4B1C"/>
    <w:rsid w:val="00FA7610"/>
    <w:rsid w:val="00FB02BD"/>
    <w:rsid w:val="00FB398F"/>
    <w:rsid w:val="00FB4EF8"/>
    <w:rsid w:val="00FB615D"/>
    <w:rsid w:val="00FB6692"/>
    <w:rsid w:val="00FB78DD"/>
    <w:rsid w:val="00FC125E"/>
    <w:rsid w:val="00FC3EF3"/>
    <w:rsid w:val="00FC5ED9"/>
    <w:rsid w:val="00FD01DF"/>
    <w:rsid w:val="00FD2049"/>
    <w:rsid w:val="00FD2140"/>
    <w:rsid w:val="00FD5BDE"/>
    <w:rsid w:val="00FD68EC"/>
    <w:rsid w:val="00FE0476"/>
    <w:rsid w:val="00FE24A5"/>
    <w:rsid w:val="00FE31E5"/>
    <w:rsid w:val="00FE3400"/>
    <w:rsid w:val="00FF18EC"/>
    <w:rsid w:val="00FF19AD"/>
    <w:rsid w:val="00FF19E0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6F6E4A38-DBEE-4F3F-A372-EA106FEF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4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0BC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00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oan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163C-F75A-4553-A2E0-14E725C0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Theodoulou  George</cp:lastModifiedBy>
  <cp:revision>4</cp:revision>
  <cp:lastPrinted>2025-04-17T07:29:00Z</cp:lastPrinted>
  <dcterms:created xsi:type="dcterms:W3CDTF">2025-04-23T07:47:00Z</dcterms:created>
  <dcterms:modified xsi:type="dcterms:W3CDTF">2025-04-23T08:39:00Z</dcterms:modified>
</cp:coreProperties>
</file>