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E9A7D" w14:textId="77777777" w:rsidR="002131E5" w:rsidRDefault="002131E5" w:rsidP="000D572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E525D16" w14:textId="1FB1A2A6" w:rsidR="000D572B" w:rsidRPr="000D572B" w:rsidRDefault="000133B9" w:rsidP="000D572B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C74A87">
        <w:rPr>
          <w:rFonts w:ascii="Verdana" w:hAnsi="Verdana" w:cs="Arial"/>
          <w:sz w:val="18"/>
          <w:szCs w:val="18"/>
          <w:lang w:val="el-GR"/>
        </w:rPr>
        <w:t>3</w:t>
      </w:r>
      <w:r w:rsidR="000D572B" w:rsidRPr="000D572B">
        <w:rPr>
          <w:rFonts w:ascii="Verdana" w:hAnsi="Verdana" w:cs="Arial"/>
          <w:sz w:val="18"/>
          <w:szCs w:val="18"/>
          <w:lang w:val="el-GR"/>
        </w:rPr>
        <w:t xml:space="preserve"> </w:t>
      </w:r>
      <w:r w:rsidR="001B14CA">
        <w:rPr>
          <w:rFonts w:ascii="Verdana" w:hAnsi="Verdana" w:cs="Arial"/>
          <w:sz w:val="18"/>
          <w:szCs w:val="18"/>
          <w:lang w:val="el-GR"/>
        </w:rPr>
        <w:t>Ιουνίου</w:t>
      </w:r>
      <w:r w:rsidR="000D572B" w:rsidRPr="000D572B">
        <w:rPr>
          <w:rFonts w:ascii="Verdana" w:hAnsi="Verdana" w:cs="Arial"/>
          <w:sz w:val="18"/>
          <w:szCs w:val="18"/>
          <w:lang w:val="el-GR"/>
        </w:rPr>
        <w:t>, 202</w:t>
      </w:r>
      <w:r w:rsidR="00445EFC">
        <w:rPr>
          <w:rFonts w:ascii="Verdana" w:hAnsi="Verdana" w:cs="Arial"/>
          <w:sz w:val="18"/>
          <w:szCs w:val="18"/>
          <w:lang w:val="el-GR"/>
        </w:rPr>
        <w:t>4</w:t>
      </w:r>
    </w:p>
    <w:p w14:paraId="14647AD0" w14:textId="77777777" w:rsidR="000D572B" w:rsidRDefault="000D572B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3940E" w14:textId="77777777" w:rsidR="002131E5" w:rsidRPr="000D572B" w:rsidRDefault="002131E5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2A0584C" w14:textId="77777777" w:rsidR="000D572B" w:rsidRPr="000D572B" w:rsidRDefault="000D572B" w:rsidP="000D572B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0D572B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1C2CBE7A" w14:textId="77777777" w:rsidR="000D572B" w:rsidRDefault="000D572B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1FA8FA7" w14:textId="77777777" w:rsidR="002131E5" w:rsidRPr="000D572B" w:rsidRDefault="002131E5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46A135C" w14:textId="5945CC58" w:rsidR="000D572B" w:rsidRPr="0052111E" w:rsidRDefault="00B90040" w:rsidP="000D572B">
      <w:pPr>
        <w:jc w:val="both"/>
        <w:rPr>
          <w:rFonts w:ascii="Verdana" w:hAnsi="Verdana" w:cs="Arial"/>
          <w:u w:val="single"/>
          <w:lang w:val="el-GR"/>
        </w:rPr>
      </w:pPr>
      <w:r w:rsidRPr="002131E5">
        <w:rPr>
          <w:rFonts w:ascii="Verdana" w:hAnsi="Verdana" w:cs="Arial"/>
          <w:u w:val="single"/>
          <w:lang w:val="el-GR"/>
        </w:rPr>
        <w:t>ΤΡΙΜΗΝΙΑΙΟΙ ΕΘΝΙΚΟΙ ΛΟΓΑΡΙΑΣΜΟΙ</w:t>
      </w:r>
      <w:r w:rsidR="000D572B" w:rsidRPr="000D572B">
        <w:rPr>
          <w:rFonts w:ascii="Verdana" w:hAnsi="Verdana" w:cs="Arial"/>
          <w:u w:val="single"/>
          <w:lang w:val="el-GR"/>
        </w:rPr>
        <w:t xml:space="preserve">: </w:t>
      </w:r>
      <w:r w:rsidR="0052111E" w:rsidRPr="0052111E">
        <w:rPr>
          <w:rFonts w:ascii="Verdana" w:hAnsi="Verdana" w:cs="Arial"/>
          <w:b/>
          <w:u w:val="single"/>
          <w:lang w:val="el-GR"/>
        </w:rPr>
        <w:t>1</w:t>
      </w:r>
      <w:r w:rsidR="000D572B" w:rsidRPr="000D572B">
        <w:rPr>
          <w:rFonts w:ascii="Verdana" w:hAnsi="Verdana" w:cs="Arial"/>
          <w:b/>
          <w:bCs/>
          <w:u w:val="single"/>
          <w:lang w:val="el-GR"/>
        </w:rPr>
        <w:t>ο ΤΡΙΜΗΝΟ 202</w:t>
      </w:r>
      <w:r w:rsidR="0052111E" w:rsidRPr="0052111E">
        <w:rPr>
          <w:rFonts w:ascii="Verdana" w:hAnsi="Verdana" w:cs="Arial"/>
          <w:b/>
          <w:bCs/>
          <w:u w:val="single"/>
          <w:lang w:val="el-GR"/>
        </w:rPr>
        <w:t>4</w:t>
      </w:r>
    </w:p>
    <w:p w14:paraId="5C7A441B" w14:textId="77777777" w:rsidR="00B90040" w:rsidRPr="000D572B" w:rsidRDefault="00B90040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D484B5" w14:textId="5135A912" w:rsidR="000D572B" w:rsidRPr="000D572B" w:rsidRDefault="000D572B" w:rsidP="000D572B">
      <w:pPr>
        <w:jc w:val="center"/>
        <w:rPr>
          <w:rFonts w:ascii="Verdana" w:hAnsi="Verdana" w:cs="Arial"/>
          <w:b/>
          <w:bCs/>
          <w:lang w:val="el-GR"/>
        </w:rPr>
      </w:pPr>
      <w:r w:rsidRPr="000D572B">
        <w:rPr>
          <w:rFonts w:ascii="Verdana" w:hAnsi="Verdana" w:cs="Arial"/>
          <w:b/>
          <w:bCs/>
          <w:lang w:val="el-GR"/>
        </w:rPr>
        <w:t xml:space="preserve">Ρυθμός Ανάπτυξης </w:t>
      </w:r>
      <w:r w:rsidR="0042141A" w:rsidRPr="0042141A">
        <w:rPr>
          <w:rFonts w:ascii="Verdana" w:hAnsi="Verdana" w:cs="Arial"/>
          <w:b/>
          <w:bCs/>
          <w:lang w:val="el-GR"/>
        </w:rPr>
        <w:t>3</w:t>
      </w:r>
      <w:r w:rsidRPr="000D572B">
        <w:rPr>
          <w:rFonts w:ascii="Verdana" w:hAnsi="Verdana" w:cs="Arial"/>
          <w:b/>
          <w:bCs/>
          <w:lang w:val="el-GR"/>
        </w:rPr>
        <w:t>,</w:t>
      </w:r>
      <w:r w:rsidR="0042141A" w:rsidRPr="0042141A">
        <w:rPr>
          <w:rFonts w:ascii="Verdana" w:hAnsi="Verdana" w:cs="Arial"/>
          <w:b/>
          <w:bCs/>
          <w:lang w:val="el-GR"/>
        </w:rPr>
        <w:t>5</w:t>
      </w:r>
      <w:r w:rsidRPr="000D572B">
        <w:rPr>
          <w:rFonts w:ascii="Verdana" w:hAnsi="Verdana" w:cs="Arial"/>
          <w:b/>
          <w:bCs/>
          <w:lang w:val="el-GR"/>
        </w:rPr>
        <w:t>%</w:t>
      </w:r>
    </w:p>
    <w:p w14:paraId="28F093F5" w14:textId="77777777" w:rsidR="000D572B" w:rsidRPr="00FD4722" w:rsidRDefault="000D572B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26D3737" w14:textId="6F26B298" w:rsidR="000D572B" w:rsidRPr="00FD4722" w:rsidRDefault="000D572B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D4722">
        <w:rPr>
          <w:rFonts w:ascii="Verdana" w:hAnsi="Verdana" w:cs="Arial"/>
          <w:sz w:val="18"/>
          <w:szCs w:val="18"/>
          <w:lang w:val="el-GR"/>
        </w:rPr>
        <w:t xml:space="preserve">Ο 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 xml:space="preserve">ρυθμός ανάπτυξης της οικονομίας κατά το </w:t>
      </w:r>
      <w:r w:rsidR="0052111E">
        <w:rPr>
          <w:rFonts w:ascii="Verdana" w:hAnsi="Verdana" w:cs="Arial"/>
          <w:sz w:val="18"/>
          <w:szCs w:val="18"/>
          <w:lang w:val="el-GR"/>
        </w:rPr>
        <w:t>πρώ</w:t>
      </w:r>
      <w:r w:rsidR="00445EFC">
        <w:rPr>
          <w:rFonts w:ascii="Verdana" w:hAnsi="Verdana" w:cs="Arial"/>
          <w:sz w:val="18"/>
          <w:szCs w:val="18"/>
          <w:lang w:val="el-GR"/>
        </w:rPr>
        <w:t>το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52111E">
        <w:rPr>
          <w:rFonts w:ascii="Verdana" w:hAnsi="Verdana" w:cs="Arial"/>
          <w:sz w:val="18"/>
          <w:szCs w:val="18"/>
          <w:lang w:val="el-GR"/>
        </w:rPr>
        <w:t>4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 xml:space="preserve"> είναι θετικός και υπολογίζεται σε </w:t>
      </w:r>
      <w:r w:rsidR="0042141A" w:rsidRPr="0042141A">
        <w:rPr>
          <w:rFonts w:ascii="Verdana" w:hAnsi="Verdana" w:cs="Arial"/>
          <w:sz w:val="18"/>
          <w:szCs w:val="18"/>
          <w:lang w:val="el-GR"/>
        </w:rPr>
        <w:t>3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>,</w:t>
      </w:r>
      <w:r w:rsidR="0042141A" w:rsidRPr="0042141A">
        <w:rPr>
          <w:rFonts w:ascii="Verdana" w:hAnsi="Verdana" w:cs="Arial"/>
          <w:sz w:val="18"/>
          <w:szCs w:val="18"/>
          <w:lang w:val="el-GR"/>
        </w:rPr>
        <w:t>5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>% σε σύγκριση με το αντίστοιχο τρίμηνο του 202</w:t>
      </w:r>
      <w:r w:rsidR="0052111E">
        <w:rPr>
          <w:rFonts w:ascii="Verdana" w:hAnsi="Verdana" w:cs="Arial"/>
          <w:sz w:val="18"/>
          <w:szCs w:val="18"/>
          <w:lang w:val="el-GR"/>
        </w:rPr>
        <w:t>3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 xml:space="preserve">. Μετά τη διόρθωση του ΑΕΠ ως προς τις εποχικές διακυμάνσεις και τις εργάσιμες μέρες, ο ρυθμός ανάπτυξης υπολογίζεται στο </w:t>
      </w:r>
      <w:r w:rsidR="0042141A" w:rsidRPr="0042141A">
        <w:rPr>
          <w:rFonts w:ascii="Verdana" w:hAnsi="Verdana" w:cs="Arial"/>
          <w:sz w:val="18"/>
          <w:szCs w:val="18"/>
          <w:lang w:val="el-GR"/>
        </w:rPr>
        <w:t>3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>,</w:t>
      </w:r>
      <w:r w:rsidR="0042141A" w:rsidRPr="0042141A">
        <w:rPr>
          <w:rFonts w:ascii="Verdana" w:hAnsi="Verdana" w:cs="Arial"/>
          <w:sz w:val="18"/>
          <w:szCs w:val="18"/>
          <w:lang w:val="el-GR"/>
        </w:rPr>
        <w:t>4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>%.</w:t>
      </w:r>
    </w:p>
    <w:p w14:paraId="6F0E521A" w14:textId="13709919" w:rsidR="001712CF" w:rsidRDefault="001712CF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C26C8C7" w14:textId="77777777" w:rsidR="002131E5" w:rsidRPr="00FD4722" w:rsidRDefault="002131E5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067E77" w14:textId="5124F169" w:rsidR="00110D15" w:rsidRPr="00483EAE" w:rsidRDefault="00483EAE" w:rsidP="00FD4722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1B459C2D" wp14:editId="1BBD885C">
            <wp:extent cx="6096635" cy="4395470"/>
            <wp:effectExtent l="0" t="0" r="0" b="5080"/>
            <wp:docPr id="1040568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E0C0D" w14:textId="6D1142DC" w:rsidR="001712CF" w:rsidRPr="00FD4722" w:rsidRDefault="001712CF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91D7AA0" w:rsidR="001712CF" w:rsidRPr="00FD4722" w:rsidRDefault="001712CF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B0C8082" w14:textId="0C4783B3" w:rsidR="002769F4" w:rsidRPr="00AC4505" w:rsidRDefault="002E331C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D4722">
        <w:rPr>
          <w:rFonts w:ascii="Verdana" w:hAnsi="Verdana" w:cs="Arial"/>
          <w:sz w:val="18"/>
          <w:szCs w:val="18"/>
          <w:lang w:val="el-GR"/>
        </w:rPr>
        <w:t>Όσον αφορά την προσέγγιση παραγωγής για τον υπολογισμό του ΑΕΠ, ο</w:t>
      </w:r>
      <w:r w:rsidR="002769F4" w:rsidRPr="00FD4722">
        <w:rPr>
          <w:rFonts w:ascii="Verdana" w:hAnsi="Verdana" w:cs="Arial"/>
          <w:sz w:val="18"/>
          <w:szCs w:val="18"/>
          <w:lang w:val="el-GR"/>
        </w:rPr>
        <w:t xml:space="preserve"> θετικός ρυθμός ανάπτυξης οφείλεται κυρίως στους τομείς: "Ξενοδοχεία και Εστιατόρια",</w:t>
      </w:r>
      <w:r w:rsidR="00FF1FE0" w:rsidRPr="00FF1FE0">
        <w:rPr>
          <w:rFonts w:ascii="Verdana" w:hAnsi="Verdana" w:cs="Arial"/>
          <w:sz w:val="18"/>
          <w:szCs w:val="18"/>
          <w:lang w:val="el-GR"/>
        </w:rPr>
        <w:t xml:space="preserve"> </w:t>
      </w:r>
      <w:r w:rsidR="00FF1FE0" w:rsidRPr="00FD4722">
        <w:rPr>
          <w:rFonts w:ascii="Verdana" w:hAnsi="Verdana" w:cs="Arial"/>
          <w:sz w:val="18"/>
          <w:szCs w:val="18"/>
          <w:lang w:val="el-GR"/>
        </w:rPr>
        <w:t>"</w:t>
      </w:r>
      <w:r w:rsidR="00FF1FE0">
        <w:rPr>
          <w:rFonts w:ascii="Verdana" w:hAnsi="Verdana" w:cs="Arial"/>
          <w:sz w:val="18"/>
          <w:szCs w:val="18"/>
          <w:lang w:val="el-GR"/>
        </w:rPr>
        <w:t>Κατασκευέ</w:t>
      </w:r>
      <w:r w:rsidR="00FF1FE0" w:rsidRPr="00FD4722">
        <w:rPr>
          <w:rFonts w:ascii="Verdana" w:hAnsi="Verdana" w:cs="Arial"/>
          <w:sz w:val="18"/>
          <w:szCs w:val="18"/>
          <w:lang w:val="el-GR"/>
        </w:rPr>
        <w:t>ς",</w:t>
      </w:r>
      <w:r w:rsidR="002769F4" w:rsidRPr="00FD4722">
        <w:rPr>
          <w:rFonts w:ascii="Verdana" w:hAnsi="Verdana" w:cs="Arial"/>
          <w:sz w:val="18"/>
          <w:szCs w:val="18"/>
          <w:lang w:val="el-GR"/>
        </w:rPr>
        <w:t xml:space="preserve"> "Ενημέρωση και Επικοινωνίες", "Χονδρικό και Λιανικό Εμπόριο, Επισκευή μηχανοκινήτων οχημάτων",</w:t>
      </w:r>
      <w:r w:rsidR="00F918D0" w:rsidRPr="00F918D0">
        <w:rPr>
          <w:rFonts w:ascii="Verdana" w:hAnsi="Verdana" w:cs="Arial"/>
          <w:sz w:val="18"/>
          <w:szCs w:val="18"/>
          <w:lang w:val="el-GR"/>
        </w:rPr>
        <w:t xml:space="preserve"> </w:t>
      </w:r>
      <w:r w:rsidR="002769F4" w:rsidRPr="00FD4722">
        <w:rPr>
          <w:rFonts w:ascii="Verdana" w:hAnsi="Verdana" w:cs="Arial"/>
          <w:sz w:val="18"/>
          <w:szCs w:val="18"/>
          <w:lang w:val="el-GR"/>
        </w:rPr>
        <w:t>"</w:t>
      </w:r>
      <w:r w:rsidR="004F5403" w:rsidRPr="004F5403">
        <w:rPr>
          <w:rFonts w:ascii="Verdana" w:hAnsi="Verdana" w:cs="Arial"/>
          <w:sz w:val="18"/>
          <w:szCs w:val="18"/>
          <w:lang w:val="el-GR"/>
        </w:rPr>
        <w:t>Τέχνες, Διασκέδαση και Ψυχαγωγία, Επιδιόρθωση Αγαθών Νοικοκυριών και Άλλες Δραστηριότητες</w:t>
      </w:r>
      <w:r w:rsidR="002769F4" w:rsidRPr="00FD4722">
        <w:rPr>
          <w:rFonts w:ascii="Verdana" w:hAnsi="Verdana" w:cs="Arial"/>
          <w:sz w:val="18"/>
          <w:szCs w:val="18"/>
          <w:lang w:val="el-GR"/>
        </w:rPr>
        <w:t>".</w:t>
      </w:r>
      <w:r w:rsidR="00AC4505" w:rsidRPr="00AC4505">
        <w:rPr>
          <w:rFonts w:ascii="Verdana" w:hAnsi="Verdana" w:cs="Arial"/>
          <w:sz w:val="18"/>
          <w:szCs w:val="18"/>
          <w:lang w:val="el-GR"/>
        </w:rPr>
        <w:t xml:space="preserve"> (</w:t>
      </w:r>
      <w:r w:rsidR="00AC4505">
        <w:rPr>
          <w:rFonts w:ascii="Verdana" w:hAnsi="Verdana" w:cs="Arial"/>
          <w:sz w:val="18"/>
          <w:szCs w:val="18"/>
          <w:lang w:val="el-GR"/>
        </w:rPr>
        <w:t>Πίνακας 1</w:t>
      </w:r>
      <w:r w:rsidR="00AC4505" w:rsidRPr="00AC4505">
        <w:rPr>
          <w:rFonts w:ascii="Verdana" w:hAnsi="Verdana" w:cs="Arial"/>
          <w:sz w:val="18"/>
          <w:szCs w:val="18"/>
          <w:lang w:val="el-GR"/>
        </w:rPr>
        <w:t>)</w:t>
      </w:r>
    </w:p>
    <w:p w14:paraId="3284000C" w14:textId="06FE1B9B" w:rsidR="00BE3249" w:rsidRDefault="00BE3249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75AB66" w14:textId="77777777" w:rsidR="00636D90" w:rsidRPr="00FD4722" w:rsidRDefault="00636D90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80AEC1" w14:textId="3E00736D" w:rsidR="002758BE" w:rsidRDefault="002758BE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2382"/>
        <w:gridCol w:w="2381"/>
        <w:gridCol w:w="2381"/>
        <w:gridCol w:w="2438"/>
      </w:tblGrid>
      <w:tr w:rsidR="00FD4722" w:rsidRPr="00483EAE" w14:paraId="3DFEDDD7" w14:textId="77777777" w:rsidTr="00430704">
        <w:trPr>
          <w:trHeight w:val="284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B9132" w14:textId="4CDCC5BD" w:rsidR="00FD4722" w:rsidRPr="00483EAE" w:rsidRDefault="00FD4722" w:rsidP="00FD4722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E1BB4" w14:textId="77777777" w:rsidR="00FD4722" w:rsidRPr="00483EAE" w:rsidRDefault="00FD4722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9C200" w14:textId="77777777" w:rsidR="00FD4722" w:rsidRPr="00483EAE" w:rsidRDefault="00FD4722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44C45" w14:textId="77777777" w:rsidR="00FD4722" w:rsidRPr="00483EAE" w:rsidRDefault="00FD4722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736686" w:rsidRPr="00483EAE" w14:paraId="60F047B1" w14:textId="77777777" w:rsidTr="00430704">
        <w:trPr>
          <w:trHeight w:val="510"/>
          <w:jc w:val="center"/>
        </w:trPr>
        <w:tc>
          <w:tcPr>
            <w:tcW w:w="2382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316F5BFE" w14:textId="2F5678C6" w:rsidR="00736686" w:rsidRPr="00483EAE" w:rsidRDefault="00736686" w:rsidP="00736686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bookmarkStart w:id="0" w:name="_Hlk135216527"/>
            <w:r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Οικονομική Δραστηριότητα (NACE Rev.2)</w:t>
            </w:r>
          </w:p>
        </w:tc>
        <w:tc>
          <w:tcPr>
            <w:tcW w:w="7200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34E56F6C" w14:textId="528B9F36" w:rsidR="00736686" w:rsidRPr="00483EAE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ΑΕΠ σε Μετρήσεις Όγκου Διορθωμένο ως προς τις Εποχικές Διακυμάνσεις και τις Εργάσιμες Μέρες</w:t>
            </w:r>
          </w:p>
        </w:tc>
      </w:tr>
      <w:tr w:rsidR="00736686" w:rsidRPr="00483EAE" w14:paraId="59C310CB" w14:textId="77777777" w:rsidTr="00430704">
        <w:trPr>
          <w:trHeight w:val="340"/>
          <w:jc w:val="center"/>
        </w:trPr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14:paraId="090879F0" w14:textId="77777777" w:rsidR="00736686" w:rsidRPr="00483EAE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53A9C4B" w14:textId="548E7D6A" w:rsidR="00736686" w:rsidRPr="00483EAE" w:rsidRDefault="00736686" w:rsidP="00653C89">
            <w:pPr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  <w:r w:rsidRPr="00483EAE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4819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831CE45" w14:textId="5AFA2DDC" w:rsidR="00736686" w:rsidRPr="00483EAE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483EAE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Μεταβολή (%)</w:t>
            </w:r>
          </w:p>
        </w:tc>
      </w:tr>
      <w:tr w:rsidR="00736686" w:rsidRPr="00483EAE" w14:paraId="6DBFE2B5" w14:textId="77777777" w:rsidTr="00430704">
        <w:trPr>
          <w:trHeight w:val="510"/>
          <w:jc w:val="center"/>
        </w:trPr>
        <w:tc>
          <w:tcPr>
            <w:tcW w:w="23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E663970" w14:textId="77777777" w:rsidR="00736686" w:rsidRPr="00483EAE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0134AD59" w14:textId="0D156333" w:rsidR="00C0058A" w:rsidRPr="00483EAE" w:rsidRDefault="00C0058A" w:rsidP="00736686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A74FFC"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1</w:t>
            </w:r>
            <w:r w:rsidR="00736686"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52B6494A" w14:textId="65A4710A" w:rsidR="00736686" w:rsidRPr="00483EAE" w:rsidRDefault="00736686" w:rsidP="00736686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A74FFC"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446C944" w14:textId="175C8761" w:rsidR="00C0058A" w:rsidRPr="00483EAE" w:rsidRDefault="00C0058A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A74FFC"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1</w:t>
            </w:r>
            <w:r w:rsidR="00736686"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3626804A" w14:textId="26DA0D3C" w:rsidR="00736686" w:rsidRPr="00483EAE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A74FFC"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/2</w:t>
            </w:r>
            <w:r w:rsidR="00A74FFC"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1A113892" w14:textId="67430730" w:rsidR="00C0058A" w:rsidRPr="00483EAE" w:rsidRDefault="00C0058A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A74FFC"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1</w:t>
            </w:r>
            <w:r w:rsidR="00736686"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A74FFC"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="00736686"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/    </w:t>
            </w:r>
          </w:p>
          <w:p w14:paraId="7E1459A4" w14:textId="3667D576" w:rsidR="00736686" w:rsidRPr="00483EAE" w:rsidRDefault="00C0058A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A74FFC"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="00736686"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F73FE7" w:rsidRPr="00483EAE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</w:p>
        </w:tc>
      </w:tr>
      <w:tr w:rsidR="002C20A0" w:rsidRPr="00483EAE" w14:paraId="503DA313" w14:textId="77777777" w:rsidTr="00430704">
        <w:trPr>
          <w:trHeight w:val="510"/>
          <w:jc w:val="center"/>
        </w:trPr>
        <w:tc>
          <w:tcPr>
            <w:tcW w:w="23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4F68C221" w14:textId="77777777" w:rsidR="002C20A0" w:rsidRPr="00483EAE" w:rsidRDefault="002C20A0" w:rsidP="002C20A0">
            <w:pPr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Ακαθάριστο Εγχώριο Προϊόν (ΑΕΠ)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C75B9B6" w14:textId="6D3816FC" w:rsidR="002C20A0" w:rsidRPr="00483EAE" w:rsidRDefault="0042141A" w:rsidP="007A0020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6.590,7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6C0E868" w14:textId="746D7E5C" w:rsidR="002C20A0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3,4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41A0C8A1" w14:textId="64BAADD5" w:rsidR="0042141A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1,2</w:t>
            </w:r>
          </w:p>
        </w:tc>
      </w:tr>
      <w:tr w:rsidR="0042141A" w:rsidRPr="00483EAE" w14:paraId="09DC7839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A39A8" w14:textId="4B7FAD1F" w:rsidR="0042141A" w:rsidRPr="00483EAE" w:rsidRDefault="0042141A" w:rsidP="0042141A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5E985CF" w14:textId="4FD29B66" w:rsidR="0042141A" w:rsidRPr="00483EAE" w:rsidRDefault="0042141A" w:rsidP="007A0020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94,0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ABF240E" w14:textId="7531C919" w:rsidR="0042141A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color w:val="2F5496"/>
                <w:sz w:val="18"/>
                <w:szCs w:val="18"/>
              </w:rPr>
              <w:t>0,9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6D5FF" w14:textId="7C5A70CE" w:rsidR="0042141A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color w:val="2F5496"/>
                <w:sz w:val="18"/>
                <w:szCs w:val="18"/>
              </w:rPr>
              <w:t>0,0</w:t>
            </w:r>
          </w:p>
        </w:tc>
      </w:tr>
      <w:tr w:rsidR="0042141A" w:rsidRPr="00483EAE" w14:paraId="2C9B2CD5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CED91" w14:textId="0693D0B3" w:rsidR="0042141A" w:rsidRPr="00483EAE" w:rsidRDefault="0042141A" w:rsidP="0042141A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B </w:t>
            </w: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16C79ED" w14:textId="545650F9" w:rsidR="0042141A" w:rsidRPr="00483EAE" w:rsidRDefault="0042141A" w:rsidP="007A0020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400,7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98E3EB6" w14:textId="29D7ACB3" w:rsidR="0042141A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color w:val="2F5496"/>
                <w:sz w:val="18"/>
                <w:szCs w:val="18"/>
              </w:rPr>
              <w:t>4,8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875C7" w14:textId="76CCCD4D" w:rsidR="0042141A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color w:val="2F5496"/>
                <w:sz w:val="18"/>
                <w:szCs w:val="18"/>
              </w:rPr>
              <w:t>1,6</w:t>
            </w:r>
          </w:p>
        </w:tc>
      </w:tr>
      <w:tr w:rsidR="0042141A" w:rsidRPr="00483EAE" w14:paraId="39FD0FF3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3C38A" w14:textId="3C9C6484" w:rsidR="0042141A" w:rsidRPr="00483EAE" w:rsidRDefault="0042141A" w:rsidP="0042141A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C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E4C6C74" w14:textId="0FC6E2C2" w:rsidR="0042141A" w:rsidRPr="00483EAE" w:rsidRDefault="0042141A" w:rsidP="007A0020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318,9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4E977FB" w14:textId="3FF6B1EC" w:rsidR="0042141A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color w:val="2F5496"/>
                <w:sz w:val="18"/>
                <w:szCs w:val="18"/>
              </w:rPr>
              <w:t>3,4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CA9DB" w14:textId="0554BF07" w:rsidR="0042141A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color w:val="2F5496"/>
                <w:sz w:val="18"/>
                <w:szCs w:val="18"/>
              </w:rPr>
              <w:t>0,9</w:t>
            </w:r>
          </w:p>
        </w:tc>
      </w:tr>
      <w:tr w:rsidR="0042141A" w:rsidRPr="00483EAE" w14:paraId="54F99004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65B10" w14:textId="3001F432" w:rsidR="0042141A" w:rsidRPr="00483EAE" w:rsidRDefault="0042141A" w:rsidP="0042141A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526F583" w14:textId="03EDB62F" w:rsidR="0042141A" w:rsidRPr="00483EAE" w:rsidRDefault="0042141A" w:rsidP="007A0020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378,4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31195FD7" w14:textId="0B517709" w:rsidR="0042141A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color w:val="2F5496"/>
                <w:sz w:val="18"/>
                <w:szCs w:val="18"/>
              </w:rPr>
              <w:t>10,2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E9A7D" w14:textId="38B50409" w:rsidR="0042141A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color w:val="2F5496"/>
                <w:sz w:val="18"/>
                <w:szCs w:val="18"/>
              </w:rPr>
              <w:t>4,9</w:t>
            </w:r>
          </w:p>
        </w:tc>
      </w:tr>
      <w:tr w:rsidR="0042141A" w:rsidRPr="00483EAE" w14:paraId="1D49DF50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ED150" w14:textId="5EC92F8C" w:rsidR="0042141A" w:rsidRPr="00483EAE" w:rsidRDefault="0042141A" w:rsidP="0042141A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G </w:t>
            </w: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I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35A69C5" w14:textId="6238C50A" w:rsidR="0042141A" w:rsidRPr="00483EAE" w:rsidRDefault="0042141A" w:rsidP="007A0020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1</w:t>
            </w:r>
            <w:r w:rsidR="007A0020" w:rsidRPr="00483EAE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.</w:t>
            </w:r>
            <w:r w:rsidRPr="00483EAE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386,3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78D4FF6" w14:textId="575E6ABA" w:rsidR="0042141A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color w:val="2F5496"/>
                <w:sz w:val="18"/>
                <w:szCs w:val="18"/>
              </w:rPr>
              <w:t>3,7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15AEC" w14:textId="1368A217" w:rsidR="0042141A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color w:val="2F5496"/>
                <w:sz w:val="18"/>
                <w:szCs w:val="18"/>
              </w:rPr>
              <w:t>0,7</w:t>
            </w:r>
          </w:p>
        </w:tc>
      </w:tr>
      <w:tr w:rsidR="0042141A" w:rsidRPr="00483EAE" w14:paraId="54903CCE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9DDBA" w14:textId="2A828957" w:rsidR="0042141A" w:rsidRPr="00483EAE" w:rsidRDefault="0042141A" w:rsidP="0042141A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J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58B7DC9" w14:textId="53080DF3" w:rsidR="0042141A" w:rsidRPr="00483EAE" w:rsidRDefault="0042141A" w:rsidP="007A0020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669,1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23D8218D" w14:textId="6B2AD580" w:rsidR="0042141A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color w:val="2F5496"/>
                <w:sz w:val="18"/>
                <w:szCs w:val="18"/>
              </w:rPr>
              <w:t>4,4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BF058" w14:textId="33D5B72F" w:rsidR="0042141A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color w:val="2F5496"/>
                <w:sz w:val="18"/>
                <w:szCs w:val="18"/>
              </w:rPr>
              <w:t>1,3</w:t>
            </w:r>
          </w:p>
        </w:tc>
      </w:tr>
      <w:tr w:rsidR="0042141A" w:rsidRPr="00483EAE" w14:paraId="32800875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97B25" w14:textId="29AC75BE" w:rsidR="0042141A" w:rsidRPr="00483EAE" w:rsidRDefault="0042141A" w:rsidP="0042141A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K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1DDB119" w14:textId="3A846B34" w:rsidR="0042141A" w:rsidRPr="00483EAE" w:rsidRDefault="0042141A" w:rsidP="007A0020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449,1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DC883C0" w14:textId="67B7AA5D" w:rsidR="0042141A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color w:val="2F5496"/>
                <w:sz w:val="18"/>
                <w:szCs w:val="18"/>
              </w:rPr>
              <w:t>-1,1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34DE5" w14:textId="6968A2D5" w:rsidR="0042141A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color w:val="2F5496"/>
                <w:sz w:val="18"/>
                <w:szCs w:val="18"/>
              </w:rPr>
              <w:t>0,4</w:t>
            </w:r>
          </w:p>
        </w:tc>
      </w:tr>
      <w:tr w:rsidR="0042141A" w:rsidRPr="00483EAE" w14:paraId="6314CE01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0C710" w14:textId="2458A5D3" w:rsidR="0042141A" w:rsidRPr="00483EAE" w:rsidRDefault="0042141A" w:rsidP="0042141A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0CD2C059" w14:textId="48310B74" w:rsidR="0042141A" w:rsidRPr="00483EAE" w:rsidRDefault="0042141A" w:rsidP="007A0020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511,9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3C7A417D" w14:textId="50A4EEA9" w:rsidR="0042141A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color w:val="2F5496"/>
                <w:sz w:val="18"/>
                <w:szCs w:val="18"/>
              </w:rPr>
              <w:t>0,8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F3519" w14:textId="03EFCFA3" w:rsidR="0042141A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color w:val="2F5496"/>
                <w:sz w:val="18"/>
                <w:szCs w:val="18"/>
              </w:rPr>
              <w:t>0,1</w:t>
            </w:r>
          </w:p>
        </w:tc>
      </w:tr>
      <w:tr w:rsidR="0042141A" w:rsidRPr="00483EAE" w14:paraId="0410C26B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99F44" w14:textId="7D087BD1" w:rsidR="0042141A" w:rsidRPr="00483EAE" w:rsidRDefault="0042141A" w:rsidP="0042141A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M &amp; 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B1B18D9" w14:textId="0948CF9A" w:rsidR="0042141A" w:rsidRPr="00483EAE" w:rsidRDefault="0042141A" w:rsidP="007A0020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635,9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26FE1CE2" w14:textId="4A0DA403" w:rsidR="0042141A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color w:val="2F5496"/>
                <w:sz w:val="18"/>
                <w:szCs w:val="18"/>
              </w:rPr>
              <w:t>4,8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6D39A" w14:textId="0C4D1853" w:rsidR="0042141A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color w:val="2F5496"/>
                <w:sz w:val="18"/>
                <w:szCs w:val="18"/>
              </w:rPr>
              <w:t>2,4</w:t>
            </w:r>
          </w:p>
        </w:tc>
      </w:tr>
      <w:tr w:rsidR="0042141A" w:rsidRPr="00483EAE" w14:paraId="3B74FEA5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BA591" w14:textId="28916D4B" w:rsidR="0042141A" w:rsidRPr="00483EAE" w:rsidRDefault="0042141A" w:rsidP="0042141A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O</w:t>
            </w: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Q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48C8C31" w14:textId="36EBF736" w:rsidR="0042141A" w:rsidRPr="00483EAE" w:rsidRDefault="0042141A" w:rsidP="007A0020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1</w:t>
            </w:r>
            <w:r w:rsidR="007A0020" w:rsidRPr="00483EAE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.</w:t>
            </w:r>
            <w:r w:rsidRPr="00483EAE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114,2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D0F205F" w14:textId="7AC93F9F" w:rsidR="0042141A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color w:val="2F5496"/>
                <w:sz w:val="18"/>
                <w:szCs w:val="18"/>
              </w:rPr>
              <w:t>3,2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9E362" w14:textId="29F7BE51" w:rsidR="0042141A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color w:val="2F5496"/>
                <w:sz w:val="18"/>
                <w:szCs w:val="18"/>
              </w:rPr>
              <w:t>1,8</w:t>
            </w:r>
          </w:p>
        </w:tc>
      </w:tr>
      <w:tr w:rsidR="0042141A" w:rsidRPr="00483EAE" w14:paraId="7EA4E010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F7A7D" w14:textId="45FAD488" w:rsidR="0042141A" w:rsidRPr="00483EAE" w:rsidRDefault="0042141A" w:rsidP="0042141A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R </w:t>
            </w: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483E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U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0D089C7" w14:textId="0B30180C" w:rsidR="0042141A" w:rsidRPr="00483EAE" w:rsidRDefault="0042141A" w:rsidP="007A0020">
            <w:pPr>
              <w:ind w:right="624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205,0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FCCCD95" w14:textId="6AC61AEC" w:rsidR="0042141A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color w:val="2F5496"/>
                <w:sz w:val="18"/>
                <w:szCs w:val="18"/>
              </w:rPr>
              <w:t>2,1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7AC96" w14:textId="435B3235" w:rsidR="0042141A" w:rsidRPr="00483EAE" w:rsidRDefault="0042141A" w:rsidP="0042141A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83EAE">
              <w:rPr>
                <w:rFonts w:ascii="Verdana" w:hAnsi="Verdana" w:cs="Arial"/>
                <w:color w:val="2F5496"/>
                <w:sz w:val="18"/>
                <w:szCs w:val="18"/>
              </w:rPr>
              <w:t>-2,7</w:t>
            </w:r>
          </w:p>
        </w:tc>
      </w:tr>
      <w:tr w:rsidR="00653C89" w:rsidRPr="00483EAE" w14:paraId="18C51B47" w14:textId="77777777" w:rsidTr="00430704">
        <w:trPr>
          <w:trHeight w:val="170"/>
          <w:jc w:val="center"/>
        </w:trPr>
        <w:tc>
          <w:tcPr>
            <w:tcW w:w="23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2B2D8CC2" w14:textId="77777777" w:rsidR="00653C89" w:rsidRPr="00483EAE" w:rsidRDefault="00653C89" w:rsidP="00653C89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2D71FD7D" w14:textId="77777777" w:rsidR="00653C89" w:rsidRPr="00483EAE" w:rsidRDefault="00653C89" w:rsidP="0042141A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3AFF7C93" w14:textId="77777777" w:rsidR="00653C89" w:rsidRPr="00483EAE" w:rsidRDefault="00653C89" w:rsidP="00736686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65AE9B7" w14:textId="77777777" w:rsidR="00653C89" w:rsidRPr="00483EAE" w:rsidRDefault="00653C89" w:rsidP="00736686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bookmarkEnd w:id="0"/>
    <w:p w14:paraId="66F6E282" w14:textId="6B6D3641" w:rsidR="00CA0FD5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Οικονομικές δραστηριότητες:</w:t>
      </w:r>
    </w:p>
    <w:p w14:paraId="3FC06B27" w14:textId="77777777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Α: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Γεωργία, Δασοκομία Και Αλιεία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</w:p>
    <w:p w14:paraId="12910C43" w14:textId="4E053256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B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="009A44C9" w:rsidRPr="009A44C9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-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E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Ορυχεία και Λατομεία; Μεταποίηση; Παροχή Ηλεκτρικού Ρεύματος, Φυσικού Αερίου, Ατμού και Κλιματισμού; Παροχή Νερού, Επεξεργασία Λυμάτων, Διαχείριση Αποβλήτων και Δραστηριότητες Εξυγίανσης</w:t>
      </w:r>
    </w:p>
    <w:p w14:paraId="61901E4F" w14:textId="730463C7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C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Μεταποίηση</w:t>
      </w:r>
    </w:p>
    <w:p w14:paraId="70E7B0D6" w14:textId="284EADFF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F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Κατασκευές</w:t>
      </w:r>
    </w:p>
    <w:p w14:paraId="550557D0" w14:textId="1FB64334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G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="009A44C9" w:rsidRPr="009A44C9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-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I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Χονδρικό και Λιανικό Εμπόριο˙ Επισκευή Μηχανοκίνητων Οχημάτων και Μοτοσικλετών; Μεταφορά και Αποθήκευση; Δραστηριότητες Υπηρεσιών Παροχής Καταλύματος και Υπηρεσιών Εστίασης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</w:p>
    <w:p w14:paraId="2B4ED0ED" w14:textId="39A425B4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J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Ενημέρωση και Επικοινωνία</w:t>
      </w:r>
    </w:p>
    <w:p w14:paraId="3BE2E720" w14:textId="0AC97CE9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K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 xml:space="preserve">Χρηματοπιστωτικές και Ασφαλιστικές Δραστηριότητες </w:t>
      </w:r>
    </w:p>
    <w:p w14:paraId="06056FC6" w14:textId="77ADE097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L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Διαχείριση Ακίνητης Περιουσίας</w:t>
      </w:r>
    </w:p>
    <w:p w14:paraId="33D9E794" w14:textId="77777777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M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&amp;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N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Επαγγελματικές, Επιστημονικές Και Τεχνικές Δραστηριότητες; Διοικητικές και Υποστηρικτικές Δραστηριότητες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</w:p>
    <w:p w14:paraId="171E109D" w14:textId="117FC9DF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O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="009A44C9" w:rsidRPr="009A44C9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-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Q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Δημόσια Διοίκηση και Άμυνα· Υποχρεωτική Κοινωνική Ασφάλιση; Εκπαίδευση Δραστηριότητες Σχετικές με την Ανθρώπινη Υγεία και την Κοινωνική Μέριμνα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</w:p>
    <w:p w14:paraId="14165B9F" w14:textId="3BA206FA" w:rsidR="001B5AE2" w:rsidRPr="00FD4722" w:rsidRDefault="001B5AE2" w:rsidP="00FD4722">
      <w:pPr>
        <w:jc w:val="both"/>
        <w:rPr>
          <w:rFonts w:ascii="Verdana" w:hAnsi="Verdana" w:cs="Arial"/>
          <w:iCs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R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="009A44C9" w:rsidRPr="009A44C9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-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U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Τέχνες, Διασκέδαση και Ψυχαγωγία, Επιδιόρθωση Αγαθών Νοικοκυριών και Άλλες Δραστηριότητες</w:t>
      </w:r>
    </w:p>
    <w:p w14:paraId="0EAD45BE" w14:textId="77777777" w:rsidR="002758BE" w:rsidRDefault="002758BE" w:rsidP="00FD4722">
      <w:pPr>
        <w:jc w:val="both"/>
        <w:rPr>
          <w:rFonts w:ascii="Verdana" w:hAnsi="Verdana" w:cs="Arial"/>
          <w:iCs/>
          <w:sz w:val="18"/>
          <w:szCs w:val="18"/>
          <w:lang w:val="el-GR"/>
        </w:rPr>
      </w:pPr>
    </w:p>
    <w:p w14:paraId="57FC06D7" w14:textId="77777777" w:rsidR="00666D80" w:rsidRPr="00FD4722" w:rsidRDefault="00666D80" w:rsidP="00FD4722">
      <w:pPr>
        <w:jc w:val="both"/>
        <w:rPr>
          <w:rFonts w:ascii="Verdana" w:hAnsi="Verdana" w:cs="Arial"/>
          <w:iCs/>
          <w:sz w:val="18"/>
          <w:szCs w:val="18"/>
          <w:lang w:val="el-GR"/>
        </w:rPr>
      </w:pP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413"/>
        <w:gridCol w:w="1742"/>
        <w:gridCol w:w="1684"/>
        <w:gridCol w:w="1800"/>
      </w:tblGrid>
      <w:tr w:rsidR="00591E14" w:rsidRPr="00FD4722" w14:paraId="6EB54E80" w14:textId="77777777" w:rsidTr="000419EF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B8278" w14:textId="503ABB17" w:rsidR="00591E14" w:rsidRPr="00FD4722" w:rsidRDefault="000971D3" w:rsidP="00E51854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bookmarkStart w:id="1" w:name="_Hlk135921969"/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Πίνακας 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902C6" w14:textId="77777777" w:rsidR="00591E14" w:rsidRPr="00FD4722" w:rsidRDefault="00591E14" w:rsidP="00E51854">
            <w:pPr>
              <w:ind w:right="-110"/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C1CDA" w14:textId="77777777" w:rsidR="00591E14" w:rsidRPr="00FD4722" w:rsidRDefault="00591E14" w:rsidP="00E51854">
            <w:pPr>
              <w:ind w:right="-111"/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BB682" w14:textId="77777777" w:rsidR="00591E14" w:rsidRPr="00FD4722" w:rsidRDefault="00591E14" w:rsidP="00E51854">
            <w:pPr>
              <w:ind w:right="-273"/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0419EF" w:rsidRPr="00483EAE" w14:paraId="149BB167" w14:textId="77777777" w:rsidTr="0077130E">
        <w:trPr>
          <w:trHeight w:val="510"/>
          <w:jc w:val="center"/>
        </w:trPr>
        <w:tc>
          <w:tcPr>
            <w:tcW w:w="4413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68BCFA33" w14:textId="1F245511" w:rsidR="000419EF" w:rsidRPr="00FD4722" w:rsidRDefault="000419EF" w:rsidP="000419EF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Είδος Δαπάνης</w:t>
            </w:r>
          </w:p>
        </w:tc>
        <w:tc>
          <w:tcPr>
            <w:tcW w:w="5226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2F3F8C6" w14:textId="1FB53FEC" w:rsidR="000419EF" w:rsidRPr="00FD4722" w:rsidRDefault="000419EF" w:rsidP="000419EF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ΑΕΠ σε Μετρήσεις Όγκου Διορθωμένο ως προς τις Εποχικές Διακυμάνσεις και τις Εργάσιμες Μέρες</w:t>
            </w:r>
          </w:p>
        </w:tc>
      </w:tr>
      <w:tr w:rsidR="000419EF" w:rsidRPr="00FD4722" w14:paraId="3AC34909" w14:textId="77777777" w:rsidTr="000419EF">
        <w:trPr>
          <w:trHeight w:val="510"/>
          <w:jc w:val="center"/>
        </w:trPr>
        <w:tc>
          <w:tcPr>
            <w:tcW w:w="4413" w:type="dxa"/>
            <w:vMerge/>
            <w:tcBorders>
              <w:left w:val="nil"/>
              <w:right w:val="nil"/>
            </w:tcBorders>
            <w:vAlign w:val="center"/>
          </w:tcPr>
          <w:p w14:paraId="6D013D5F" w14:textId="77777777" w:rsidR="000419EF" w:rsidRPr="00FD4722" w:rsidRDefault="000419EF" w:rsidP="000419EF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39C5F6B" w14:textId="41062926" w:rsidR="000419EF" w:rsidRPr="00FD4722" w:rsidRDefault="000419EF" w:rsidP="000419EF">
            <w:pPr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3484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A29A59D" w14:textId="39C2BBE9" w:rsidR="000419EF" w:rsidRPr="00FD4722" w:rsidRDefault="000419EF" w:rsidP="000419EF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Μεταβολή (%)</w:t>
            </w:r>
          </w:p>
        </w:tc>
      </w:tr>
      <w:tr w:rsidR="000419EF" w:rsidRPr="00FD4722" w14:paraId="3A3114C2" w14:textId="77777777" w:rsidTr="000419EF">
        <w:trPr>
          <w:trHeight w:val="510"/>
          <w:jc w:val="center"/>
        </w:trPr>
        <w:tc>
          <w:tcPr>
            <w:tcW w:w="44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18D2206" w14:textId="77777777" w:rsidR="000419EF" w:rsidRPr="00FD4722" w:rsidRDefault="000419EF" w:rsidP="000971D3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5D83699" w14:textId="48985207" w:rsidR="000419EF" w:rsidRPr="00F73FE7" w:rsidRDefault="00C0058A" w:rsidP="000971D3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1</w:t>
            </w:r>
          </w:p>
          <w:p w14:paraId="2E5F3153" w14:textId="235CDB08" w:rsidR="000419EF" w:rsidRPr="00FD4722" w:rsidRDefault="000419EF" w:rsidP="000971D3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A31A852" w14:textId="38D42064" w:rsidR="00C0058A" w:rsidRDefault="00C0058A" w:rsidP="000971D3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1</w:t>
            </w:r>
            <w:r w:rsidR="000419EF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4F3FB45" w14:textId="5CB01238" w:rsidR="000419EF" w:rsidRPr="00FD4722" w:rsidRDefault="000419EF" w:rsidP="000971D3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/2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4546E67" w14:textId="06521A17" w:rsidR="00C0058A" w:rsidRDefault="00C0058A" w:rsidP="00C0058A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1</w:t>
            </w:r>
            <w:r w:rsidR="000419EF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="000419EF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/    </w:t>
            </w:r>
          </w:p>
          <w:p w14:paraId="6EFB4FCB" w14:textId="4DA9A9A3" w:rsidR="000419EF" w:rsidRPr="00F73FE7" w:rsidRDefault="00C0058A" w:rsidP="00C0058A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="000419EF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F73FE7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</w:p>
        </w:tc>
      </w:tr>
      <w:tr w:rsidR="00933635" w:rsidRPr="00FD4722" w14:paraId="5CD1E8C1" w14:textId="77777777" w:rsidTr="0077130E">
        <w:trPr>
          <w:trHeight w:val="454"/>
          <w:jc w:val="center"/>
        </w:trPr>
        <w:tc>
          <w:tcPr>
            <w:tcW w:w="4413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62312293" w14:textId="6B5463AF" w:rsidR="00933635" w:rsidRPr="00FD4722" w:rsidRDefault="00933635" w:rsidP="00933635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Ακαθάριστο Εγχώριο Προϊόν (ΑΕΠ)</w:t>
            </w: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51CB9EC" w14:textId="15779FA5" w:rsidR="00933635" w:rsidRPr="00FD4722" w:rsidRDefault="00933635" w:rsidP="00933635">
            <w:pPr>
              <w:ind w:right="340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</w:t>
            </w:r>
            <w:r w:rsidR="007A0020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590,7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34C3111" w14:textId="67652D5F" w:rsidR="00933635" w:rsidRPr="00FD4722" w:rsidRDefault="00933635" w:rsidP="00933635">
            <w:pPr>
              <w:ind w:right="56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3,4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D0325E7" w14:textId="6E403175" w:rsidR="00933635" w:rsidRPr="00FD4722" w:rsidRDefault="00933635" w:rsidP="00933635">
            <w:pPr>
              <w:ind w:right="624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1,2</w:t>
            </w:r>
          </w:p>
        </w:tc>
      </w:tr>
      <w:tr w:rsidR="00933635" w:rsidRPr="00FD4722" w14:paraId="379CFAB1" w14:textId="77777777" w:rsidTr="000419EF">
        <w:trPr>
          <w:trHeight w:val="340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B2C25" w14:textId="7F03D8C1" w:rsidR="00933635" w:rsidRPr="00FD4722" w:rsidRDefault="00933635" w:rsidP="00933635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Συνολική Δαπάνη Τελικής Κατανάλωσης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4045778" w14:textId="29344C4B" w:rsidR="00933635" w:rsidRPr="00220DC4" w:rsidRDefault="00933635" w:rsidP="00933635">
            <w:pPr>
              <w:ind w:right="340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</w:t>
            </w:r>
            <w:r w:rsidR="007A0020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323,1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6C1527F" w14:textId="7FB8414B" w:rsidR="00933635" w:rsidRPr="00220DC4" w:rsidRDefault="00933635" w:rsidP="00933635">
            <w:pPr>
              <w:ind w:right="567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6B365" w14:textId="5C9948F7" w:rsidR="00933635" w:rsidRPr="00220DC4" w:rsidRDefault="00933635" w:rsidP="00933635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1,0</w:t>
            </w:r>
          </w:p>
        </w:tc>
      </w:tr>
      <w:tr w:rsidR="00933635" w:rsidRPr="00FD4722" w14:paraId="50AEBAA3" w14:textId="77777777" w:rsidTr="000419EF">
        <w:trPr>
          <w:trHeight w:val="462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5B8ED" w14:textId="2039DA27" w:rsidR="00933635" w:rsidRPr="00FD4722" w:rsidRDefault="00933635" w:rsidP="00933635">
            <w:pPr>
              <w:ind w:left="321"/>
              <w:rPr>
                <w:rFonts w:ascii="Verdana" w:hAnsi="Verdana" w:cs="Arial"/>
                <w:i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i/>
                <w:color w:val="2F5496"/>
                <w:sz w:val="18"/>
                <w:szCs w:val="18"/>
                <w:lang w:val="el-GR"/>
              </w:rPr>
              <w:t>Εκ της οποίας:</w:t>
            </w:r>
          </w:p>
          <w:p w14:paraId="1C4A1957" w14:textId="23387CAE" w:rsidR="00933635" w:rsidRPr="00FD4722" w:rsidRDefault="00933635" w:rsidP="00933635">
            <w:pPr>
              <w:ind w:left="720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Νοικοκυριών και ΜΚΙΕΝ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AEB9554" w14:textId="565F9A6F" w:rsidR="00933635" w:rsidRPr="00FD4722" w:rsidRDefault="00933635" w:rsidP="00933635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</w:t>
            </w:r>
            <w:r w:rsidR="007A0020">
              <w:rPr>
                <w:rFonts w:ascii="Verdana" w:hAnsi="Verdana" w:cs="Arial"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color w:val="2F5496"/>
                <w:sz w:val="18"/>
                <w:szCs w:val="18"/>
              </w:rPr>
              <w:t>089,5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379D42F4" w14:textId="7CBCFF1C" w:rsidR="00933635" w:rsidRPr="00FD4722" w:rsidRDefault="00933635" w:rsidP="00933635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E4E4D" w14:textId="3511F0C8" w:rsidR="00933635" w:rsidRPr="00FD4722" w:rsidRDefault="00933635" w:rsidP="00933635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0,4</w:t>
            </w:r>
          </w:p>
        </w:tc>
      </w:tr>
      <w:tr w:rsidR="00933635" w:rsidRPr="00FD4722" w14:paraId="31D5DD68" w14:textId="77777777" w:rsidTr="000419EF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AD0CF" w14:textId="6D73C9AE" w:rsidR="00933635" w:rsidRPr="00FD4722" w:rsidRDefault="00933635" w:rsidP="00933635">
            <w:pPr>
              <w:ind w:left="720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Γενικής κυβέρνησης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578CEE4" w14:textId="2CB46F37" w:rsidR="00933635" w:rsidRPr="00FD4722" w:rsidRDefault="00933635" w:rsidP="00933635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</w:t>
            </w:r>
            <w:r w:rsidR="007A0020">
              <w:rPr>
                <w:rFonts w:ascii="Verdana" w:hAnsi="Verdana" w:cs="Arial"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color w:val="2F5496"/>
                <w:sz w:val="18"/>
                <w:szCs w:val="18"/>
              </w:rPr>
              <w:t>233,0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7579AB1" w14:textId="4C92E5A8" w:rsidR="00933635" w:rsidRPr="00FD4722" w:rsidRDefault="00933635" w:rsidP="00933635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62F00" w14:textId="0935441A" w:rsidR="00933635" w:rsidRPr="00FD4722" w:rsidRDefault="00933635" w:rsidP="00933635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2,7</w:t>
            </w:r>
          </w:p>
        </w:tc>
      </w:tr>
      <w:tr w:rsidR="00933635" w:rsidRPr="00220DC4" w14:paraId="24485234" w14:textId="77777777" w:rsidTr="00666D80">
        <w:trPr>
          <w:trHeight w:val="56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EA12E" w14:textId="4D43E646" w:rsidR="00933635" w:rsidRPr="00FD4722" w:rsidRDefault="00933635" w:rsidP="00933635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20DC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Ακαθάριστος Σχηματισμός Πάγιου Κεφαλαίου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(ΑΣΠΚ)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A5A376E" w14:textId="211B511F" w:rsidR="00933635" w:rsidRPr="00220DC4" w:rsidRDefault="00933635" w:rsidP="00933635">
            <w:pPr>
              <w:ind w:right="340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</w:t>
            </w:r>
            <w:r w:rsidR="007A0020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258,6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20D4901" w14:textId="3288777E" w:rsidR="00933635" w:rsidRPr="00220DC4" w:rsidRDefault="00933635" w:rsidP="00933635">
            <w:pPr>
              <w:ind w:right="567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-34,1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6A798" w14:textId="5E3D5B6F" w:rsidR="00933635" w:rsidRPr="00220DC4" w:rsidRDefault="00933635" w:rsidP="00933635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21,6</w:t>
            </w:r>
          </w:p>
        </w:tc>
      </w:tr>
      <w:tr w:rsidR="00933635" w:rsidRPr="00FD4722" w14:paraId="6F16A540" w14:textId="77777777" w:rsidTr="00666D80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BA06A" w14:textId="78EFA1DE" w:rsidR="00933635" w:rsidRPr="00220DC4" w:rsidRDefault="00933635" w:rsidP="00933635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20DC4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ΑΣΠΚ ε</w:t>
            </w:r>
            <w:r w:rsidRPr="00220DC4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ξαιρουμένων πλοίων και αεροσκαφών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22F4A1C" w14:textId="3003D852" w:rsidR="00933635" w:rsidRPr="00220DC4" w:rsidRDefault="00933635" w:rsidP="00933635">
            <w:pPr>
              <w:ind w:right="34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</w:t>
            </w:r>
            <w:r w:rsidR="007A0020">
              <w:rPr>
                <w:rFonts w:ascii="Verdana" w:hAnsi="Verdana" w:cs="Arial"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color w:val="2F5496"/>
                <w:sz w:val="18"/>
                <w:szCs w:val="18"/>
              </w:rPr>
              <w:t>325,5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774AF36" w14:textId="0766BB16" w:rsidR="00933635" w:rsidRPr="00220DC4" w:rsidRDefault="00933635" w:rsidP="00933635">
            <w:pPr>
              <w:ind w:right="56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4,9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289A1" w14:textId="7ACB56EB" w:rsidR="00933635" w:rsidRPr="00220DC4" w:rsidRDefault="00933635" w:rsidP="00933635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-2,9</w:t>
            </w:r>
          </w:p>
        </w:tc>
      </w:tr>
      <w:tr w:rsidR="00933635" w:rsidRPr="00FD4722" w14:paraId="3D99361A" w14:textId="77777777" w:rsidTr="0077130E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96720" w14:textId="39B86010" w:rsidR="00933635" w:rsidRPr="00FD4722" w:rsidRDefault="00933635" w:rsidP="00933635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Εισαγωγές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γαθών και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Υ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πηρεσιών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9C790A7" w14:textId="1E8E9543" w:rsidR="00933635" w:rsidRPr="00220DC4" w:rsidRDefault="00933635" w:rsidP="00933635">
            <w:pPr>
              <w:ind w:right="340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</w:t>
            </w:r>
            <w:r w:rsidR="007A0020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969,2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D3C1934" w14:textId="57C70532" w:rsidR="00933635" w:rsidRPr="00220DC4" w:rsidRDefault="00933635" w:rsidP="00933635">
            <w:pPr>
              <w:ind w:right="56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-13,3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FC6C4" w14:textId="0FDE8A37" w:rsidR="00933635" w:rsidRPr="00220DC4" w:rsidRDefault="00933635" w:rsidP="00933635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3,2</w:t>
            </w:r>
          </w:p>
        </w:tc>
      </w:tr>
      <w:tr w:rsidR="00933635" w:rsidRPr="00FD4722" w14:paraId="625B8BDA" w14:textId="77777777" w:rsidTr="0077130E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D68AD" w14:textId="310A5E53" w:rsidR="00933635" w:rsidRPr="00FD4722" w:rsidRDefault="00933635" w:rsidP="00933635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Εξαγωγές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γαθών και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Υ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πηρεσιών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9A78F91" w14:textId="5F00EC27" w:rsidR="00933635" w:rsidRPr="00220DC4" w:rsidRDefault="00933635" w:rsidP="00933635">
            <w:pPr>
              <w:ind w:right="340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</w:t>
            </w:r>
            <w:r w:rsidR="007A0020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923,4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995B663" w14:textId="43CBF04F" w:rsidR="00933635" w:rsidRPr="00220DC4" w:rsidRDefault="00933635" w:rsidP="00933635">
            <w:pPr>
              <w:ind w:right="567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0,4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2A75D" w14:textId="75FC5D29" w:rsidR="00933635" w:rsidRPr="00220DC4" w:rsidRDefault="00933635" w:rsidP="00933635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2,6</w:t>
            </w:r>
          </w:p>
        </w:tc>
      </w:tr>
      <w:tr w:rsidR="00A62F95" w:rsidRPr="00FD4722" w14:paraId="0450426E" w14:textId="77777777" w:rsidTr="000419EF">
        <w:trPr>
          <w:trHeight w:val="228"/>
          <w:jc w:val="center"/>
        </w:trPr>
        <w:tc>
          <w:tcPr>
            <w:tcW w:w="441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5EA57F47" w14:textId="77777777" w:rsidR="00A62F95" w:rsidRPr="00FD4722" w:rsidRDefault="00A62F95" w:rsidP="00E51854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3147FD7F" w14:textId="77777777" w:rsidR="00A62F95" w:rsidRPr="00FD4722" w:rsidRDefault="00A62F95" w:rsidP="000419EF">
            <w:pPr>
              <w:ind w:right="34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48D26924" w14:textId="77777777" w:rsidR="00A62F95" w:rsidRPr="00FD4722" w:rsidRDefault="00A62F95" w:rsidP="000419EF">
            <w:pPr>
              <w:ind w:right="56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4B187513" w14:textId="77777777" w:rsidR="00A62F95" w:rsidRPr="00FD4722" w:rsidRDefault="00A62F95" w:rsidP="000419EF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bookmarkEnd w:id="1"/>
    <w:p w14:paraId="2186290B" w14:textId="77777777" w:rsidR="00B90040" w:rsidRPr="00FD4722" w:rsidRDefault="00E51854">
      <w:pPr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ΜΚΙΕΝ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>: Μη Κερδοσκοπικά Ιδρύματα που Εξυπηρετούν Νοικοκυριά</w:t>
      </w:r>
    </w:p>
    <w:p w14:paraId="4AB09FF9" w14:textId="24D54147" w:rsidR="00761E3A" w:rsidRPr="002758BE" w:rsidRDefault="00761E3A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2758BE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44F47C1A" w14:textId="7249D3E6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E396342" w14:textId="77777777" w:rsidR="008A036B" w:rsidRPr="008A036B" w:rsidRDefault="008A036B" w:rsidP="008A036B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Σκοπός</w:t>
      </w:r>
    </w:p>
    <w:p w14:paraId="5AA1BD82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EFF899" w14:textId="40D56BFD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 xml:space="preserve">Ο σκοπός της εκτίμησης του ΑΕΠ </w:t>
      </w:r>
      <w:r w:rsidR="004C59F4">
        <w:rPr>
          <w:rFonts w:ascii="Verdana" w:hAnsi="Verdana" w:cs="Arial"/>
          <w:sz w:val="18"/>
          <w:szCs w:val="18"/>
          <w:lang w:val="el-GR"/>
        </w:rPr>
        <w:t xml:space="preserve">δύο μήνες μετά το τέλος του τριμήνου αναφοράς </w:t>
      </w:r>
      <w:r w:rsidRPr="008A036B">
        <w:rPr>
          <w:rFonts w:ascii="Verdana" w:hAnsi="Verdana" w:cs="Arial"/>
          <w:sz w:val="18"/>
          <w:szCs w:val="18"/>
          <w:lang w:val="el-GR"/>
        </w:rPr>
        <w:t>είναι να παρέχει</w:t>
      </w:r>
      <w:r w:rsidR="001A4000" w:rsidRPr="001A4000">
        <w:rPr>
          <w:rFonts w:ascii="Verdana" w:hAnsi="Verdana" w:cs="Arial"/>
          <w:sz w:val="18"/>
          <w:szCs w:val="18"/>
          <w:lang w:val="el-GR"/>
        </w:rPr>
        <w:t xml:space="preserve"> </w:t>
      </w:r>
      <w:r w:rsidR="001A4000">
        <w:rPr>
          <w:rFonts w:ascii="Verdana" w:hAnsi="Verdana" w:cs="Arial"/>
          <w:sz w:val="18"/>
          <w:szCs w:val="18"/>
          <w:lang w:val="el-GR"/>
        </w:rPr>
        <w:t>καλύτερη εκτίμηση του ρυθμού</w:t>
      </w:r>
      <w:r w:rsidR="003B0BAC" w:rsidRPr="003B0BAC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8A036B">
        <w:rPr>
          <w:rFonts w:ascii="Verdana" w:hAnsi="Verdana" w:cs="Arial"/>
          <w:sz w:val="18"/>
          <w:szCs w:val="18"/>
          <w:lang w:val="el-GR"/>
        </w:rPr>
        <w:t>ανάπτυξης της κυπριακής οικονομίας</w:t>
      </w:r>
      <w:r w:rsidR="004910FC" w:rsidRPr="00CE2801">
        <w:rPr>
          <w:rFonts w:ascii="Verdana" w:hAnsi="Verdana" w:cs="Arial"/>
          <w:sz w:val="18"/>
          <w:szCs w:val="18"/>
          <w:lang w:val="el-GR"/>
        </w:rPr>
        <w:t>,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  <w:r w:rsidR="001A4000">
        <w:rPr>
          <w:rFonts w:ascii="Verdana" w:hAnsi="Verdana" w:cs="Arial"/>
          <w:sz w:val="18"/>
          <w:szCs w:val="18"/>
          <w:lang w:val="el-GR"/>
        </w:rPr>
        <w:t>παρέχοντας παράλληλα πληροφορίες για τις κύριες μεταβλητές της προσέγγισης παραγωγής και δαπάνης</w:t>
      </w:r>
      <w:r w:rsidR="004C59F4">
        <w:rPr>
          <w:rFonts w:ascii="Verdana" w:hAnsi="Verdana" w:cs="Arial"/>
          <w:sz w:val="18"/>
          <w:szCs w:val="18"/>
          <w:lang w:val="el-GR"/>
        </w:rPr>
        <w:t>.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5620CD4A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3706334" w14:textId="7FA96C9A" w:rsidR="008A036B" w:rsidRPr="008A036B" w:rsidRDefault="008A036B" w:rsidP="008A036B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 xml:space="preserve">Υπολογισμός και </w:t>
      </w:r>
      <w:r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Μ</w:t>
      </w: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εθοδολογία</w:t>
      </w:r>
    </w:p>
    <w:p w14:paraId="499A9B21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3E27A4" w14:textId="60092D24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Οι Τριμηνιαίοι Εθνικοί Λογαριασμοί παράγονται με τη χρήση έμμεσης προσέγγισης, η οποία βασίζεται σε βραχυπρόθεσμους δείκτες που παρέχουν πληροφορίες για την εξέλιξη των υπό μελέτη φαινομένων. Επιπλέον, η τεχνική προσέγγισης “Chow-Lin” χρησιμοποιείται για τη χρονική διάσπαση των στοιχείων.</w:t>
      </w:r>
    </w:p>
    <w:p w14:paraId="2A839293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9ADCA2" w14:textId="5366E296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Το επίπεδο του ΑΕΠ στην Κύπρο καθορίζεται από τις προσεγγίσεις παραγωγής και δαπανών</w:t>
      </w:r>
      <w:r w:rsidR="00C742C8">
        <w:rPr>
          <w:rFonts w:ascii="Verdana" w:hAnsi="Verdana" w:cs="Arial"/>
          <w:sz w:val="18"/>
          <w:szCs w:val="18"/>
          <w:lang w:val="el-GR"/>
        </w:rPr>
        <w:t xml:space="preserve">, </w:t>
      </w:r>
      <w:r w:rsidRPr="008A036B">
        <w:rPr>
          <w:rFonts w:ascii="Verdana" w:hAnsi="Verdana" w:cs="Arial"/>
          <w:sz w:val="18"/>
          <w:szCs w:val="18"/>
          <w:lang w:val="el-GR"/>
        </w:rPr>
        <w:t>ενώ για την προσέγγιση εισοδήματος πραγματοποιείται έμμεσος υπολογισμός.</w:t>
      </w:r>
    </w:p>
    <w:p w14:paraId="140EF46B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C35DE0" w14:textId="5E01FEEA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 xml:space="preserve">Οι Τριμηνιαίοι Εθνικοί Λογαριασμοί παράγονται σε τρέχουσες τιμές, τιμές όγκου και τιμές προηγούμενου έτους, δημοσιεύονται και διαβιβάζονται στη Eurostat </w:t>
      </w:r>
      <w:r w:rsidR="000A351B">
        <w:rPr>
          <w:rFonts w:ascii="Verdana" w:hAnsi="Verdana" w:cs="Arial"/>
          <w:sz w:val="18"/>
          <w:szCs w:val="18"/>
          <w:lang w:val="el-GR"/>
        </w:rPr>
        <w:t>δυο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 μήνες μετά το τέλος του τριμήνου αναφοράς (t+2)</w:t>
      </w:r>
      <w:r w:rsidR="000A351B">
        <w:rPr>
          <w:rFonts w:ascii="Verdana" w:hAnsi="Verdana" w:cs="Arial"/>
          <w:sz w:val="18"/>
          <w:szCs w:val="18"/>
          <w:lang w:val="el-GR"/>
        </w:rPr>
        <w:t xml:space="preserve">. </w:t>
      </w:r>
      <w:r w:rsidRPr="008A036B">
        <w:rPr>
          <w:rFonts w:ascii="Verdana" w:hAnsi="Verdana" w:cs="Arial"/>
          <w:sz w:val="18"/>
          <w:szCs w:val="18"/>
          <w:lang w:val="el-GR"/>
        </w:rPr>
        <w:t>Η προκαταρκτική εκτίμηση λαμβάνεται εκτελώντας την ίδια διαδικασία εκτίμησης με αυτή που εφαρμόζεται για τον υπολογισμό στους t+2 μήνες, ωστόσο, με λιγότερες διαθέσιμες πηγές πληροφόρησης. Υπολογίζεται σε όρους όγκου 45 ημέρες μετά το τέλος του τριμήνου αναφοράς, δημοσιεύεται και διαβιβάζεται επίσης στη Eurostat.</w:t>
      </w:r>
    </w:p>
    <w:p w14:paraId="0DF52C46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11B0415D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Οι Τριμηνιαίοι Εθνικοί Λογαριασμοί καταρτίζονται σύμφωνα με το Ευρωπαϊκό Σύστημα Λογαριασμών (ΕΣΛ 2010) όπως ορίζεται στον κανονισμό (ΕΕ) αριθ. 549/2013 του Ευρωπαϊκού Κοινοβουλίου και του Συμβουλίου της 21ης Μαΐου 2013.</w:t>
      </w:r>
    </w:p>
    <w:p w14:paraId="31C84EA6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7E032E" w14:textId="456F244E" w:rsidR="008A036B" w:rsidRPr="008A036B" w:rsidRDefault="008A036B" w:rsidP="008A036B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 xml:space="preserve">Πηγή </w:t>
      </w:r>
      <w:r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Σ</w:t>
      </w: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τοιχείων</w:t>
      </w:r>
    </w:p>
    <w:p w14:paraId="394CE37D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BFFBEA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Για την παραγωγή εκτιμήσεων των Τριμηνιαίων Εθνικών Λογαριασμών, τα ακόλουθα δεδομένα εισάγονται στο σύστημα υπολογισμού:</w:t>
      </w:r>
    </w:p>
    <w:p w14:paraId="4130211D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βραχυπρόθεσμοι οικονομικοί δείκτες κατά οικονομική δραστηριότητα,</w:t>
      </w:r>
    </w:p>
    <w:p w14:paraId="6E733EF5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διοικητικά δεδομένα,</w:t>
      </w:r>
    </w:p>
    <w:p w14:paraId="56432CA5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τριμηνιαία στοιχεία απασχόλησης,</w:t>
      </w:r>
    </w:p>
    <w:p w14:paraId="15531252" w14:textId="6A14A8A8" w:rsidR="00761E3A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δείκτες τιμών.</w:t>
      </w:r>
    </w:p>
    <w:p w14:paraId="2CE52337" w14:textId="6D84CD9E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FF6CD1" w14:textId="30FE4958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7B5FEA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73023DBA" w14:textId="77777777" w:rsidR="008A036B" w:rsidRPr="00573F8E" w:rsidRDefault="008A036B" w:rsidP="008A036B">
      <w:pPr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573F8E">
          <w:rPr>
            <w:rStyle w:val="Hyperlink"/>
            <w:rFonts w:ascii="Verdana" w:hAnsi="Verdana"/>
            <w:sz w:val="18"/>
            <w:szCs w:val="18"/>
            <w:lang w:val="el-GR"/>
          </w:rPr>
          <w:t>Εθνικοί Λογαριασμοί</w:t>
        </w:r>
      </w:hyperlink>
    </w:p>
    <w:p w14:paraId="38070A46" w14:textId="77777777" w:rsidR="008A036B" w:rsidRDefault="00000000" w:rsidP="008A036B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8A036B" w:rsidRPr="00573F8E">
          <w:rPr>
            <w:rStyle w:val="Hyperlink"/>
            <w:rFonts w:ascii="Verdana" w:hAnsi="Verdana"/>
            <w:sz w:val="18"/>
            <w:szCs w:val="18"/>
          </w:rPr>
          <w:t>CYSTAT</w:t>
        </w:r>
        <w:r w:rsidR="008A036B" w:rsidRPr="00573F8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8A036B" w:rsidRPr="00573F8E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8A036B" w:rsidRPr="00573F8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0121E318" w14:textId="77777777" w:rsidR="008A036B" w:rsidRDefault="00000000" w:rsidP="008A036B">
      <w:pPr>
        <w:rPr>
          <w:lang w:val="el-GR"/>
        </w:rPr>
      </w:pPr>
      <w:hyperlink r:id="rId11" w:history="1">
        <w:r w:rsidR="008A036B" w:rsidRPr="008A036B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8A036B" w:rsidRPr="008A036B">
        <w:rPr>
          <w:lang w:val="el-GR"/>
        </w:rPr>
        <w:t xml:space="preserve"> </w:t>
      </w:r>
      <w:r w:rsidR="008A036B" w:rsidRPr="00032633">
        <w:rPr>
          <w:lang w:val="el-GR"/>
        </w:rPr>
        <w:t>(</w:t>
      </w:r>
      <w:r w:rsidR="008A036B">
        <w:t>Excel</w:t>
      </w:r>
      <w:r w:rsidR="008A036B" w:rsidRPr="00032633">
        <w:rPr>
          <w:lang w:val="el-GR"/>
        </w:rPr>
        <w:t>)</w:t>
      </w:r>
    </w:p>
    <w:p w14:paraId="127998F1" w14:textId="61080B70" w:rsidR="00B90040" w:rsidRPr="00573F8E" w:rsidRDefault="00000000" w:rsidP="008A036B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B90040" w:rsidRPr="00220DC4">
          <w:rPr>
            <w:rStyle w:val="Hyperlink"/>
            <w:rFonts w:ascii="Verdana" w:hAnsi="Verdana"/>
            <w:sz w:val="18"/>
            <w:szCs w:val="18"/>
            <w:lang w:val="el-GR"/>
          </w:rPr>
          <w:t xml:space="preserve">Μεθοδολογικές </w:t>
        </w:r>
        <w:r w:rsidR="00335C01" w:rsidRPr="00220DC4">
          <w:rPr>
            <w:rStyle w:val="Hyperlink"/>
            <w:rFonts w:ascii="Verdana" w:hAnsi="Verdana"/>
            <w:sz w:val="18"/>
            <w:szCs w:val="18"/>
            <w:lang w:val="el-GR"/>
          </w:rPr>
          <w:t>Π</w:t>
        </w:r>
        <w:r w:rsidR="00B90040" w:rsidRPr="00220DC4">
          <w:rPr>
            <w:rStyle w:val="Hyperlink"/>
            <w:rFonts w:ascii="Verdana" w:hAnsi="Verdana"/>
            <w:sz w:val="18"/>
            <w:szCs w:val="18"/>
            <w:lang w:val="el-GR"/>
          </w:rPr>
          <w:t>ληροφορίες</w:t>
        </w:r>
      </w:hyperlink>
    </w:p>
    <w:p w14:paraId="2650906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3D498E7" w14:textId="34C81A10" w:rsidR="008A036B" w:rsidRPr="00032633" w:rsidRDefault="008A036B" w:rsidP="008A036B">
      <w:pPr>
        <w:jc w:val="both"/>
        <w:rPr>
          <w:rFonts w:ascii="Verdana" w:eastAsia="Times New Roman" w:hAnsi="Verdana"/>
          <w:b/>
          <w:bCs/>
          <w:sz w:val="18"/>
          <w:szCs w:val="18"/>
          <w:lang w:val="el-GR"/>
        </w:rPr>
      </w:pP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Οι </w:t>
      </w:r>
      <w:r w:rsidRPr="00032633">
        <w:rPr>
          <w:rFonts w:ascii="Verdana" w:eastAsia="Times New Roman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 σε μορφή Excel περιλαμβάνουν στοιχεία μέχρι και το τέταρτο</w:t>
      </w:r>
      <w:r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 </w:t>
      </w: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>τρίμηνο του 2022. Για το πρώτο τρίμηνο του 2023 και μετέπειτα, η ενημέρωση θα γίνεται μόνο</w:t>
      </w:r>
      <w:r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 </w:t>
      </w: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>στη Βάση Δεδομένων CYSTAT-DB.</w:t>
      </w:r>
    </w:p>
    <w:p w14:paraId="6DFAC988" w14:textId="77777777" w:rsidR="008A036B" w:rsidRPr="00573F8E" w:rsidRDefault="008A036B" w:rsidP="008A036B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49124AA9" w14:textId="77777777" w:rsidR="008A036B" w:rsidRPr="00573F8E" w:rsidRDefault="008A036B" w:rsidP="008A036B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5DC710BB" w14:textId="77777777" w:rsidR="008A036B" w:rsidRPr="00573F8E" w:rsidRDefault="008A036B" w:rsidP="008A036B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Κωνσταντίνου Μαρία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 Τηλ:+357226022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26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Ηλεκτρ. Ταχ.: </w:t>
      </w:r>
      <w:hyperlink r:id="rId13" w:history="1">
        <w:r w:rsidRPr="005E1F3C">
          <w:rPr>
            <w:rStyle w:val="Hyperlink"/>
            <w:rFonts w:ascii="Verdana" w:hAnsi="Verdana"/>
            <w:sz w:val="18"/>
            <w:szCs w:val="18"/>
          </w:rPr>
          <w:t>mconstantinou</w:t>
        </w:r>
        <w:r w:rsidRPr="005E1F3C">
          <w:rPr>
            <w:rStyle w:val="Hyperlink"/>
            <w:rFonts w:ascii="Verdana" w:eastAsia="Malgun Gothic" w:hAnsi="Verdana" w:cs="Arial"/>
            <w:sz w:val="18"/>
            <w:szCs w:val="18"/>
            <w:lang w:val="pt-PT"/>
          </w:rPr>
          <w:t>@cystat.mof.gov.cy</w:t>
        </w:r>
      </w:hyperlink>
    </w:p>
    <w:p w14:paraId="38D9BFE2" w14:textId="77777777" w:rsidR="008A036B" w:rsidRPr="00573F8E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B41036" w14:textId="77777777" w:rsidR="008A036B" w:rsidRDefault="008A036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D817A37" w14:textId="0B3A5C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E2555" w14:textId="77777777" w:rsidR="00AF695B" w:rsidRDefault="00AF695B" w:rsidP="00FB398F">
      <w:r>
        <w:separator/>
      </w:r>
    </w:p>
  </w:endnote>
  <w:endnote w:type="continuationSeparator" w:id="0">
    <w:p w14:paraId="2475CA7A" w14:textId="77777777" w:rsidR="00AF695B" w:rsidRDefault="00AF695B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A452" w14:textId="77777777" w:rsidR="001F00CE" w:rsidRDefault="001F0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1F00CE" w:rsidRPr="000A1A88" w:rsidRDefault="001F00CE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1F00CE" w:rsidRPr="00233FBF" w:rsidRDefault="001F00CE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Καραολή, 1444 Λευκωσία, Κύπρος</w:t>
    </w:r>
  </w:p>
  <w:p w14:paraId="701EBEC3" w14:textId="7390D2C8" w:rsidR="001F00CE" w:rsidRPr="00233FBF" w:rsidRDefault="001F00CE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r w:rsidRPr="00C74A87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1F00CE" w:rsidRPr="00233FBF" w:rsidRDefault="001F00CE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E012F" w14:textId="77777777" w:rsidR="00AF695B" w:rsidRDefault="00AF695B" w:rsidP="00FB398F">
      <w:r>
        <w:separator/>
      </w:r>
    </w:p>
  </w:footnote>
  <w:footnote w:type="continuationSeparator" w:id="0">
    <w:p w14:paraId="2F4A33FC" w14:textId="77777777" w:rsidR="00AF695B" w:rsidRDefault="00AF695B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72864" w14:textId="77777777" w:rsidR="001F00CE" w:rsidRDefault="001F00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1F00CE" w:rsidRPr="00AC704B" w:rsidRDefault="001F00CE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1F00CE" w:rsidRDefault="001F00CE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1F00CE" w:rsidRDefault="001F00CE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1F00CE" w:rsidRDefault="001F00CE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1F00CE" w:rsidRDefault="001F00CE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1F00CE" w:rsidRDefault="001F00CE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1F00CE" w:rsidRDefault="001F00CE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1F00CE" w:rsidRDefault="001F00CE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1F00CE" w:rsidRPr="00BA5A5E" w:rsidRDefault="001F00CE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1F00CE" w:rsidRDefault="001F00CE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1F00CE" w:rsidRPr="00BA5A5E" w:rsidRDefault="001F00CE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1F00CE" w:rsidRPr="00AC704B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483BC0B8" w:rsidR="001F00CE" w:rsidRPr="00AC704B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1F00CE" w:rsidRDefault="001F0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1867515">
    <w:abstractNumId w:val="4"/>
  </w:num>
  <w:num w:numId="2" w16cid:durableId="284894399">
    <w:abstractNumId w:val="1"/>
  </w:num>
  <w:num w:numId="3" w16cid:durableId="778910086">
    <w:abstractNumId w:val="2"/>
  </w:num>
  <w:num w:numId="4" w16cid:durableId="1196775330">
    <w:abstractNumId w:val="3"/>
  </w:num>
  <w:num w:numId="5" w16cid:durableId="201214431">
    <w:abstractNumId w:val="0"/>
  </w:num>
  <w:num w:numId="6" w16cid:durableId="1086536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3B9"/>
    <w:rsid w:val="00013E40"/>
    <w:rsid w:val="000161B1"/>
    <w:rsid w:val="00020D24"/>
    <w:rsid w:val="00025A39"/>
    <w:rsid w:val="00027853"/>
    <w:rsid w:val="00030E18"/>
    <w:rsid w:val="00031D32"/>
    <w:rsid w:val="0003603D"/>
    <w:rsid w:val="000419EF"/>
    <w:rsid w:val="00045088"/>
    <w:rsid w:val="00045A06"/>
    <w:rsid w:val="00050391"/>
    <w:rsid w:val="00054AE7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971D3"/>
    <w:rsid w:val="000A1A88"/>
    <w:rsid w:val="000A1CBA"/>
    <w:rsid w:val="000A2B5C"/>
    <w:rsid w:val="000A351B"/>
    <w:rsid w:val="000A3601"/>
    <w:rsid w:val="000A6FA8"/>
    <w:rsid w:val="000C0BEF"/>
    <w:rsid w:val="000C1070"/>
    <w:rsid w:val="000C4E72"/>
    <w:rsid w:val="000D1E7A"/>
    <w:rsid w:val="000D29C5"/>
    <w:rsid w:val="000D572B"/>
    <w:rsid w:val="000E24B1"/>
    <w:rsid w:val="000E2735"/>
    <w:rsid w:val="000E32D6"/>
    <w:rsid w:val="000E4CB0"/>
    <w:rsid w:val="000E4E34"/>
    <w:rsid w:val="000E57F2"/>
    <w:rsid w:val="000E72A7"/>
    <w:rsid w:val="000F1162"/>
    <w:rsid w:val="000F3467"/>
    <w:rsid w:val="000F38DE"/>
    <w:rsid w:val="000F532A"/>
    <w:rsid w:val="000F5D6C"/>
    <w:rsid w:val="00106852"/>
    <w:rsid w:val="00107E95"/>
    <w:rsid w:val="00110D15"/>
    <w:rsid w:val="00110F9D"/>
    <w:rsid w:val="00114A67"/>
    <w:rsid w:val="001253B6"/>
    <w:rsid w:val="001262C3"/>
    <w:rsid w:val="00127320"/>
    <w:rsid w:val="00127456"/>
    <w:rsid w:val="001312D8"/>
    <w:rsid w:val="0013137B"/>
    <w:rsid w:val="00145B3C"/>
    <w:rsid w:val="00150FFC"/>
    <w:rsid w:val="0015118B"/>
    <w:rsid w:val="001519CE"/>
    <w:rsid w:val="00161CF3"/>
    <w:rsid w:val="00162C00"/>
    <w:rsid w:val="001639EF"/>
    <w:rsid w:val="0016589F"/>
    <w:rsid w:val="00167A5D"/>
    <w:rsid w:val="001712CF"/>
    <w:rsid w:val="001763B8"/>
    <w:rsid w:val="00176F5C"/>
    <w:rsid w:val="0017769A"/>
    <w:rsid w:val="00183DFC"/>
    <w:rsid w:val="00184384"/>
    <w:rsid w:val="00186717"/>
    <w:rsid w:val="00187FFC"/>
    <w:rsid w:val="0019391C"/>
    <w:rsid w:val="0019790B"/>
    <w:rsid w:val="001A0DA0"/>
    <w:rsid w:val="001A0E1E"/>
    <w:rsid w:val="001A2018"/>
    <w:rsid w:val="001A4000"/>
    <w:rsid w:val="001B14CA"/>
    <w:rsid w:val="001B2C39"/>
    <w:rsid w:val="001B3675"/>
    <w:rsid w:val="001B5AE2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58"/>
    <w:rsid w:val="001E0F49"/>
    <w:rsid w:val="001E14F3"/>
    <w:rsid w:val="001E15ED"/>
    <w:rsid w:val="001E61AA"/>
    <w:rsid w:val="001F00CE"/>
    <w:rsid w:val="0020309E"/>
    <w:rsid w:val="00210B58"/>
    <w:rsid w:val="002131E5"/>
    <w:rsid w:val="002158F6"/>
    <w:rsid w:val="00220DC4"/>
    <w:rsid w:val="00222423"/>
    <w:rsid w:val="002230AA"/>
    <w:rsid w:val="0022360E"/>
    <w:rsid w:val="00225B28"/>
    <w:rsid w:val="00226891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28F0"/>
    <w:rsid w:val="00264F04"/>
    <w:rsid w:val="00267554"/>
    <w:rsid w:val="00270BEE"/>
    <w:rsid w:val="002758BE"/>
    <w:rsid w:val="002769F4"/>
    <w:rsid w:val="0028338F"/>
    <w:rsid w:val="002915C4"/>
    <w:rsid w:val="00297E6B"/>
    <w:rsid w:val="002A1D1C"/>
    <w:rsid w:val="002A34DC"/>
    <w:rsid w:val="002A4D64"/>
    <w:rsid w:val="002B4969"/>
    <w:rsid w:val="002B6554"/>
    <w:rsid w:val="002C20A0"/>
    <w:rsid w:val="002D05F0"/>
    <w:rsid w:val="002D2829"/>
    <w:rsid w:val="002D7D4A"/>
    <w:rsid w:val="002E331C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314"/>
    <w:rsid w:val="00322FBE"/>
    <w:rsid w:val="00325632"/>
    <w:rsid w:val="00327549"/>
    <w:rsid w:val="003342A5"/>
    <w:rsid w:val="00334616"/>
    <w:rsid w:val="00335C01"/>
    <w:rsid w:val="00336C36"/>
    <w:rsid w:val="0033721F"/>
    <w:rsid w:val="00343815"/>
    <w:rsid w:val="00350FC8"/>
    <w:rsid w:val="003522BB"/>
    <w:rsid w:val="00352F6C"/>
    <w:rsid w:val="003556EA"/>
    <w:rsid w:val="003864BE"/>
    <w:rsid w:val="00386FC7"/>
    <w:rsid w:val="00390A32"/>
    <w:rsid w:val="003A1E91"/>
    <w:rsid w:val="003A1F32"/>
    <w:rsid w:val="003A40F2"/>
    <w:rsid w:val="003A50D1"/>
    <w:rsid w:val="003B0BAC"/>
    <w:rsid w:val="003B196D"/>
    <w:rsid w:val="003B2710"/>
    <w:rsid w:val="003B4608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141A"/>
    <w:rsid w:val="00422F54"/>
    <w:rsid w:val="00430704"/>
    <w:rsid w:val="00431516"/>
    <w:rsid w:val="004361B3"/>
    <w:rsid w:val="0044249D"/>
    <w:rsid w:val="0044379F"/>
    <w:rsid w:val="004440ED"/>
    <w:rsid w:val="00444FCC"/>
    <w:rsid w:val="00445EFC"/>
    <w:rsid w:val="00446FB1"/>
    <w:rsid w:val="00452753"/>
    <w:rsid w:val="0046078F"/>
    <w:rsid w:val="00463214"/>
    <w:rsid w:val="0046434D"/>
    <w:rsid w:val="004652B4"/>
    <w:rsid w:val="004656FA"/>
    <w:rsid w:val="00471D77"/>
    <w:rsid w:val="00475587"/>
    <w:rsid w:val="00480BC2"/>
    <w:rsid w:val="00483EAE"/>
    <w:rsid w:val="004845C3"/>
    <w:rsid w:val="004910FC"/>
    <w:rsid w:val="004929C2"/>
    <w:rsid w:val="00493DB9"/>
    <w:rsid w:val="00493FDD"/>
    <w:rsid w:val="0049586B"/>
    <w:rsid w:val="004A3E44"/>
    <w:rsid w:val="004B2018"/>
    <w:rsid w:val="004B2896"/>
    <w:rsid w:val="004B38E9"/>
    <w:rsid w:val="004B3FBA"/>
    <w:rsid w:val="004B6599"/>
    <w:rsid w:val="004C4C37"/>
    <w:rsid w:val="004C59F4"/>
    <w:rsid w:val="004C6A35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42E5"/>
    <w:rsid w:val="004F52F0"/>
    <w:rsid w:val="004F5403"/>
    <w:rsid w:val="004F6176"/>
    <w:rsid w:val="004F621D"/>
    <w:rsid w:val="004F6250"/>
    <w:rsid w:val="004F677C"/>
    <w:rsid w:val="004F6D8F"/>
    <w:rsid w:val="00505503"/>
    <w:rsid w:val="0051107B"/>
    <w:rsid w:val="00512F9C"/>
    <w:rsid w:val="0052111E"/>
    <w:rsid w:val="00527CDB"/>
    <w:rsid w:val="005341C9"/>
    <w:rsid w:val="005369CA"/>
    <w:rsid w:val="00536DE9"/>
    <w:rsid w:val="00540971"/>
    <w:rsid w:val="00541E08"/>
    <w:rsid w:val="00554FE0"/>
    <w:rsid w:val="0055789A"/>
    <w:rsid w:val="00560952"/>
    <w:rsid w:val="005652D1"/>
    <w:rsid w:val="005660A0"/>
    <w:rsid w:val="00566A4F"/>
    <w:rsid w:val="00567D64"/>
    <w:rsid w:val="005747D9"/>
    <w:rsid w:val="00591E14"/>
    <w:rsid w:val="005978D4"/>
    <w:rsid w:val="005A23FA"/>
    <w:rsid w:val="005B2A67"/>
    <w:rsid w:val="005B3DCD"/>
    <w:rsid w:val="005B4AD4"/>
    <w:rsid w:val="005C2798"/>
    <w:rsid w:val="005C36C3"/>
    <w:rsid w:val="005C56EE"/>
    <w:rsid w:val="005D1714"/>
    <w:rsid w:val="005D7638"/>
    <w:rsid w:val="005E0189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6D90"/>
    <w:rsid w:val="00637055"/>
    <w:rsid w:val="00641D59"/>
    <w:rsid w:val="00644507"/>
    <w:rsid w:val="00646880"/>
    <w:rsid w:val="00647D2A"/>
    <w:rsid w:val="006537BB"/>
    <w:rsid w:val="00653C89"/>
    <w:rsid w:val="0065643E"/>
    <w:rsid w:val="00666D80"/>
    <w:rsid w:val="00667E07"/>
    <w:rsid w:val="00671533"/>
    <w:rsid w:val="00671785"/>
    <w:rsid w:val="00672BA9"/>
    <w:rsid w:val="00673005"/>
    <w:rsid w:val="006804BE"/>
    <w:rsid w:val="0068434A"/>
    <w:rsid w:val="0069008E"/>
    <w:rsid w:val="0069087E"/>
    <w:rsid w:val="006925C4"/>
    <w:rsid w:val="0069442F"/>
    <w:rsid w:val="006A02A1"/>
    <w:rsid w:val="006A02B7"/>
    <w:rsid w:val="006A7019"/>
    <w:rsid w:val="006B46D5"/>
    <w:rsid w:val="006B46F4"/>
    <w:rsid w:val="006C026F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ECB"/>
    <w:rsid w:val="00702F26"/>
    <w:rsid w:val="0070313E"/>
    <w:rsid w:val="00703799"/>
    <w:rsid w:val="00705C5C"/>
    <w:rsid w:val="00711475"/>
    <w:rsid w:val="0072548A"/>
    <w:rsid w:val="007277A6"/>
    <w:rsid w:val="00733CC4"/>
    <w:rsid w:val="00736686"/>
    <w:rsid w:val="007437AB"/>
    <w:rsid w:val="00745425"/>
    <w:rsid w:val="00745978"/>
    <w:rsid w:val="007534F8"/>
    <w:rsid w:val="007545AD"/>
    <w:rsid w:val="00761E3A"/>
    <w:rsid w:val="00763722"/>
    <w:rsid w:val="00764BC1"/>
    <w:rsid w:val="00770869"/>
    <w:rsid w:val="0077130E"/>
    <w:rsid w:val="007738AA"/>
    <w:rsid w:val="00780A62"/>
    <w:rsid w:val="00783241"/>
    <w:rsid w:val="00784BDC"/>
    <w:rsid w:val="00787911"/>
    <w:rsid w:val="00792F28"/>
    <w:rsid w:val="007935CA"/>
    <w:rsid w:val="0079543F"/>
    <w:rsid w:val="00795880"/>
    <w:rsid w:val="007A0020"/>
    <w:rsid w:val="007A4367"/>
    <w:rsid w:val="007B0867"/>
    <w:rsid w:val="007B1AC1"/>
    <w:rsid w:val="007B5A08"/>
    <w:rsid w:val="007B693D"/>
    <w:rsid w:val="007B7C02"/>
    <w:rsid w:val="007C4CDC"/>
    <w:rsid w:val="007E041B"/>
    <w:rsid w:val="007E199A"/>
    <w:rsid w:val="007E1AED"/>
    <w:rsid w:val="007E2415"/>
    <w:rsid w:val="007E312F"/>
    <w:rsid w:val="007E39F3"/>
    <w:rsid w:val="007E405E"/>
    <w:rsid w:val="007E68F4"/>
    <w:rsid w:val="007E6DE2"/>
    <w:rsid w:val="007F31BA"/>
    <w:rsid w:val="007F4078"/>
    <w:rsid w:val="0080014B"/>
    <w:rsid w:val="0080066A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0C7"/>
    <w:rsid w:val="00846B85"/>
    <w:rsid w:val="00847DC3"/>
    <w:rsid w:val="00847F49"/>
    <w:rsid w:val="008535C5"/>
    <w:rsid w:val="00853765"/>
    <w:rsid w:val="0085516F"/>
    <w:rsid w:val="00867186"/>
    <w:rsid w:val="00870AF6"/>
    <w:rsid w:val="00877452"/>
    <w:rsid w:val="00881268"/>
    <w:rsid w:val="0088394A"/>
    <w:rsid w:val="00885DDF"/>
    <w:rsid w:val="008860BD"/>
    <w:rsid w:val="008861A8"/>
    <w:rsid w:val="00887399"/>
    <w:rsid w:val="008875C5"/>
    <w:rsid w:val="0088779E"/>
    <w:rsid w:val="008912AF"/>
    <w:rsid w:val="00892114"/>
    <w:rsid w:val="00892CB9"/>
    <w:rsid w:val="008935CB"/>
    <w:rsid w:val="00897BC1"/>
    <w:rsid w:val="008A036B"/>
    <w:rsid w:val="008B0E7E"/>
    <w:rsid w:val="008B65BD"/>
    <w:rsid w:val="008B7900"/>
    <w:rsid w:val="008C4711"/>
    <w:rsid w:val="008C71BF"/>
    <w:rsid w:val="008C7FE0"/>
    <w:rsid w:val="008D5717"/>
    <w:rsid w:val="008E223D"/>
    <w:rsid w:val="008E44A9"/>
    <w:rsid w:val="008E6B4D"/>
    <w:rsid w:val="008E6BFF"/>
    <w:rsid w:val="008F21AF"/>
    <w:rsid w:val="008F2400"/>
    <w:rsid w:val="008F47AD"/>
    <w:rsid w:val="008F61BA"/>
    <w:rsid w:val="008F6E3C"/>
    <w:rsid w:val="008F7C55"/>
    <w:rsid w:val="0090733B"/>
    <w:rsid w:val="00914A23"/>
    <w:rsid w:val="00930754"/>
    <w:rsid w:val="00933635"/>
    <w:rsid w:val="00934F68"/>
    <w:rsid w:val="009355AC"/>
    <w:rsid w:val="00935F38"/>
    <w:rsid w:val="00937586"/>
    <w:rsid w:val="00947889"/>
    <w:rsid w:val="009478BD"/>
    <w:rsid w:val="00960E98"/>
    <w:rsid w:val="009625C7"/>
    <w:rsid w:val="00963A82"/>
    <w:rsid w:val="00972912"/>
    <w:rsid w:val="00973BFC"/>
    <w:rsid w:val="00976D1F"/>
    <w:rsid w:val="00981C81"/>
    <w:rsid w:val="009A2D24"/>
    <w:rsid w:val="009A44C9"/>
    <w:rsid w:val="009A456C"/>
    <w:rsid w:val="009B00E0"/>
    <w:rsid w:val="009B292A"/>
    <w:rsid w:val="009B6FD3"/>
    <w:rsid w:val="009B76D5"/>
    <w:rsid w:val="009C165D"/>
    <w:rsid w:val="009C3CEA"/>
    <w:rsid w:val="009C583D"/>
    <w:rsid w:val="009D2611"/>
    <w:rsid w:val="009D79D2"/>
    <w:rsid w:val="009E247C"/>
    <w:rsid w:val="009E31BA"/>
    <w:rsid w:val="009F0528"/>
    <w:rsid w:val="009F0806"/>
    <w:rsid w:val="009F233B"/>
    <w:rsid w:val="00A05D16"/>
    <w:rsid w:val="00A0659F"/>
    <w:rsid w:val="00A068F7"/>
    <w:rsid w:val="00A079BA"/>
    <w:rsid w:val="00A14E8C"/>
    <w:rsid w:val="00A20C70"/>
    <w:rsid w:val="00A320F2"/>
    <w:rsid w:val="00A33875"/>
    <w:rsid w:val="00A360A1"/>
    <w:rsid w:val="00A402B3"/>
    <w:rsid w:val="00A5249A"/>
    <w:rsid w:val="00A544B7"/>
    <w:rsid w:val="00A618CF"/>
    <w:rsid w:val="00A62770"/>
    <w:rsid w:val="00A62EEB"/>
    <w:rsid w:val="00A62F95"/>
    <w:rsid w:val="00A660FF"/>
    <w:rsid w:val="00A70D1D"/>
    <w:rsid w:val="00A73395"/>
    <w:rsid w:val="00A74FFC"/>
    <w:rsid w:val="00A771E3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4505"/>
    <w:rsid w:val="00AC5E9A"/>
    <w:rsid w:val="00AC704B"/>
    <w:rsid w:val="00AD553E"/>
    <w:rsid w:val="00AD5848"/>
    <w:rsid w:val="00AE5ADA"/>
    <w:rsid w:val="00AF6145"/>
    <w:rsid w:val="00AF695B"/>
    <w:rsid w:val="00B01386"/>
    <w:rsid w:val="00B01915"/>
    <w:rsid w:val="00B01BB5"/>
    <w:rsid w:val="00B026CC"/>
    <w:rsid w:val="00B04AF4"/>
    <w:rsid w:val="00B05214"/>
    <w:rsid w:val="00B252D2"/>
    <w:rsid w:val="00B30D97"/>
    <w:rsid w:val="00B31074"/>
    <w:rsid w:val="00B3181A"/>
    <w:rsid w:val="00B35A7C"/>
    <w:rsid w:val="00B44ECD"/>
    <w:rsid w:val="00B450D1"/>
    <w:rsid w:val="00B47216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0040"/>
    <w:rsid w:val="00B93668"/>
    <w:rsid w:val="00BA68C6"/>
    <w:rsid w:val="00BB12F1"/>
    <w:rsid w:val="00BB276E"/>
    <w:rsid w:val="00BB3FEE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3249"/>
    <w:rsid w:val="00BE54D3"/>
    <w:rsid w:val="00BE5CDA"/>
    <w:rsid w:val="00BE608F"/>
    <w:rsid w:val="00BF23BB"/>
    <w:rsid w:val="00BF33DD"/>
    <w:rsid w:val="00BF5755"/>
    <w:rsid w:val="00BF684B"/>
    <w:rsid w:val="00C0058A"/>
    <w:rsid w:val="00C016F3"/>
    <w:rsid w:val="00C01F87"/>
    <w:rsid w:val="00C15193"/>
    <w:rsid w:val="00C15609"/>
    <w:rsid w:val="00C15F6A"/>
    <w:rsid w:val="00C171C9"/>
    <w:rsid w:val="00C23EA7"/>
    <w:rsid w:val="00C256F3"/>
    <w:rsid w:val="00C270A2"/>
    <w:rsid w:val="00C315B5"/>
    <w:rsid w:val="00C33970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42C8"/>
    <w:rsid w:val="00C74A87"/>
    <w:rsid w:val="00C81814"/>
    <w:rsid w:val="00C83027"/>
    <w:rsid w:val="00C84B8A"/>
    <w:rsid w:val="00C85E65"/>
    <w:rsid w:val="00C87CA1"/>
    <w:rsid w:val="00C911B4"/>
    <w:rsid w:val="00C91B3B"/>
    <w:rsid w:val="00C94262"/>
    <w:rsid w:val="00C976E1"/>
    <w:rsid w:val="00CA0FD5"/>
    <w:rsid w:val="00CA148E"/>
    <w:rsid w:val="00CA1860"/>
    <w:rsid w:val="00CA3A9A"/>
    <w:rsid w:val="00CB6BC1"/>
    <w:rsid w:val="00CB7021"/>
    <w:rsid w:val="00CD3294"/>
    <w:rsid w:val="00CD4524"/>
    <w:rsid w:val="00CD784D"/>
    <w:rsid w:val="00CE087B"/>
    <w:rsid w:val="00CE2801"/>
    <w:rsid w:val="00CF3A1C"/>
    <w:rsid w:val="00CF40F8"/>
    <w:rsid w:val="00D008DA"/>
    <w:rsid w:val="00D01340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31A6F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72869"/>
    <w:rsid w:val="00D76249"/>
    <w:rsid w:val="00DA7D12"/>
    <w:rsid w:val="00DC23CF"/>
    <w:rsid w:val="00DC6562"/>
    <w:rsid w:val="00DE130D"/>
    <w:rsid w:val="00DE24CF"/>
    <w:rsid w:val="00DE407C"/>
    <w:rsid w:val="00DE5032"/>
    <w:rsid w:val="00DE67CB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7172"/>
    <w:rsid w:val="00E24DA4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1854"/>
    <w:rsid w:val="00E52CF9"/>
    <w:rsid w:val="00E63F34"/>
    <w:rsid w:val="00E63FEA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721A"/>
    <w:rsid w:val="00EE393D"/>
    <w:rsid w:val="00EF01CF"/>
    <w:rsid w:val="00EF1CD6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D09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73FE7"/>
    <w:rsid w:val="00F86AD4"/>
    <w:rsid w:val="00F918D0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0AFF"/>
    <w:rsid w:val="00FD2049"/>
    <w:rsid w:val="00FD2140"/>
    <w:rsid w:val="00FD4722"/>
    <w:rsid w:val="00FD5B5F"/>
    <w:rsid w:val="00FD5BDE"/>
    <w:rsid w:val="00FD68EC"/>
    <w:rsid w:val="00FE24A5"/>
    <w:rsid w:val="00FE31E5"/>
    <w:rsid w:val="00FF19AD"/>
    <w:rsid w:val="00FF1EB5"/>
    <w:rsid w:val="00FF1FE0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8A03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constantinou@cystat.mof.gov.c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isplay?s=4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National%20Accounts__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5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C3F9F-32C5-417A-9004-D1A353BA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5505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12</cp:revision>
  <cp:lastPrinted>2024-05-31T06:30:00Z</cp:lastPrinted>
  <dcterms:created xsi:type="dcterms:W3CDTF">2024-04-25T06:50:00Z</dcterms:created>
  <dcterms:modified xsi:type="dcterms:W3CDTF">2024-06-03T08:10:00Z</dcterms:modified>
</cp:coreProperties>
</file>