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3A86A975" w:rsidR="000D572B" w:rsidRPr="000D572B" w:rsidRDefault="00267B8B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14C40">
        <w:rPr>
          <w:rFonts w:ascii="Verdana" w:hAnsi="Verdana" w:cs="Arial"/>
          <w:sz w:val="18"/>
          <w:szCs w:val="18"/>
          <w:lang w:val="el-GR"/>
        </w:rPr>
        <w:t>2</w:t>
      </w:r>
      <w:r w:rsidR="00591C79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Ιουνί</w:t>
      </w:r>
      <w:r w:rsidR="00591C79">
        <w:rPr>
          <w:rFonts w:ascii="Verdana" w:hAnsi="Verdana" w:cs="Arial"/>
          <w:sz w:val="18"/>
          <w:szCs w:val="18"/>
          <w:lang w:val="el-GR"/>
        </w:rPr>
        <w:t>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591C79">
        <w:rPr>
          <w:rFonts w:ascii="Verdana" w:hAnsi="Verdana" w:cs="Arial"/>
          <w:sz w:val="18"/>
          <w:szCs w:val="18"/>
          <w:lang w:val="el-GR"/>
        </w:rPr>
        <w:t>5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bookmarkStart w:id="0" w:name="_GoBack"/>
      <w:bookmarkEnd w:id="0"/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679B1040" w:rsidR="000D572B" w:rsidRPr="00267B8B" w:rsidRDefault="00B90040" w:rsidP="00267B8B">
      <w:pPr>
        <w:jc w:val="center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267B8B" w:rsidRPr="00267B8B">
        <w:rPr>
          <w:rFonts w:ascii="Verdana" w:hAnsi="Verdana" w:cs="Arial"/>
          <w:b/>
          <w:u w:val="single"/>
          <w:lang w:val="el-GR"/>
        </w:rPr>
        <w:t>1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267B8B" w:rsidRPr="00267B8B">
        <w:rPr>
          <w:rFonts w:ascii="Verdana" w:hAnsi="Verdana" w:cs="Arial"/>
          <w:b/>
          <w:bCs/>
          <w:u w:val="single"/>
          <w:lang w:val="el-GR"/>
        </w:rPr>
        <w:t>5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35FA8133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267B8B" w:rsidRPr="00267B8B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267B8B" w:rsidRPr="00267B8B">
        <w:rPr>
          <w:rFonts w:ascii="Verdana" w:hAnsi="Verdana" w:cs="Arial"/>
          <w:b/>
          <w:bCs/>
          <w:lang w:val="el-GR"/>
        </w:rPr>
        <w:t>0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19012F15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267B8B">
        <w:rPr>
          <w:rFonts w:ascii="Verdana" w:hAnsi="Verdana" w:cs="Arial"/>
          <w:sz w:val="18"/>
          <w:szCs w:val="18"/>
          <w:lang w:val="el-GR"/>
        </w:rPr>
        <w:t>πρώτο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267B8B">
        <w:rPr>
          <w:rFonts w:ascii="Verdana" w:hAnsi="Verdana" w:cs="Arial"/>
          <w:sz w:val="18"/>
          <w:szCs w:val="18"/>
          <w:lang w:val="el-GR"/>
        </w:rPr>
        <w:t>5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="00267B8B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267B8B">
        <w:rPr>
          <w:rFonts w:ascii="Verdana" w:hAnsi="Verdana" w:cs="Arial"/>
          <w:sz w:val="18"/>
          <w:szCs w:val="18"/>
          <w:lang w:val="el-GR"/>
        </w:rPr>
        <w:t>0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 w:rsidR="00267B8B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. Μετά τη διόρθωση του ΑΕΠ ως προς τις εποχικές διακυμάνσεις και τις εργάσιμες μέρες, ο ρυθμός ανάπτυξης υπολογίζεται στο </w:t>
      </w:r>
      <w:r w:rsidR="00267B8B">
        <w:rPr>
          <w:rFonts w:ascii="Verdana" w:hAnsi="Verdana" w:cs="Arial"/>
          <w:sz w:val="18"/>
          <w:szCs w:val="18"/>
          <w:lang w:val="el-GR"/>
        </w:rPr>
        <w:t>3,0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6F0E521A" w14:textId="13709919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5405CF98" w:rsidR="00110D15" w:rsidRPr="00FD4722" w:rsidRDefault="00C14C40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57A79A57" wp14:editId="09D53959">
            <wp:extent cx="6096635" cy="43954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4000C" w14:textId="0EFBF93F" w:rsidR="00BE3249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Όσον αφορά την προσέγγιση παραγωγής για τον υπολογισμό του ΑΕΠ, </w:t>
      </w:r>
      <w:r w:rsidR="005F27E8">
        <w:rPr>
          <w:rFonts w:ascii="Verdana" w:hAnsi="Verdana" w:cs="Arial"/>
          <w:sz w:val="18"/>
          <w:szCs w:val="18"/>
          <w:lang w:val="el-GR"/>
        </w:rPr>
        <w:t>ο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</w:t>
      </w:r>
      <w:r w:rsidR="00267B8B">
        <w:rPr>
          <w:rFonts w:ascii="Verdana" w:hAnsi="Verdana" w:cs="Arial"/>
          <w:sz w:val="18"/>
          <w:szCs w:val="18"/>
          <w:lang w:val="el-GR"/>
        </w:rPr>
        <w:t>«Χονδρικό και Λιανικό Εμπόριο, Επισκευή μηχανοκινήτων οχημάτων», «Ενημέρωση και Επικοινωνίες», «Κατασκευές» και «Ξενοδοχεία και Εστιατόρια».</w:t>
      </w:r>
      <w:r w:rsidR="00267B8B" w:rsidRPr="00267B8B">
        <w:rPr>
          <w:rFonts w:ascii="Verdana" w:hAnsi="Verdana" w:cs="Arial"/>
          <w:sz w:val="18"/>
          <w:szCs w:val="18"/>
          <w:lang w:val="el-GR"/>
        </w:rPr>
        <w:t xml:space="preserve"> </w:t>
      </w:r>
      <w:r w:rsidR="005F27E8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76D3A2B9" w14:textId="77777777" w:rsidR="0044183E" w:rsidRDefault="0044183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39590D1" w:rsidR="00636D90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E1A533" w14:textId="77777777" w:rsidR="00267B8B" w:rsidRPr="00FD4722" w:rsidRDefault="00267B8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955B9" w:rsidRPr="00A955B9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A955B9" w:rsidRDefault="00FD4722" w:rsidP="00FD4722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A955B9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A955B9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A955B9" w:rsidRDefault="00FD4722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955B9" w:rsidRPr="001841B4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A955B9" w:rsidRDefault="00736686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bookmarkStart w:id="1" w:name="_Hlk135216527"/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A955B9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A955B9" w:rsidRPr="00A955B9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A955B9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A955B9" w:rsidRDefault="00736686" w:rsidP="00653C89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A955B9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A955B9" w:rsidRPr="00A955B9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A955B9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5CDD5727" w:rsidR="00C0058A" w:rsidRPr="00A955B9" w:rsidRDefault="00C0058A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736686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52B6494A" w14:textId="739893C6" w:rsidR="00736686" w:rsidRPr="00A955B9" w:rsidRDefault="00736686" w:rsidP="00736686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63501264" w:rsidR="00C0058A" w:rsidRPr="00A955B9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736686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3626804A" w14:textId="4E5ADDC9" w:rsidR="00736686" w:rsidRPr="00A955B9" w:rsidRDefault="00736686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A113892" w14:textId="134F1587" w:rsidR="00C0058A" w:rsidRPr="00A955B9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736686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="00736686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7E1459A4" w14:textId="109EEC02" w:rsidR="00736686" w:rsidRPr="00A955B9" w:rsidRDefault="00C0058A" w:rsidP="00653C89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  <w:r w:rsidR="00736686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763294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A955B9" w:rsidRPr="00A955B9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FE6906" w:rsidRPr="00A955B9" w:rsidRDefault="00FE6906" w:rsidP="00FE6906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1529319A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7.340,6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5BE00844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63485C70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1,3</w:t>
            </w:r>
          </w:p>
        </w:tc>
      </w:tr>
      <w:tr w:rsidR="00A955B9" w:rsidRPr="00A955B9" w14:paraId="09DC7839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5EC9E16C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80,2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1A121E44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16B8400E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-0,1</w:t>
            </w:r>
          </w:p>
        </w:tc>
      </w:tr>
      <w:tr w:rsidR="00A955B9" w:rsidRPr="00A955B9" w14:paraId="2C9B2CD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FE6906" w:rsidRPr="00A955B9" w:rsidRDefault="00FE6906" w:rsidP="00FE690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B 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4235C525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408,1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559DD7A1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1F3B9E75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A955B9" w:rsidRPr="00A955B9" w14:paraId="39FD0FF3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FE6906" w:rsidRPr="00A955B9" w:rsidRDefault="00FE6906" w:rsidP="00FE6906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5DCF4712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296,1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66C71501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35FCC9C9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A955B9" w:rsidRPr="00A955B9" w14:paraId="54F99004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54CC3A5A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324,9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002044BC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4,1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3275DB4B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11,2</w:t>
            </w:r>
          </w:p>
        </w:tc>
      </w:tr>
      <w:tr w:rsidR="00A955B9" w:rsidRPr="00A955B9" w14:paraId="1D49DF5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 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0A50443D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1.534,3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49822381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3,9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251E3726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A955B9" w:rsidRPr="00A955B9" w14:paraId="54903CCE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2D4E3FD3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821,6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671EBB17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5,3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07B13C41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1,9</w:t>
            </w:r>
          </w:p>
        </w:tc>
      </w:tr>
      <w:tr w:rsidR="00A955B9" w:rsidRPr="00A955B9" w14:paraId="3280087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6D85B7A1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614,2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3850B480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4B6562DC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</w:tr>
      <w:tr w:rsidR="00A955B9" w:rsidRPr="00A955B9" w14:paraId="6314CE01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72DFBCF7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647,0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09C9123B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2,3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342F1A3D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0,4</w:t>
            </w:r>
          </w:p>
        </w:tc>
      </w:tr>
      <w:tr w:rsidR="00A955B9" w:rsidRPr="00A955B9" w14:paraId="0410C26B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5A927CAF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640,4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0C28B1C0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2,2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4979D130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0,9</w:t>
            </w:r>
          </w:p>
        </w:tc>
      </w:tr>
      <w:tr w:rsidR="00A955B9" w:rsidRPr="00A955B9" w14:paraId="3B74FEA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O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78ABDC34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1.145,6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4D74D5F2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44E9712A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0,2</w:t>
            </w:r>
          </w:p>
        </w:tc>
      </w:tr>
      <w:tr w:rsidR="00A955B9" w:rsidRPr="00A955B9" w14:paraId="7EA4E01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FE6906" w:rsidRPr="00A955B9" w:rsidRDefault="00FE6906" w:rsidP="00FE6906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R 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08769A92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244,0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35DAAC35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16A9672B" w:rsidR="00FE6906" w:rsidRPr="00A955B9" w:rsidRDefault="00FE6906" w:rsidP="00FE6906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-1,2</w:t>
            </w:r>
          </w:p>
        </w:tc>
      </w:tr>
      <w:tr w:rsidR="00A955B9" w:rsidRPr="00A955B9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CE6185" w:rsidRPr="00A955B9" w:rsidRDefault="00CE6185" w:rsidP="00CE6185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075F9848" w:rsidR="00CE6185" w:rsidRPr="00A955B9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34F71EA6" w:rsidR="00CE6185" w:rsidRPr="00A955B9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2E3150D7" w:rsidR="00CE6185" w:rsidRPr="00A955B9" w:rsidRDefault="00CE6185" w:rsidP="00CE6185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bookmarkEnd w:id="1"/>
    <w:p w14:paraId="66F6E282" w14:textId="6B6D3641" w:rsidR="00CA0FD5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Α: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Γεωργία, Δασοκομία Και Αλιεία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2910C43" w14:textId="4E053256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B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E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C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Μεταποίηση</w:t>
      </w:r>
    </w:p>
    <w:p w14:paraId="70E7B0D6" w14:textId="284EADFF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F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Κατασκευές</w:t>
      </w:r>
    </w:p>
    <w:p w14:paraId="550557D0" w14:textId="1FB64334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G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I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2B4ED0ED" w14:textId="39A425B4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J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K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A955B9" w:rsidRDefault="001B5AE2" w:rsidP="00FD4722">
      <w:pPr>
        <w:jc w:val="both"/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L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M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&amp;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N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71E109D" w14:textId="117FC9DF" w:rsidR="001B5AE2" w:rsidRPr="00A955B9" w:rsidRDefault="001B5AE2" w:rsidP="00FD4722">
      <w:pPr>
        <w:jc w:val="both"/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O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Q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</w:p>
    <w:p w14:paraId="14165B9F" w14:textId="3BA206FA" w:rsidR="001B5AE2" w:rsidRPr="00A955B9" w:rsidRDefault="001B5AE2" w:rsidP="00FD4722">
      <w:pPr>
        <w:jc w:val="both"/>
        <w:rPr>
          <w:rFonts w:ascii="Verdana" w:hAnsi="Verdana" w:cs="Arial"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R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="009A44C9"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-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</w:rPr>
        <w:t>U</w:t>
      </w: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: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 xml:space="preserve"> </w:t>
      </w:r>
      <w:r w:rsidRPr="00A955B9">
        <w:rPr>
          <w:rFonts w:ascii="Verdana" w:hAnsi="Verdana" w:cs="Arial"/>
          <w:iCs/>
          <w:color w:val="366092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Pr="00A955B9" w:rsidRDefault="002758BE" w:rsidP="00FD4722">
      <w:pPr>
        <w:jc w:val="both"/>
        <w:rPr>
          <w:rFonts w:ascii="Verdana" w:hAnsi="Verdana" w:cs="Arial"/>
          <w:iCs/>
          <w:color w:val="366092"/>
          <w:sz w:val="18"/>
          <w:szCs w:val="18"/>
          <w:lang w:val="el-GR"/>
        </w:rPr>
      </w:pPr>
    </w:p>
    <w:p w14:paraId="57FC06D7" w14:textId="77777777" w:rsidR="00666D80" w:rsidRPr="00A955B9" w:rsidRDefault="00666D80" w:rsidP="00FD4722">
      <w:pPr>
        <w:jc w:val="both"/>
        <w:rPr>
          <w:rFonts w:ascii="Verdana" w:hAnsi="Verdana" w:cs="Arial"/>
          <w:iCs/>
          <w:color w:val="366092"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955B9" w:rsidRPr="00A955B9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A955B9" w:rsidRDefault="000971D3" w:rsidP="00E51854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bookmarkStart w:id="2" w:name="_Hlk135921969"/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A955B9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A955B9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A955B9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955B9" w:rsidRPr="001841B4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A955B9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A955B9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A955B9" w:rsidRPr="00A955B9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A955B9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A955B9" w:rsidRDefault="000419EF" w:rsidP="000419EF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A955B9" w:rsidRDefault="000419EF" w:rsidP="000419E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A955B9" w:rsidRPr="00A955B9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A955B9" w:rsidRDefault="000419EF" w:rsidP="000971D3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52E4DC25" w:rsidR="000419EF" w:rsidRPr="00A955B9" w:rsidRDefault="00C0058A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2E5F3153" w14:textId="5FC39C14" w:rsidR="000419EF" w:rsidRPr="00A955B9" w:rsidRDefault="000419EF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4D81782A" w:rsidR="00C0058A" w:rsidRPr="00A955B9" w:rsidRDefault="00C0058A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0419EF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4F3FB45" w14:textId="1D1027DB" w:rsidR="000419EF" w:rsidRPr="00A955B9" w:rsidRDefault="000419EF" w:rsidP="000971D3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0902B232" w:rsidR="00C0058A" w:rsidRPr="00A955B9" w:rsidRDefault="00C0058A" w:rsidP="00C0058A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0419EF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="000419EF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6EFB4FCB" w14:textId="4E7FBD4D" w:rsidR="000419EF" w:rsidRPr="00A955B9" w:rsidRDefault="00C0058A" w:rsidP="00C0058A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267B8B" w:rsidRPr="00A955B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</w:t>
            </w:r>
            <w:r w:rsidR="000419EF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763294"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A955B9" w:rsidRPr="00A955B9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FE6906" w:rsidRPr="00A955B9" w:rsidRDefault="00FE6906" w:rsidP="00FE690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0FDE13B0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7340,6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5D141434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55DB7BDB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1,3</w:t>
            </w:r>
          </w:p>
        </w:tc>
      </w:tr>
      <w:tr w:rsidR="00A955B9" w:rsidRPr="00A955B9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FE6906" w:rsidRPr="00A955B9" w:rsidRDefault="00FE6906" w:rsidP="00FE690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797CF521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5680,5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0957526B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313E9084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0,4</w:t>
            </w:r>
          </w:p>
        </w:tc>
      </w:tr>
      <w:tr w:rsidR="00A955B9" w:rsidRPr="00A955B9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FE6906" w:rsidRPr="00A955B9" w:rsidRDefault="00FE6906" w:rsidP="00FE6906">
            <w:pPr>
              <w:ind w:left="321"/>
              <w:rPr>
                <w:rFonts w:ascii="Verdana" w:hAnsi="Verdana" w:cs="Arial"/>
                <w:i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i/>
                <w:color w:val="366092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FE6906" w:rsidRPr="00A955B9" w:rsidRDefault="00FE6906" w:rsidP="00FE6906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186C09A5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4452,6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2E556DC8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1ADE7361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A955B9" w:rsidRPr="00A955B9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FE6906" w:rsidRPr="00A955B9" w:rsidRDefault="00FE6906" w:rsidP="00FE6906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2241B599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1233,7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3896B7A6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4F2C8E98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0,0</w:t>
            </w:r>
          </w:p>
        </w:tc>
      </w:tr>
      <w:tr w:rsidR="00A955B9" w:rsidRPr="00A955B9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FE6906" w:rsidRPr="00A955B9" w:rsidRDefault="00FE6906" w:rsidP="00FE690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Ακαθάριστος Σχηματισμός Πάγιου Κεφαλαίου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4247C5A8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1471,4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1C79B109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19,3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47840337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-17,5</w:t>
            </w:r>
          </w:p>
        </w:tc>
      </w:tr>
      <w:tr w:rsidR="00A955B9" w:rsidRPr="00A955B9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FE6906" w:rsidRPr="00A955B9" w:rsidRDefault="00FE6906" w:rsidP="00FE6906">
            <w:pPr>
              <w:ind w:left="113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ΑΣΠΚ ε</w:t>
            </w:r>
            <w:r w:rsidRPr="00A955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6AF518CA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1472,3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39080ED9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11,0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5F05C145" w:rsidR="00FE6906" w:rsidRPr="00A955B9" w:rsidRDefault="00FE6906" w:rsidP="00BE3509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color w:val="366092"/>
                <w:sz w:val="18"/>
                <w:szCs w:val="18"/>
              </w:rPr>
              <w:t>5,6</w:t>
            </w:r>
          </w:p>
        </w:tc>
      </w:tr>
      <w:tr w:rsidR="00A955B9" w:rsidRPr="00A955B9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FE6906" w:rsidRPr="00A955B9" w:rsidRDefault="00FE6906" w:rsidP="00FE690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Εισαγωγές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4271F8C4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7104,9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155225F7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5B7A46C9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-4,4</w:t>
            </w:r>
          </w:p>
        </w:tc>
      </w:tr>
      <w:tr w:rsidR="00A955B9" w:rsidRPr="00A955B9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FE6906" w:rsidRPr="00A955B9" w:rsidRDefault="00FE6906" w:rsidP="00FE6906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Εξαγωγές Αγαθών και Υπηρεσιών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30737320" w:rsidR="00FE6906" w:rsidRPr="00A955B9" w:rsidRDefault="00FE6906" w:rsidP="00FE6906">
            <w:pPr>
              <w:ind w:right="34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7624,1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20D17714" w:rsidR="00FE6906" w:rsidRPr="00A955B9" w:rsidRDefault="00FE6906" w:rsidP="00FE6906">
            <w:pPr>
              <w:ind w:right="56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4,5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7AE4724A" w:rsidR="00FE6906" w:rsidRPr="00A955B9" w:rsidRDefault="00FE6906" w:rsidP="00FE6906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55B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2,7</w:t>
            </w:r>
          </w:p>
        </w:tc>
      </w:tr>
      <w:tr w:rsidR="00A955B9" w:rsidRPr="00A955B9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A955B9" w:rsidRDefault="00A62F95" w:rsidP="00E5185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A955B9" w:rsidRDefault="00A62F95" w:rsidP="000419EF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A955B9" w:rsidRDefault="00A62F95" w:rsidP="000419EF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A955B9" w:rsidRDefault="00A62F95" w:rsidP="000419EF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bookmarkEnd w:id="2"/>
    <w:p w14:paraId="2186290B" w14:textId="77777777" w:rsidR="00B90040" w:rsidRPr="00A955B9" w:rsidRDefault="00E51854">
      <w:pPr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</w:pPr>
      <w:r w:rsidRPr="00A955B9">
        <w:rPr>
          <w:rFonts w:ascii="Verdana" w:hAnsi="Verdana" w:cs="Arial"/>
          <w:b/>
          <w:bCs/>
          <w:iCs/>
          <w:color w:val="366092"/>
          <w:sz w:val="16"/>
          <w:szCs w:val="16"/>
          <w:lang w:val="el-GR"/>
        </w:rPr>
        <w:t>ΜΚΙΕΝ</w:t>
      </w:r>
      <w:r w:rsidRPr="00A955B9">
        <w:rPr>
          <w:rFonts w:ascii="Verdana" w:hAnsi="Verdana" w:cs="Arial"/>
          <w:bCs/>
          <w:iCs/>
          <w:color w:val="366092"/>
          <w:sz w:val="16"/>
          <w:szCs w:val="16"/>
          <w:lang w:val="el-GR"/>
        </w:rPr>
        <w:t>: Μη Κερδοσκοπικά Ιδρύματα που Εξυπηρετούν Νοικοκυριά</w:t>
      </w: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-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3820E2" w:rsidP="008A036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A036B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8A036B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A036B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A036B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3820E2" w:rsidP="008A036B">
      <w:pPr>
        <w:rPr>
          <w:lang w:val="el-GR"/>
        </w:rPr>
      </w:pPr>
      <w:hyperlink r:id="rId12" w:history="1">
        <w:r w:rsidR="008A036B"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A036B" w:rsidRPr="008A036B">
        <w:rPr>
          <w:lang w:val="el-GR"/>
        </w:rPr>
        <w:t xml:space="preserve"> </w:t>
      </w:r>
      <w:r w:rsidR="008A036B" w:rsidRPr="00032633">
        <w:rPr>
          <w:lang w:val="el-GR"/>
        </w:rPr>
        <w:t>(</w:t>
      </w:r>
      <w:r w:rsidR="008A036B">
        <w:t>Excel</w:t>
      </w:r>
      <w:r w:rsidR="008A036B" w:rsidRPr="00032633">
        <w:rPr>
          <w:lang w:val="el-GR"/>
        </w:rPr>
        <w:t>)</w:t>
      </w:r>
    </w:p>
    <w:p w14:paraId="127998F1" w14:textId="61080B70" w:rsidR="00B90040" w:rsidRPr="00573F8E" w:rsidRDefault="003820E2" w:rsidP="008A036B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AB982" w14:textId="77777777" w:rsidR="00CC6323" w:rsidRDefault="00CC6323" w:rsidP="00FB398F">
      <w:r>
        <w:separator/>
      </w:r>
    </w:p>
  </w:endnote>
  <w:endnote w:type="continuationSeparator" w:id="0">
    <w:p w14:paraId="02533233" w14:textId="77777777" w:rsidR="00CC6323" w:rsidRDefault="00CC632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1841B4">
      <w:rPr>
        <w:noProof/>
      </w:rPr>
      <w:t>3</w:t>
    </w:r>
    <w:r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1F00CE" w:rsidRPr="00A955B9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A955B9">
      <w:rPr>
        <w:rFonts w:ascii="Verdana" w:hAnsi="Verdana" w:cs="Arial"/>
        <w:iCs/>
        <w:sz w:val="16"/>
        <w:szCs w:val="16"/>
        <w:lang w:val="el-GR"/>
      </w:rPr>
      <w:t xml:space="preserve">Διεύθυνση: Μιχαήλ </w:t>
    </w:r>
    <w:proofErr w:type="spellStart"/>
    <w:r w:rsidRPr="00A955B9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A955B9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701EBEC3" w14:textId="0190648F" w:rsidR="001F00CE" w:rsidRPr="00A955B9" w:rsidRDefault="001F00CE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A955B9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A955B9" w:rsidRPr="00A955B9">
      <w:rPr>
        <w:rFonts w:ascii="Verdana" w:hAnsi="Verdana" w:cs="Arial"/>
        <w:iCs/>
        <w:sz w:val="16"/>
        <w:szCs w:val="16"/>
        <w:lang w:val="el-GR"/>
      </w:rPr>
      <w:t>.: 22 602129</w:t>
    </w:r>
    <w:r w:rsidR="00A955B9">
      <w:rPr>
        <w:rFonts w:ascii="Verdana" w:hAnsi="Verdana" w:cs="Arial"/>
        <w:iCs/>
        <w:sz w:val="16"/>
        <w:szCs w:val="16"/>
        <w:lang w:val="de-DE"/>
      </w:rPr>
      <w:t xml:space="preserve">, </w:t>
    </w:r>
    <w:proofErr w:type="spellStart"/>
    <w:r w:rsidR="00A955B9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A955B9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A955B9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A955B9">
      <w:rPr>
        <w:rFonts w:ascii="Verdana" w:hAnsi="Verdana" w:cs="Arial"/>
        <w:iCs/>
        <w:sz w:val="16"/>
        <w:szCs w:val="16"/>
        <w:lang w:val="el-GR"/>
      </w:rPr>
      <w:t>.</w:t>
    </w:r>
    <w:r w:rsidRPr="00A955B9">
      <w:rPr>
        <w:rFonts w:ascii="Verdana" w:hAnsi="Verdana" w:cs="Arial"/>
        <w:iCs/>
        <w:sz w:val="16"/>
        <w:szCs w:val="16"/>
        <w:lang w:val="de-DE"/>
      </w:rPr>
      <w:t xml:space="preserve">: </w:t>
    </w:r>
    <w:r w:rsidR="00CC6323">
      <w:fldChar w:fldCharType="begin"/>
    </w:r>
    <w:r w:rsidR="00CC6323" w:rsidRPr="001841B4">
      <w:rPr>
        <w:lang w:val="el-GR"/>
      </w:rPr>
      <w:instrText xml:space="preserve"> </w:instrText>
    </w:r>
    <w:r w:rsidR="00CC6323">
      <w:instrText>HYPERLINK</w:instrText>
    </w:r>
    <w:r w:rsidR="00CC6323" w:rsidRPr="001841B4">
      <w:rPr>
        <w:lang w:val="el-GR"/>
      </w:rPr>
      <w:instrText xml:space="preserve"> "</w:instrText>
    </w:r>
    <w:r w:rsidR="00CC6323">
      <w:instrText>mailto</w:instrText>
    </w:r>
    <w:r w:rsidR="00CC6323" w:rsidRPr="001841B4">
      <w:rPr>
        <w:lang w:val="el-GR"/>
      </w:rPr>
      <w:instrText>:</w:instrText>
    </w:r>
    <w:r w:rsidR="00CC6323">
      <w:instrText>enquiries</w:instrText>
    </w:r>
    <w:r w:rsidR="00CC6323" w:rsidRPr="001841B4">
      <w:rPr>
        <w:lang w:val="el-GR"/>
      </w:rPr>
      <w:instrText>@</w:instrText>
    </w:r>
    <w:r w:rsidR="00CC6323">
      <w:instrText>cystat</w:instrText>
    </w:r>
    <w:r w:rsidR="00CC6323" w:rsidRPr="001841B4">
      <w:rPr>
        <w:lang w:val="el-GR"/>
      </w:rPr>
      <w:instrText>.</w:instrText>
    </w:r>
    <w:r w:rsidR="00CC6323">
      <w:instrText>mof</w:instrText>
    </w:r>
    <w:r w:rsidR="00CC6323" w:rsidRPr="001841B4">
      <w:rPr>
        <w:lang w:val="el-GR"/>
      </w:rPr>
      <w:instrText>.</w:instrText>
    </w:r>
    <w:r w:rsidR="00CC6323">
      <w:instrText>gov</w:instrText>
    </w:r>
    <w:r w:rsidR="00CC6323" w:rsidRPr="001841B4">
      <w:rPr>
        <w:lang w:val="el-GR"/>
      </w:rPr>
      <w:instrText>.</w:instrText>
    </w:r>
    <w:r w:rsidR="00CC6323">
      <w:instrText>cy</w:instrText>
    </w:r>
    <w:r w:rsidR="00CC6323" w:rsidRPr="001841B4">
      <w:rPr>
        <w:lang w:val="el-GR"/>
      </w:rPr>
      <w:instrText xml:space="preserve">" </w:instrText>
    </w:r>
    <w:r w:rsidR="00CC6323">
      <w:fldChar w:fldCharType="separate"/>
    </w:r>
    <w:r w:rsidRPr="00A955B9">
      <w:rPr>
        <w:rStyle w:val="Hyperlink"/>
        <w:rFonts w:ascii="Verdana" w:hAnsi="Verdana" w:cs="Arial"/>
        <w:iCs/>
        <w:sz w:val="16"/>
        <w:szCs w:val="16"/>
        <w:lang w:val="de-DE"/>
      </w:rPr>
      <w:t>enquiries@cystat.mof.gov.cy</w:t>
    </w:r>
    <w:r w:rsidR="00CC6323">
      <w:rPr>
        <w:rStyle w:val="Hyperlink"/>
        <w:rFonts w:ascii="Verdana" w:hAnsi="Verdana" w:cs="Arial"/>
        <w:iCs/>
        <w:sz w:val="16"/>
        <w:szCs w:val="16"/>
        <w:lang w:val="de-DE"/>
      </w:rPr>
      <w:fldChar w:fldCharType="end"/>
    </w:r>
    <w:r w:rsidRPr="00A955B9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66893A8B" w14:textId="50457EE8" w:rsidR="001F00CE" w:rsidRPr="00A955B9" w:rsidRDefault="00A955B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iCs/>
        <w:sz w:val="16"/>
        <w:szCs w:val="16"/>
        <w:lang w:val="el-GR"/>
      </w:rPr>
      <w:t>Διαδικτυακή Πύλη</w:t>
    </w:r>
    <w:r w:rsidR="001F00CE" w:rsidRPr="00A955B9">
      <w:rPr>
        <w:rFonts w:ascii="Verdana" w:hAnsi="Verdana" w:cs="Arial"/>
        <w:iCs/>
        <w:sz w:val="16"/>
        <w:szCs w:val="16"/>
        <w:lang w:val="el-GR"/>
      </w:rPr>
      <w:t xml:space="preserve">: </w:t>
    </w:r>
    <w:r w:rsidR="00CC6323">
      <w:fldChar w:fldCharType="begin"/>
    </w:r>
    <w:r w:rsidR="00CC6323" w:rsidRPr="001841B4">
      <w:rPr>
        <w:lang w:val="el-GR"/>
      </w:rPr>
      <w:instrText xml:space="preserve"> </w:instrText>
    </w:r>
    <w:r w:rsidR="00CC6323">
      <w:instrText>HYPERLINK</w:instrText>
    </w:r>
    <w:r w:rsidR="00CC6323" w:rsidRPr="001841B4">
      <w:rPr>
        <w:lang w:val="el-GR"/>
      </w:rPr>
      <w:instrText xml:space="preserve"> "</w:instrText>
    </w:r>
    <w:r w:rsidR="00CC6323">
      <w:instrText>http</w:instrText>
    </w:r>
    <w:r w:rsidR="00CC6323" w:rsidRPr="001841B4">
      <w:rPr>
        <w:lang w:val="el-GR"/>
      </w:rPr>
      <w:instrText>://</w:instrText>
    </w:r>
    <w:r w:rsidR="00CC6323">
      <w:instrText>www</w:instrText>
    </w:r>
    <w:r w:rsidR="00CC6323" w:rsidRPr="001841B4">
      <w:rPr>
        <w:lang w:val="el-GR"/>
      </w:rPr>
      <w:instrText>.</w:instrText>
    </w:r>
    <w:r w:rsidR="00CC6323">
      <w:instrText>cystat</w:instrText>
    </w:r>
    <w:r w:rsidR="00CC6323" w:rsidRPr="001841B4">
      <w:rPr>
        <w:lang w:val="el-GR"/>
      </w:rPr>
      <w:instrText>.</w:instrText>
    </w:r>
    <w:r w:rsidR="00CC6323">
      <w:instrText>gov</w:instrText>
    </w:r>
    <w:r w:rsidR="00CC6323" w:rsidRPr="001841B4">
      <w:rPr>
        <w:lang w:val="el-GR"/>
      </w:rPr>
      <w:instrText>.</w:instrText>
    </w:r>
    <w:r w:rsidR="00CC6323">
      <w:instrText>cy</w:instrText>
    </w:r>
    <w:r w:rsidR="00CC6323" w:rsidRPr="001841B4">
      <w:rPr>
        <w:lang w:val="el-GR"/>
      </w:rPr>
      <w:instrText xml:space="preserve">" </w:instrText>
    </w:r>
    <w:r w:rsidR="00CC6323">
      <w:fldChar w:fldCharType="separate"/>
    </w:r>
    <w:r w:rsidR="001F00CE" w:rsidRPr="00A955B9">
      <w:rPr>
        <w:rStyle w:val="Hyperlink"/>
        <w:rFonts w:ascii="Verdana" w:hAnsi="Verdana" w:cs="Arial"/>
        <w:iCs/>
        <w:sz w:val="16"/>
        <w:szCs w:val="16"/>
      </w:rPr>
      <w:t>http</w:t>
    </w:r>
    <w:r w:rsidR="001F00CE" w:rsidRPr="00A955B9">
      <w:rPr>
        <w:rStyle w:val="Hyperlink"/>
        <w:rFonts w:ascii="Verdana" w:hAnsi="Verdana" w:cs="Arial"/>
        <w:iCs/>
        <w:sz w:val="16"/>
        <w:szCs w:val="16"/>
        <w:lang w:val="el-GR"/>
      </w:rPr>
      <w:t>://</w:t>
    </w:r>
    <w:r w:rsidR="001F00CE" w:rsidRPr="00A955B9">
      <w:rPr>
        <w:rStyle w:val="Hyperlink"/>
        <w:rFonts w:ascii="Verdana" w:hAnsi="Verdana" w:cs="Arial"/>
        <w:iCs/>
        <w:sz w:val="16"/>
        <w:szCs w:val="16"/>
      </w:rPr>
      <w:t>www</w:t>
    </w:r>
    <w:r w:rsidR="001F00CE" w:rsidRPr="00A955B9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proofErr w:type="spellStart"/>
    <w:r w:rsidR="001F00CE" w:rsidRPr="00A955B9">
      <w:rPr>
        <w:rStyle w:val="Hyperlink"/>
        <w:rFonts w:ascii="Verdana" w:hAnsi="Verdana" w:cs="Arial"/>
        <w:iCs/>
        <w:sz w:val="16"/>
        <w:szCs w:val="16"/>
      </w:rPr>
      <w:t>cystat</w:t>
    </w:r>
    <w:proofErr w:type="spellEnd"/>
    <w:r w:rsidR="001F00CE" w:rsidRPr="00A955B9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proofErr w:type="spellStart"/>
    <w:r w:rsidR="001F00CE" w:rsidRPr="00A955B9">
      <w:rPr>
        <w:rStyle w:val="Hyperlink"/>
        <w:rFonts w:ascii="Verdana" w:hAnsi="Verdana" w:cs="Arial"/>
        <w:iCs/>
        <w:sz w:val="16"/>
        <w:szCs w:val="16"/>
      </w:rPr>
      <w:t>gov</w:t>
    </w:r>
    <w:proofErr w:type="spellEnd"/>
    <w:r w:rsidR="001F00CE" w:rsidRPr="00A955B9">
      <w:rPr>
        <w:rStyle w:val="Hyperlink"/>
        <w:rFonts w:ascii="Verdana" w:hAnsi="Verdana" w:cs="Arial"/>
        <w:iCs/>
        <w:sz w:val="16"/>
        <w:szCs w:val="16"/>
        <w:lang w:val="el-GR"/>
      </w:rPr>
      <w:t>.</w:t>
    </w:r>
    <w:r w:rsidR="001F00CE" w:rsidRPr="00A955B9">
      <w:rPr>
        <w:rStyle w:val="Hyperlink"/>
        <w:rFonts w:ascii="Verdana" w:hAnsi="Verdana" w:cs="Arial"/>
        <w:iCs/>
        <w:sz w:val="16"/>
        <w:szCs w:val="16"/>
      </w:rPr>
      <w:t>cy</w:t>
    </w:r>
    <w:r w:rsidR="00CC6323">
      <w:rPr>
        <w:rStyle w:val="Hyperlink"/>
        <w:rFonts w:ascii="Verdana" w:hAnsi="Verdana" w:cs="Arial"/>
        <w:iCs/>
        <w:sz w:val="16"/>
        <w:szCs w:val="16"/>
      </w:rPr>
      <w:fldChar w:fldCharType="end"/>
    </w:r>
    <w:r w:rsidR="001F00CE" w:rsidRPr="00A955B9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6CEF" w14:textId="77777777" w:rsidR="00CC6323" w:rsidRDefault="00CC6323" w:rsidP="00FB398F">
      <w:r>
        <w:separator/>
      </w:r>
    </w:p>
  </w:footnote>
  <w:footnote w:type="continuationSeparator" w:id="0">
    <w:p w14:paraId="4FB12732" w14:textId="77777777" w:rsidR="00CC6323" w:rsidRDefault="00CC632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/ciAIAABc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1B4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2EC2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1489"/>
    <w:rsid w:val="002131E5"/>
    <w:rsid w:val="002158F6"/>
    <w:rsid w:val="00220DC4"/>
    <w:rsid w:val="00222423"/>
    <w:rsid w:val="002230AA"/>
    <w:rsid w:val="0022360E"/>
    <w:rsid w:val="00224125"/>
    <w:rsid w:val="00225B28"/>
    <w:rsid w:val="00226891"/>
    <w:rsid w:val="00230D9B"/>
    <w:rsid w:val="002313AC"/>
    <w:rsid w:val="00235FB2"/>
    <w:rsid w:val="00237BC1"/>
    <w:rsid w:val="002430B4"/>
    <w:rsid w:val="002447D0"/>
    <w:rsid w:val="00244E9A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67B8B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4758"/>
    <w:rsid w:val="00335C01"/>
    <w:rsid w:val="00336C36"/>
    <w:rsid w:val="0033721F"/>
    <w:rsid w:val="00343815"/>
    <w:rsid w:val="00350FC8"/>
    <w:rsid w:val="003522BB"/>
    <w:rsid w:val="00352F6C"/>
    <w:rsid w:val="003556EA"/>
    <w:rsid w:val="003820E2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183E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45C3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C7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27E8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27D1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294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1C77"/>
    <w:rsid w:val="007C4CDC"/>
    <w:rsid w:val="007C7630"/>
    <w:rsid w:val="007D1ED2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0CAC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93A45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1FC9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3A96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CBD"/>
    <w:rsid w:val="00A14E8C"/>
    <w:rsid w:val="00A20C70"/>
    <w:rsid w:val="00A320F2"/>
    <w:rsid w:val="00A33875"/>
    <w:rsid w:val="00A360A1"/>
    <w:rsid w:val="00A402B3"/>
    <w:rsid w:val="00A40A64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955B9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47CD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4CAF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350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4C40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C6323"/>
    <w:rsid w:val="00CD3294"/>
    <w:rsid w:val="00CD4524"/>
    <w:rsid w:val="00CD784D"/>
    <w:rsid w:val="00CE087B"/>
    <w:rsid w:val="00CE2801"/>
    <w:rsid w:val="00CE6185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CA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D0BD3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E6550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1EEE"/>
    <w:rsid w:val="00FD2049"/>
    <w:rsid w:val="00FD2140"/>
    <w:rsid w:val="00FD4722"/>
    <w:rsid w:val="00FD5B5F"/>
    <w:rsid w:val="00FD5BDE"/>
    <w:rsid w:val="00FD68EC"/>
    <w:rsid w:val="00FE24A5"/>
    <w:rsid w:val="00FE31E5"/>
    <w:rsid w:val="00FE6906"/>
    <w:rsid w:val="00FF19AD"/>
    <w:rsid w:val="00FF1EB5"/>
    <w:rsid w:val="00FF1FE0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isplay?s=4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constantinou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7C77-0BAA-4780-962C-B3DA138C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33</cp:revision>
  <cp:lastPrinted>2025-06-02T08:20:00Z</cp:lastPrinted>
  <dcterms:created xsi:type="dcterms:W3CDTF">2024-04-25T06:50:00Z</dcterms:created>
  <dcterms:modified xsi:type="dcterms:W3CDTF">2025-06-02T08:21:00Z</dcterms:modified>
</cp:coreProperties>
</file>