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77777777" w:rsidR="00DF2F99" w:rsidRPr="00B0056D" w:rsidRDefault="00DF2F99" w:rsidP="00DF2F99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A6DDAC" w14:textId="72538718" w:rsidR="00DF2F99" w:rsidRPr="009F57D4" w:rsidRDefault="00B0056D" w:rsidP="00DF2F99">
      <w:pPr>
        <w:jc w:val="right"/>
        <w:rPr>
          <w:rFonts w:ascii="Verdana" w:hAnsi="Verdana" w:cs="Arial"/>
          <w:sz w:val="18"/>
          <w:szCs w:val="18"/>
        </w:rPr>
      </w:pPr>
      <w:r w:rsidRPr="00DA5EE0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 xml:space="preserve"> </w:t>
      </w:r>
      <w:r w:rsidR="009423A9">
        <w:rPr>
          <w:rFonts w:ascii="Verdana" w:hAnsi="Verdana" w:cs="Arial"/>
          <w:sz w:val="18"/>
          <w:szCs w:val="18"/>
        </w:rPr>
        <w:t>June</w:t>
      </w:r>
      <w:r w:rsidR="00DF2F99" w:rsidRPr="00DF2F99">
        <w:rPr>
          <w:rFonts w:ascii="Verdana" w:hAnsi="Verdana" w:cs="Arial"/>
          <w:sz w:val="18"/>
          <w:szCs w:val="18"/>
        </w:rPr>
        <w:t>, 202</w:t>
      </w:r>
      <w:r w:rsidR="00AE2D9F">
        <w:rPr>
          <w:rFonts w:ascii="Verdana" w:hAnsi="Verdana" w:cs="Arial"/>
          <w:sz w:val="18"/>
          <w:szCs w:val="18"/>
        </w:rPr>
        <w:t>6</w:t>
      </w:r>
    </w:p>
    <w:p w14:paraId="4992D3F8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01F14D0B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52A780DB" w:rsidR="00DF2F99" w:rsidRPr="00DF2F99" w:rsidRDefault="0015344C" w:rsidP="00D64BEA">
      <w:pPr>
        <w:rPr>
          <w:rFonts w:ascii="Verdana" w:hAnsi="Verdana" w:cs="Arial"/>
          <w:u w:val="single"/>
        </w:rPr>
      </w:pPr>
      <w:r w:rsidRPr="008E3716">
        <w:rPr>
          <w:rFonts w:ascii="Verdana" w:hAnsi="Verdana" w:cs="Arial"/>
          <w:u w:val="single"/>
        </w:rPr>
        <w:t>QUARTERLY NATIONAL ACCOUNTS</w:t>
      </w:r>
      <w:r w:rsidR="00DF2F99" w:rsidRPr="00DF2F99">
        <w:rPr>
          <w:rFonts w:ascii="Verdana" w:hAnsi="Verdana" w:cs="Arial"/>
          <w:u w:val="single"/>
        </w:rPr>
        <w:t xml:space="preserve">: </w:t>
      </w:r>
      <w:r w:rsidR="009423A9">
        <w:rPr>
          <w:rFonts w:ascii="Verdana" w:hAnsi="Verdana" w:cs="Arial"/>
          <w:b/>
          <w:bCs/>
          <w:u w:val="single"/>
        </w:rPr>
        <w:t>1st</w:t>
      </w:r>
      <w:r w:rsidR="00DF2F99" w:rsidRPr="00DF2F99">
        <w:rPr>
          <w:rFonts w:ascii="Verdana" w:hAnsi="Verdana" w:cs="Arial"/>
          <w:b/>
          <w:bCs/>
          <w:u w:val="single"/>
        </w:rPr>
        <w:t xml:space="preserve"> QUARTER 202</w:t>
      </w:r>
      <w:r w:rsidR="009423A9">
        <w:rPr>
          <w:rFonts w:ascii="Verdana" w:hAnsi="Verdana" w:cs="Arial"/>
          <w:b/>
          <w:bCs/>
          <w:u w:val="single"/>
        </w:rPr>
        <w:t>6</w:t>
      </w:r>
    </w:p>
    <w:p w14:paraId="07F56C60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4F39ED20" w14:textId="4106CE8E" w:rsidR="006B22EA" w:rsidRPr="00A15579" w:rsidRDefault="006B22EA" w:rsidP="006B22EA">
      <w:pPr>
        <w:jc w:val="center"/>
        <w:rPr>
          <w:rFonts w:ascii="Verdana" w:hAnsi="Verdana" w:cs="Arial"/>
          <w:b/>
          <w:bCs/>
        </w:rPr>
      </w:pPr>
      <w:r w:rsidRPr="00DF2F99">
        <w:rPr>
          <w:rFonts w:ascii="Verdana" w:hAnsi="Verdana" w:cs="Arial"/>
          <w:b/>
          <w:bCs/>
        </w:rPr>
        <w:t xml:space="preserve">Growth Rate </w:t>
      </w:r>
      <w:r w:rsidR="009423A9" w:rsidRPr="009423A9">
        <w:rPr>
          <w:rFonts w:ascii="Verdana" w:hAnsi="Verdana" w:cs="Arial"/>
          <w:b/>
          <w:bCs/>
        </w:rPr>
        <w:t>3,0</w:t>
      </w:r>
      <w:r w:rsidRPr="00DF2F99">
        <w:rPr>
          <w:rFonts w:ascii="Verdana" w:hAnsi="Verdana" w:cs="Arial"/>
          <w:b/>
          <w:bCs/>
        </w:rPr>
        <w:t>%</w:t>
      </w:r>
      <w:r w:rsidRPr="006C3895">
        <w:rPr>
          <w:rFonts w:ascii="Verdana" w:hAnsi="Verdana" w:cs="Arial"/>
          <w:b/>
          <w:bCs/>
        </w:rPr>
        <w:t xml:space="preserve"> (</w:t>
      </w:r>
      <w:r>
        <w:rPr>
          <w:rFonts w:ascii="Verdana" w:hAnsi="Verdana" w:cs="Arial"/>
          <w:b/>
          <w:bCs/>
        </w:rPr>
        <w:t>seasonally adjusted)</w:t>
      </w:r>
    </w:p>
    <w:p w14:paraId="5C557BAF" w14:textId="77777777" w:rsidR="00DF2F99" w:rsidRPr="00ED45AC" w:rsidRDefault="00DF2F99" w:rsidP="00ED45AC">
      <w:pPr>
        <w:jc w:val="both"/>
        <w:rPr>
          <w:rFonts w:ascii="Verdana" w:hAnsi="Verdana" w:cs="Arial"/>
          <w:sz w:val="18"/>
          <w:szCs w:val="18"/>
        </w:rPr>
      </w:pPr>
    </w:p>
    <w:p w14:paraId="589F623D" w14:textId="43047814" w:rsidR="006B22EA" w:rsidRDefault="00C83BF6" w:rsidP="006B22EA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 xml:space="preserve">The GDP growth rate in real terms (seasonally adjusted), during the </w:t>
      </w:r>
      <w:r w:rsidR="00B0056D">
        <w:rPr>
          <w:rFonts w:ascii="Verdana" w:hAnsi="Verdana" w:cs="Arial"/>
          <w:sz w:val="18"/>
          <w:szCs w:val="18"/>
        </w:rPr>
        <w:t>f</w:t>
      </w:r>
      <w:r w:rsidR="009423A9">
        <w:rPr>
          <w:rFonts w:ascii="Verdana" w:hAnsi="Verdana" w:cs="Arial"/>
          <w:sz w:val="18"/>
          <w:szCs w:val="18"/>
        </w:rPr>
        <w:t>irst</w:t>
      </w:r>
      <w:r w:rsidRPr="00C83BF6">
        <w:rPr>
          <w:rFonts w:ascii="Verdana" w:hAnsi="Verdana" w:cs="Arial"/>
          <w:sz w:val="18"/>
          <w:szCs w:val="18"/>
        </w:rPr>
        <w:t xml:space="preserve"> quarter of 202</w:t>
      </w:r>
      <w:r w:rsidR="009423A9">
        <w:rPr>
          <w:rFonts w:ascii="Verdana" w:hAnsi="Verdana" w:cs="Arial"/>
          <w:sz w:val="18"/>
          <w:szCs w:val="18"/>
        </w:rPr>
        <w:t>6</w:t>
      </w:r>
      <w:r w:rsidRPr="00C83BF6">
        <w:rPr>
          <w:rFonts w:ascii="Verdana" w:hAnsi="Verdana" w:cs="Arial"/>
          <w:sz w:val="18"/>
          <w:szCs w:val="18"/>
        </w:rPr>
        <w:t xml:space="preserve"> is positive and it is estimated at </w:t>
      </w:r>
      <w:r w:rsidR="009423A9">
        <w:rPr>
          <w:rFonts w:ascii="Verdana" w:hAnsi="Verdana" w:cs="Arial"/>
          <w:sz w:val="18"/>
          <w:szCs w:val="18"/>
        </w:rPr>
        <w:t>3,0</w:t>
      </w:r>
      <w:r w:rsidRPr="00C83BF6">
        <w:rPr>
          <w:rFonts w:ascii="Verdana" w:hAnsi="Verdana" w:cs="Arial"/>
          <w:sz w:val="18"/>
          <w:szCs w:val="18"/>
        </w:rPr>
        <w:t>% over the corresponding quarter of 202</w:t>
      </w:r>
      <w:r w:rsidR="009423A9">
        <w:rPr>
          <w:rFonts w:ascii="Verdana" w:hAnsi="Verdana" w:cs="Arial"/>
          <w:sz w:val="18"/>
          <w:szCs w:val="18"/>
        </w:rPr>
        <w:t>5</w:t>
      </w:r>
      <w:r w:rsidRPr="00C83BF6">
        <w:rPr>
          <w:rFonts w:ascii="Verdana" w:hAnsi="Verdana" w:cs="Arial"/>
          <w:sz w:val="18"/>
          <w:szCs w:val="18"/>
        </w:rPr>
        <w:t>.</w:t>
      </w:r>
    </w:p>
    <w:p w14:paraId="663F5B87" w14:textId="307E8D9B" w:rsidR="00972CA0" w:rsidRDefault="00463214" w:rsidP="00ED45AC">
      <w:pPr>
        <w:jc w:val="both"/>
        <w:rPr>
          <w:rFonts w:ascii="Verdana" w:hAnsi="Verdana" w:cs="Arial"/>
          <w:sz w:val="18"/>
          <w:szCs w:val="18"/>
        </w:rPr>
      </w:pPr>
      <w:r w:rsidRPr="00ED45AC">
        <w:rPr>
          <w:rFonts w:ascii="Verdana" w:hAnsi="Verdana" w:cs="Arial"/>
          <w:sz w:val="18"/>
          <w:szCs w:val="18"/>
        </w:rPr>
        <w:tab/>
      </w:r>
    </w:p>
    <w:p w14:paraId="2646D536" w14:textId="77777777" w:rsidR="008E3716" w:rsidRPr="00ED45AC" w:rsidRDefault="008E3716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A72E99" w14:textId="15166717" w:rsidR="00972CA0" w:rsidRPr="00152A47" w:rsidRDefault="00D84FB4" w:rsidP="00ED45A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0CFD493C" wp14:editId="1B5B353F">
            <wp:extent cx="6071870" cy="457835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0B9B0" w14:textId="4DF0644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CF58DF" w14:textId="77777777" w:rsidR="0015344C" w:rsidRPr="00ED45AC" w:rsidRDefault="0015344C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581A57" w14:textId="77777777" w:rsidR="006B22EA" w:rsidRDefault="006B22EA" w:rsidP="003A5094">
      <w:pPr>
        <w:jc w:val="both"/>
        <w:rPr>
          <w:rFonts w:ascii="Verdana" w:hAnsi="Verdana" w:cs="Arial"/>
          <w:sz w:val="18"/>
          <w:szCs w:val="18"/>
        </w:rPr>
      </w:pPr>
    </w:p>
    <w:p w14:paraId="766074F5" w14:textId="1A921285" w:rsidR="002A4FA3" w:rsidRPr="0015344C" w:rsidRDefault="00C83BF6" w:rsidP="009423A9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 xml:space="preserve">Regarding the production approach for the estimation of GDP, the positive growth rate is mainly attributed to the sectors: </w:t>
      </w:r>
      <w:r w:rsidR="009423A9" w:rsidRPr="006A3F9A">
        <w:rPr>
          <w:rFonts w:ascii="Verdana" w:hAnsi="Verdana" w:cs="Arial"/>
          <w:sz w:val="18"/>
          <w:szCs w:val="18"/>
        </w:rPr>
        <w:t>"Wholesale and Retail Trade, Repair of Motor Vehicles", "Information and Communication" and "Financial and insurance activities".</w:t>
      </w:r>
      <w:r w:rsidR="009423A9">
        <w:rPr>
          <w:rFonts w:ascii="Verdana" w:hAnsi="Verdana" w:cs="Arial"/>
          <w:sz w:val="18"/>
          <w:szCs w:val="18"/>
        </w:rPr>
        <w:t xml:space="preserve"> </w:t>
      </w:r>
      <w:r w:rsidRPr="00C83BF6">
        <w:rPr>
          <w:rFonts w:ascii="Verdana" w:hAnsi="Verdana" w:cs="Arial"/>
          <w:sz w:val="18"/>
          <w:szCs w:val="18"/>
        </w:rPr>
        <w:t>(Table 1)</w:t>
      </w:r>
    </w:p>
    <w:p w14:paraId="1050D5FA" w14:textId="3F6E0DB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1E43EF" w14:textId="77777777" w:rsidR="003671CE" w:rsidRDefault="003671CE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435207" w:rsidRPr="00435207" w14:paraId="6476A121" w14:textId="77777777" w:rsidTr="00D64BEA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AF37D50" w14:textId="77777777" w:rsidR="00A453EB" w:rsidRPr="0043520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B5914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352737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02E1F60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435207" w:rsidRPr="00435207" w14:paraId="770D6C9B" w14:textId="77777777" w:rsidTr="00D64BEA">
        <w:trPr>
          <w:trHeight w:val="397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106779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Economic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5E69CB" w14:textId="3A4F7762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435207" w:rsidRPr="00435207" w14:paraId="0727CE04" w14:textId="77777777" w:rsidTr="00D64BEA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0C6AAC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C6525C5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F66D5E0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435207" w:rsidRPr="00435207" w14:paraId="4524ADAD" w14:textId="77777777" w:rsidTr="00D64BEA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17288D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C7EFDB1" w14:textId="7202441A" w:rsidR="006C70E6" w:rsidRPr="0043520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C7B6C70" w14:textId="5D175480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79E69560" w14:textId="3538C0A5" w:rsidR="006C70E6" w:rsidRPr="0043520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5FBB58A" w14:textId="6FB48252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7389B" w14:textId="2318930F" w:rsidR="006C70E6" w:rsidRPr="0043520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  </w:t>
            </w:r>
          </w:p>
          <w:p w14:paraId="64705974" w14:textId="082021FB" w:rsidR="00A453EB" w:rsidRPr="0043520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9423A9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435207" w:rsidRPr="00435207" w14:paraId="51469AB1" w14:textId="77777777" w:rsidTr="00C83BF6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7AD53" w14:textId="77777777" w:rsidR="00D84FB4" w:rsidRPr="00435207" w:rsidRDefault="00D84FB4" w:rsidP="00D84FB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D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omestic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P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roduct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2C311D13" w14:textId="5105A5DE" w:rsidR="00D84FB4" w:rsidRPr="00435207" w:rsidRDefault="00D84FB4" w:rsidP="00D84FB4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7.798,1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73352629" w14:textId="37885517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905DEF1" w14:textId="0641D248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435207" w:rsidRPr="00435207" w14:paraId="26E7B1F4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5BA8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82E1054" w14:textId="1DF94EC7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83,4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352742" w14:textId="149A7020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C00E" w14:textId="4EC70F7D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-0,9</w:t>
            </w:r>
          </w:p>
        </w:tc>
      </w:tr>
      <w:tr w:rsidR="00435207" w:rsidRPr="00435207" w14:paraId="262A2081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A174" w14:textId="77777777" w:rsidR="00D84FB4" w:rsidRPr="00435207" w:rsidRDefault="00D84FB4" w:rsidP="00D84FB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8A160" w14:textId="272197F1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457,8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6F3CF99" w14:textId="6AD26CE4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CD77" w14:textId="4815549F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435207" w:rsidRPr="00435207" w14:paraId="65B3E01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B946" w14:textId="77777777" w:rsidR="00D84FB4" w:rsidRPr="00435207" w:rsidRDefault="00D84FB4" w:rsidP="00D84FB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29860D" w14:textId="6DED46D9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333,0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6086F7A" w14:textId="6DCBE601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4B20" w14:textId="36BB7B28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-0,2</w:t>
            </w:r>
          </w:p>
        </w:tc>
      </w:tr>
      <w:tr w:rsidR="00435207" w:rsidRPr="00435207" w14:paraId="3964B2AD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C267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B93CBA6" w14:textId="62685751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375,8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FF87E29" w14:textId="5DFA1936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972" w14:textId="227226C1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435207" w:rsidRPr="00435207" w14:paraId="7A58C48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5EDA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C6EC063" w14:textId="572D361D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1.579,8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FD78515" w14:textId="1EB8BB4B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5EDB" w14:textId="0ABC1E08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-0,3</w:t>
            </w:r>
          </w:p>
        </w:tc>
      </w:tr>
      <w:tr w:rsidR="00435207" w:rsidRPr="00435207" w14:paraId="769464E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DF9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9F41EEB" w14:textId="328A0D3D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918,7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552DF75" w14:textId="00D86267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D4A" w14:textId="29EBEC48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435207" w:rsidRPr="00435207" w14:paraId="75F10E27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EF61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C2BE2" w14:textId="1B815447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627,9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CC8087" w14:textId="2DADE254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8598" w14:textId="132DCFB2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</w:tr>
      <w:tr w:rsidR="00435207" w:rsidRPr="00435207" w14:paraId="65796315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EAA0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00DCABA" w14:textId="20CFA740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686,6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C2709CC" w14:textId="6C396ABD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DB36" w14:textId="0C4E8412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0,0</w:t>
            </w:r>
          </w:p>
        </w:tc>
      </w:tr>
      <w:tr w:rsidR="00435207" w:rsidRPr="00435207" w14:paraId="1F66A3C3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0CDE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A89A498" w14:textId="58B77C89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678,3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D7C567B" w14:textId="0CCE10C7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2,2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5884" w14:textId="6BD51721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435207" w:rsidRPr="00435207" w14:paraId="78642C7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2138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CF82FB8" w14:textId="3CDE046E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1.209,3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84B7F89" w14:textId="00855A54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6E82" w14:textId="349AC540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</w:tr>
      <w:tr w:rsidR="00435207" w:rsidRPr="00435207" w14:paraId="7387AE2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19D" w14:textId="77777777" w:rsidR="00D84FB4" w:rsidRPr="00435207" w:rsidRDefault="00D84FB4" w:rsidP="00D84FB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E7546FA" w14:textId="53D4A3E0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243,9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430E7F1" w14:textId="4A70D5EE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3F6" w14:textId="59371782" w:rsidR="00D84FB4" w:rsidRPr="00435207" w:rsidRDefault="00D84FB4" w:rsidP="00D84FB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</w:tr>
      <w:tr w:rsidR="00435207" w:rsidRPr="00435207" w14:paraId="262B8C86" w14:textId="77777777" w:rsidTr="00D64BEA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7305047" w14:textId="77777777" w:rsidR="00A453EB" w:rsidRPr="00435207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3848C6F" w14:textId="77777777" w:rsidR="00A453EB" w:rsidRPr="00435207" w:rsidRDefault="00A453EB" w:rsidP="00390A6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F0C5398" w14:textId="77777777" w:rsidR="00A453EB" w:rsidRPr="00435207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6EFBCD2" w14:textId="77777777" w:rsidR="00A453EB" w:rsidRPr="00435207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1349C2B8" w14:textId="3D1C2BC5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Economic Activities</w:t>
      </w:r>
      <w:r w:rsidR="006E1C7C"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</w:p>
    <w:p w14:paraId="4E4254DE" w14:textId="307F00AD" w:rsidR="00F058E6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bookmarkStart w:id="0" w:name="_Hlk135734903"/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6A103FB5" w14:textId="74C2BC60" w:rsidR="00F058E6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B </w:t>
      </w:r>
      <w:r w:rsidR="005228FA"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E: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Mining and quarrying; manufacturing; electricity, gas, steam and air conditioning supply; water supply; sewerage, waste management and remediation activities</w:t>
      </w:r>
    </w:p>
    <w:p w14:paraId="0C1830F5" w14:textId="6E805CBB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1E7C49CE" w14:textId="004955AB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32DCEB9A" w14:textId="245CD46D" w:rsidR="00F058E6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G </w:t>
      </w:r>
      <w:r w:rsidR="005228FA"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I: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Wholesale and retail trade; repair of motor vehicles and motorcycles; transportation and storage; accommodation and food service activities</w:t>
      </w:r>
    </w:p>
    <w:p w14:paraId="6A2C761C" w14:textId="10E60857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0C677A00" w14:textId="3E5B7761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M &amp; N: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Professional, scientific and technical activities; administrative and support service activities</w:t>
      </w:r>
    </w:p>
    <w:p w14:paraId="1938FB4A" w14:textId="0577AA68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O </w:t>
      </w:r>
      <w:r w:rsidR="005228FA"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Q: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</w:t>
      </w:r>
      <w:proofErr w:type="spellStart"/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>defence</w:t>
      </w:r>
      <w:proofErr w:type="spellEnd"/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>; compulsory social security; education; human health and social work activities</w:t>
      </w:r>
    </w:p>
    <w:p w14:paraId="55FF89C5" w14:textId="29841DB2" w:rsidR="00694929" w:rsidRPr="00435207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R </w:t>
      </w:r>
      <w:r w:rsidR="005228FA"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U: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 xml:space="preserve"> Arts, entertainment and recreation, repair of household goods and other services</w:t>
      </w:r>
    </w:p>
    <w:bookmarkEnd w:id="0"/>
    <w:p w14:paraId="0967574F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p w14:paraId="2C6531B4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435207" w:rsidRPr="00435207" w14:paraId="33ED6BEB" w14:textId="77777777" w:rsidTr="00677C5C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9B88F7" w14:textId="2289394F" w:rsidR="00A453EB" w:rsidRPr="0043520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Table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25D79" w14:textId="77777777" w:rsidR="00A453EB" w:rsidRPr="00435207" w:rsidRDefault="00A453EB" w:rsidP="00390A67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28BA9C" w14:textId="77777777" w:rsidR="00A453EB" w:rsidRPr="00435207" w:rsidRDefault="00A453EB" w:rsidP="00390A67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8BA95F" w14:textId="77777777" w:rsidR="00A453EB" w:rsidRPr="00435207" w:rsidRDefault="00A453EB" w:rsidP="00390A67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435207" w:rsidRPr="00435207" w14:paraId="1DF46A97" w14:textId="77777777" w:rsidTr="00677C5C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D802" w14:textId="66730384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Type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of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D8A30F" w14:textId="450E7BC6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435207" w:rsidRPr="00435207" w14:paraId="1C778C0A" w14:textId="77777777" w:rsidTr="00677C5C">
        <w:trPr>
          <w:trHeight w:val="397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A9EB50" w14:textId="77777777" w:rsidR="00A453EB" w:rsidRPr="0043520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5B52857" w14:textId="1BE2204B" w:rsidR="00A453EB" w:rsidRPr="00435207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1D967FF" w14:textId="567D20D7" w:rsidR="00A453EB" w:rsidRPr="00435207" w:rsidRDefault="004E0DA5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="00A453EB" w:rsidRPr="0043520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435207" w:rsidRPr="00435207" w14:paraId="271D194C" w14:textId="77777777" w:rsidTr="00677C5C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440C6A" w14:textId="77777777" w:rsidR="00A453EB" w:rsidRPr="0043520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CE61555" w14:textId="77777777" w:rsidR="009423A9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Q1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36931CC" w14:textId="31CD4D26" w:rsidR="00A453EB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26926998" w14:textId="77777777" w:rsidR="009423A9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Q1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5A81FD9" w14:textId="59E9A563" w:rsidR="00A453EB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589CB93" w14:textId="77777777" w:rsidR="009423A9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Q1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  </w:t>
            </w:r>
          </w:p>
          <w:p w14:paraId="5DDA9F46" w14:textId="22539CA6" w:rsidR="00A453EB" w:rsidRPr="00435207" w:rsidRDefault="009423A9" w:rsidP="009423A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Q4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435207" w:rsidRPr="00435207" w14:paraId="254C8D1A" w14:textId="77777777" w:rsidTr="00C83BF6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603C6C" w14:textId="5C04B2DD" w:rsidR="00D84FB4" w:rsidRPr="00435207" w:rsidRDefault="00D84FB4" w:rsidP="00D84FB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Domestic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Product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0FABD78" w14:textId="042D3DA0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7.798,1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0E439451" w14:textId="19B8635C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19D943B" w14:textId="16855D04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435207" w:rsidRPr="00435207" w14:paraId="75DF0B0E" w14:textId="77777777" w:rsidTr="00C83BF6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E6FB" w14:textId="4E43985B" w:rsidR="00D84FB4" w:rsidRPr="00435207" w:rsidRDefault="00D84FB4" w:rsidP="00D84FB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Final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Consumption</w:t>
            </w:r>
            <w:proofErr w:type="spellEnd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A22D810" w14:textId="72413F63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5.926,9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5C7D672" w14:textId="738FA7F5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BE2F" w14:textId="3EAB90DD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1,1</w:t>
            </w:r>
          </w:p>
        </w:tc>
      </w:tr>
      <w:tr w:rsidR="00435207" w:rsidRPr="00435207" w14:paraId="196EF2BB" w14:textId="77777777" w:rsidTr="00C83BF6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D34" w14:textId="07B96A68" w:rsidR="00D84FB4" w:rsidRPr="00435207" w:rsidRDefault="00D84FB4" w:rsidP="00D84FB4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i/>
                <w:color w:val="366092"/>
                <w:sz w:val="18"/>
                <w:szCs w:val="18"/>
              </w:rPr>
              <w:t>Of which:</w:t>
            </w:r>
          </w:p>
          <w:p w14:paraId="17DF33C6" w14:textId="61CA9360" w:rsidR="00D84FB4" w:rsidRPr="00435207" w:rsidRDefault="00D84FB4" w:rsidP="00D84FB4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Households and NPISH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8D1E907" w14:textId="1A5F7365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4.639,2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E590ED" w14:textId="13CE7E20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B5" w14:textId="0F18BDD5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1,4</w:t>
            </w:r>
          </w:p>
        </w:tc>
      </w:tr>
      <w:tr w:rsidR="00435207" w:rsidRPr="00435207" w14:paraId="7B4FD6C0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B385" w14:textId="24CE6ECD" w:rsidR="00D84FB4" w:rsidRPr="00435207" w:rsidRDefault="00D84FB4" w:rsidP="00D84FB4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General Government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8DC902" w14:textId="3A033749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1.294,2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B654DCE" w14:textId="6D07CCAE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D03F" w14:textId="56320360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-0,1</w:t>
            </w:r>
          </w:p>
        </w:tc>
      </w:tr>
      <w:tr w:rsidR="00435207" w:rsidRPr="00435207" w14:paraId="7E507376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AEC9" w14:textId="6F23DBD4" w:rsidR="00D84FB4" w:rsidRPr="00435207" w:rsidRDefault="00D84FB4" w:rsidP="00D84FB4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Gross Fixed Capital Formation (GFCF)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222165B" w14:textId="5522C8A5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1.488,2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0C089E3" w14:textId="48F660B3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8170" w14:textId="2B14CAF3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-5,2</w:t>
            </w:r>
          </w:p>
        </w:tc>
      </w:tr>
      <w:tr w:rsidR="00435207" w:rsidRPr="00435207" w14:paraId="13DD7098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FFF8" w14:textId="19A87882" w:rsidR="00D84FB4" w:rsidRPr="00435207" w:rsidRDefault="00D84FB4" w:rsidP="00D84FB4">
            <w:pPr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GFCF excluding ships &amp; aircrafts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286A4D5" w14:textId="2DBD477F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1.455,8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26E741F" w14:textId="4DC24C32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7C97" w14:textId="5BC53E59" w:rsidR="00D84FB4" w:rsidRPr="00435207" w:rsidRDefault="00D84FB4" w:rsidP="00D84FB4">
            <w:pPr>
              <w:ind w:right="567"/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-1,9</w:t>
            </w:r>
          </w:p>
        </w:tc>
      </w:tr>
      <w:tr w:rsidR="00435207" w:rsidRPr="00435207" w14:paraId="498DCF24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6489" w14:textId="48DAFA5A" w:rsidR="00D84FB4" w:rsidRPr="00435207" w:rsidRDefault="00D84FB4" w:rsidP="00D84FB4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Imports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F9FC08C" w14:textId="4749742C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8.180,5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AAA08A" w14:textId="14720465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9444" w14:textId="4DD754FF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7,2</w:t>
            </w:r>
          </w:p>
        </w:tc>
      </w:tr>
      <w:tr w:rsidR="00435207" w:rsidRPr="00435207" w14:paraId="09FE56F2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7B22" w14:textId="772C19D5" w:rsidR="00D84FB4" w:rsidRPr="00435207" w:rsidRDefault="00D84FB4" w:rsidP="00D84FB4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43520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Exports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A90A624" w14:textId="56BBBFFD" w:rsidR="00D84FB4" w:rsidRPr="00435207" w:rsidRDefault="00D84FB4" w:rsidP="00D84FB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8.683,4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A425DEF" w14:textId="3C5A2106" w:rsidR="00D84FB4" w:rsidRPr="00435207" w:rsidRDefault="00D84FB4" w:rsidP="00D84FB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9622" w14:textId="079BA43F" w:rsidR="00D84FB4" w:rsidRPr="00435207" w:rsidRDefault="00D84FB4" w:rsidP="00D84FB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3520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8,0</w:t>
            </w:r>
          </w:p>
        </w:tc>
      </w:tr>
      <w:tr w:rsidR="00435207" w:rsidRPr="00435207" w14:paraId="5BFDBAE5" w14:textId="77777777" w:rsidTr="00677C5C">
        <w:trPr>
          <w:trHeight w:val="228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5A250D" w14:textId="77777777" w:rsidR="00A453EB" w:rsidRPr="00435207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64C6B32" w14:textId="77777777" w:rsidR="00A453EB" w:rsidRPr="00435207" w:rsidRDefault="00A453EB" w:rsidP="00390A6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CB9203A" w14:textId="77777777" w:rsidR="00A453EB" w:rsidRPr="00435207" w:rsidRDefault="00A453EB" w:rsidP="00390A6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5161A5A" w14:textId="77777777" w:rsidR="00A453EB" w:rsidRPr="00435207" w:rsidRDefault="00A453EB" w:rsidP="00390A6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009CB354" w14:textId="12CDED32" w:rsidR="00ED45AC" w:rsidRPr="00435207" w:rsidRDefault="007202FF" w:rsidP="00ED45AC">
      <w:pPr>
        <w:jc w:val="both"/>
        <w:rPr>
          <w:rFonts w:ascii="Verdana" w:eastAsia="Malgun Gothic" w:hAnsi="Verdana" w:cs="Arial"/>
          <w:iCs/>
          <w:color w:val="366092"/>
          <w:sz w:val="16"/>
          <w:szCs w:val="16"/>
        </w:rPr>
      </w:pPr>
      <w:r w:rsidRPr="00435207">
        <w:rPr>
          <w:rFonts w:ascii="Verdana" w:hAnsi="Verdana" w:cs="Arial"/>
          <w:b/>
          <w:bCs/>
          <w:iCs/>
          <w:color w:val="366092"/>
          <w:sz w:val="16"/>
          <w:szCs w:val="16"/>
        </w:rPr>
        <w:t>NPISH</w:t>
      </w:r>
      <w:r w:rsidRPr="00435207">
        <w:rPr>
          <w:rFonts w:ascii="Verdana" w:hAnsi="Verdana" w:cs="Arial"/>
          <w:bCs/>
          <w:iCs/>
          <w:color w:val="366092"/>
          <w:sz w:val="16"/>
          <w:szCs w:val="16"/>
        </w:rPr>
        <w:t>: Non-Profit Institutions Serving Households</w:t>
      </w:r>
    </w:p>
    <w:p w14:paraId="6962B4BC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0200C8CE" w14:textId="74768ED4" w:rsidR="0095405B" w:rsidRPr="00970856" w:rsidRDefault="00BC58BB" w:rsidP="008B759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="0095405B" w:rsidRPr="007B718F">
        <w:rPr>
          <w:rFonts w:ascii="Verdana" w:eastAsia="Malgun Gothic" w:hAnsi="Verdana" w:cs="Arial"/>
          <w:b/>
          <w:u w:val="single"/>
        </w:rPr>
        <w:lastRenderedPageBreak/>
        <w:t>M</w:t>
      </w:r>
      <w:r w:rsidR="0095405B" w:rsidRPr="00970856">
        <w:rPr>
          <w:rFonts w:ascii="Verdana" w:eastAsia="Malgun Gothic" w:hAnsi="Verdana" w:cs="Arial"/>
          <w:b/>
          <w:u w:val="single"/>
        </w:rPr>
        <w:t>ETHODOLOGICAL INFORMATION</w:t>
      </w:r>
    </w:p>
    <w:p w14:paraId="0E42EBBE" w14:textId="385AA32D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49899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622F2177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D6E34D" w14:textId="6B29C682" w:rsid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>scope</w:t>
      </w:r>
      <w:r w:rsidR="007B67AE">
        <w:rPr>
          <w:rFonts w:ascii="Verdana" w:eastAsia="Malgun Gothic" w:hAnsi="Verdana" w:cs="Arial"/>
          <w:sz w:val="18"/>
          <w:szCs w:val="18"/>
        </w:rPr>
        <w:t xml:space="preserve">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two months after the end of the reference quarter is to provide a better estimate of the growth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505DB0">
        <w:rPr>
          <w:rFonts w:ascii="Verdana" w:eastAsia="Malgun Gothic" w:hAnsi="Verdana" w:cs="Arial"/>
          <w:sz w:val="18"/>
          <w:szCs w:val="18"/>
        </w:rPr>
        <w:t xml:space="preserve"> Cyp</w:t>
      </w:r>
      <w:r>
        <w:rPr>
          <w:rFonts w:ascii="Verdana" w:eastAsia="Malgun Gothic" w:hAnsi="Verdana" w:cs="Arial"/>
          <w:sz w:val="18"/>
          <w:szCs w:val="18"/>
        </w:rPr>
        <w:t>rus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economy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while providing information on the main variables of the production and expenditure approach.</w:t>
      </w:r>
    </w:p>
    <w:p w14:paraId="540F5541" w14:textId="77777777" w:rsidR="00505DB0" w:rsidRP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4A8B3774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B463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generally constructed using an indirect approach, which is based on short-term indicators providing information on the evolution of the phenomena under study. Furthermore, Chow-Lin’s approach technique is used for temporal disaggregation. </w:t>
      </w:r>
    </w:p>
    <w:p w14:paraId="4C20929A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A4FEC1" w14:textId="7DDAEB24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item.</w:t>
      </w:r>
    </w:p>
    <w:p w14:paraId="0CCDFFA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D5F685" w14:textId="6F86222B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produced at current, </w:t>
      </w:r>
      <w:r w:rsidR="007E660B">
        <w:rPr>
          <w:rFonts w:ascii="Verdana" w:eastAsia="Malgun Gothic" w:hAnsi="Verdana" w:cs="Arial"/>
          <w:sz w:val="18"/>
          <w:szCs w:val="18"/>
        </w:rPr>
        <w:t xml:space="preserve">in real terms </w:t>
      </w:r>
      <w:r w:rsidRPr="00DF2F99">
        <w:rPr>
          <w:rFonts w:ascii="Verdana" w:eastAsia="Malgun Gothic" w:hAnsi="Verdana" w:cs="Arial"/>
          <w:sz w:val="18"/>
          <w:szCs w:val="18"/>
        </w:rPr>
        <w:t xml:space="preserve">and previous-year-prices, published and transmitted to Eurostat at t+2 months. The flash estimate is obtained by running the same estimation procedure as the one applied for the t+2 months calculation however, with less input information available. It is calculated in </w:t>
      </w:r>
      <w:r w:rsidR="007E660B">
        <w:rPr>
          <w:rFonts w:ascii="Verdana" w:eastAsia="Malgun Gothic" w:hAnsi="Verdana" w:cs="Arial"/>
          <w:sz w:val="18"/>
          <w:szCs w:val="18"/>
        </w:rPr>
        <w:t xml:space="preserve">real </w:t>
      </w:r>
      <w:r w:rsidRPr="00DF2F99">
        <w:rPr>
          <w:rFonts w:ascii="Verdana" w:eastAsia="Malgun Gothic" w:hAnsi="Verdana" w:cs="Arial"/>
          <w:sz w:val="18"/>
          <w:szCs w:val="18"/>
        </w:rPr>
        <w:t xml:space="preserve">terms at t+45 days, published and transmitted to Eurostat as well. </w:t>
      </w:r>
    </w:p>
    <w:p w14:paraId="0C5F3D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CC2B61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QNA are compiled in accordance with the European System of Accounts (ESA 2010) as defined in Regulation (EU) No 549/2013 of the European Parliament and of the Council of 21 May 2013.</w:t>
      </w:r>
    </w:p>
    <w:p w14:paraId="14D144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222159B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In order to produce QNA estimates, the following data are used as input to the system of calculation:</w:t>
      </w:r>
    </w:p>
    <w:p w14:paraId="6E06F2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quarterly employment data,</w:t>
      </w:r>
    </w:p>
    <w:p w14:paraId="0832D64F" w14:textId="3B669B59" w:rsidR="0095405B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39A0F52D" w14:textId="6EEA8ACC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192367" w14:textId="3B6FD985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95405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DF2F99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6CF3206F" w:rsidR="00DF2F99" w:rsidRPr="00DF2F99" w:rsidRDefault="00DF2F99" w:rsidP="00DF2F99">
      <w:pPr>
        <w:rPr>
          <w:rFonts w:ascii="Verdana" w:hAnsi="Verdana"/>
          <w:sz w:val="18"/>
          <w:szCs w:val="18"/>
        </w:rPr>
      </w:pP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43980C08" w14:textId="3B20988B" w:rsidR="00460421" w:rsidRPr="00DF2F99" w:rsidRDefault="00460421" w:rsidP="00DF2F99">
      <w:pPr>
        <w:rPr>
          <w:rFonts w:ascii="Verdana" w:hAnsi="Verdana"/>
          <w:sz w:val="18"/>
          <w:szCs w:val="18"/>
        </w:rPr>
      </w:pPr>
      <w:hyperlink r:id="rId11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AC5B7F2" w14:textId="4E2E99F4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997F6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i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i/>
          <w:sz w:val="18"/>
          <w:szCs w:val="18"/>
          <w:u w:val="single"/>
          <w:lang w:val="pt-PT"/>
        </w:rPr>
        <w:t>Contact</w:t>
      </w:r>
      <w:r w:rsidRPr="00DF2F99">
        <w:rPr>
          <w:rFonts w:ascii="Verdana" w:eastAsia="Malgun Gothic" w:hAnsi="Verdana" w:cs="Arial"/>
          <w:i/>
          <w:sz w:val="18"/>
          <w:szCs w:val="18"/>
          <w:lang w:val="pt-PT"/>
        </w:rPr>
        <w:t xml:space="preserve"> </w:t>
      </w:r>
    </w:p>
    <w:p w14:paraId="16BA908E" w14:textId="3FD4BC13" w:rsidR="00DF2F99" w:rsidRPr="00DF2F99" w:rsidRDefault="00DF2F99" w:rsidP="00DF2F99">
      <w:pPr>
        <w:rPr>
          <w:rFonts w:ascii="Verdana" w:eastAsia="Malgun Gothic" w:hAnsi="Verdana" w:cs="Arial"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Constantinou Maria: </w:t>
      </w:r>
      <w:r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>el</w:t>
      </w:r>
      <w:r w:rsidR="00435207">
        <w:rPr>
          <w:rFonts w:ascii="Verdana" w:eastAsia="Malgun Gothic" w:hAnsi="Verdana" w:cs="Arial"/>
          <w:sz w:val="18"/>
          <w:szCs w:val="18"/>
          <w:lang w:val="pt-PT"/>
        </w:rPr>
        <w:t>.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>: +357</w:t>
      </w:r>
      <w:r w:rsidR="00435207">
        <w:rPr>
          <w:rFonts w:ascii="Verdana" w:eastAsia="Malgun Gothic" w:hAnsi="Verdana" w:cs="Arial"/>
          <w:sz w:val="18"/>
          <w:szCs w:val="18"/>
          <w:lang w:val="pt-PT"/>
        </w:rPr>
        <w:t>-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22602226, Email: </w:t>
      </w:r>
      <w:hyperlink r:id="rId12" w:history="1">
        <w:r w:rsidRPr="00435207">
          <w:rPr>
            <w:rFonts w:ascii="Verdana" w:hAnsi="Verdana"/>
            <w:color w:val="0000FF"/>
            <w:sz w:val="18"/>
            <w:szCs w:val="18"/>
            <w:u w:val="single"/>
            <w:lang w:val="pt-PT"/>
          </w:rPr>
          <w:t>mconstantinou</w:t>
        </w:r>
        <w:r w:rsidRPr="00DF2F99">
          <w:rPr>
            <w:rFonts w:ascii="Verdana" w:eastAsia="Malgun Gothic" w:hAnsi="Verdana" w:cs="Arial"/>
            <w:color w:val="0000FF"/>
            <w:sz w:val="18"/>
            <w:szCs w:val="18"/>
            <w:u w:val="single"/>
            <w:lang w:val="pt-PT"/>
          </w:rPr>
          <w:t>@cystat.mof.gov.cy</w:t>
        </w:r>
      </w:hyperlink>
    </w:p>
    <w:p w14:paraId="6CD4F3B7" w14:textId="409697A9" w:rsidR="00C26329" w:rsidRPr="00DF2F99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Pr="00435207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A69251E" w14:textId="77777777" w:rsidR="00C26329" w:rsidRPr="00435207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35207" w:rsidSect="005938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B4D4" w14:textId="77777777" w:rsidR="007E3D03" w:rsidRDefault="007E3D03" w:rsidP="00FB398F">
      <w:r>
        <w:separator/>
      </w:r>
    </w:p>
  </w:endnote>
  <w:endnote w:type="continuationSeparator" w:id="0">
    <w:p w14:paraId="241213AA" w14:textId="77777777" w:rsidR="007E3D03" w:rsidRDefault="007E3D0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A752D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67F9C7E5" w:rsidR="0060256A" w:rsidRPr="006674D7" w:rsidRDefault="008B759F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>Address:</w:t>
    </w:r>
    <w:r w:rsidR="0060256A" w:rsidRPr="006674D7">
      <w:rPr>
        <w:rFonts w:ascii="Verdana" w:hAnsi="Verdana" w:cs="Arial"/>
        <w:iCs/>
        <w:sz w:val="16"/>
        <w:szCs w:val="16"/>
      </w:rPr>
      <w:t xml:space="preserve"> Micha</w:t>
    </w:r>
    <w:r w:rsidR="00EF6A66" w:rsidRPr="006674D7">
      <w:rPr>
        <w:rFonts w:ascii="Verdana" w:hAnsi="Verdana" w:cs="Arial"/>
        <w:iCs/>
        <w:sz w:val="16"/>
        <w:szCs w:val="16"/>
      </w:rPr>
      <w:t>el</w:t>
    </w:r>
    <w:r w:rsidRPr="006674D7">
      <w:rPr>
        <w:rFonts w:ascii="Verdana" w:hAnsi="Verdana" w:cs="Arial"/>
        <w:iCs/>
        <w:sz w:val="16"/>
        <w:szCs w:val="16"/>
      </w:rPr>
      <w:t xml:space="preserve"> Karaoli </w:t>
    </w:r>
    <w:r w:rsidR="0060256A" w:rsidRPr="006674D7">
      <w:rPr>
        <w:rFonts w:ascii="Verdana" w:hAnsi="Verdana" w:cs="Arial"/>
        <w:iCs/>
        <w:sz w:val="16"/>
        <w:szCs w:val="16"/>
      </w:rPr>
      <w:t>Str., 1444 Nicosia, Cyprus</w:t>
    </w:r>
  </w:p>
  <w:p w14:paraId="5BFB5428" w14:textId="48292521" w:rsidR="0060256A" w:rsidRPr="0043520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 w:rsidRPr="00435207">
      <w:rPr>
        <w:rFonts w:ascii="Verdana" w:hAnsi="Verdana" w:cs="Arial"/>
        <w:iCs/>
        <w:sz w:val="16"/>
        <w:szCs w:val="16"/>
        <w:lang w:val="pt-PT"/>
      </w:rPr>
      <w:t xml:space="preserve">Tel.: </w:t>
    </w:r>
    <w:r w:rsidR="00122143" w:rsidRPr="00435207">
      <w:rPr>
        <w:rFonts w:ascii="Verdana" w:hAnsi="Verdana" w:cs="Arial"/>
        <w:iCs/>
        <w:sz w:val="16"/>
        <w:szCs w:val="16"/>
        <w:lang w:val="pt-PT"/>
      </w:rPr>
      <w:t xml:space="preserve">22 602129, </w:t>
    </w:r>
    <w:r w:rsidR="0060256A" w:rsidRPr="00435207">
      <w:rPr>
        <w:rFonts w:ascii="Verdana" w:hAnsi="Verdana" w:cs="Arial"/>
        <w:iCs/>
        <w:sz w:val="16"/>
        <w:szCs w:val="16"/>
        <w:lang w:val="pt-PT"/>
      </w:rPr>
      <w:t xml:space="preserve">E-mail: </w:t>
    </w:r>
    <w:hyperlink r:id="rId1" w:history="1">
      <w:r w:rsidRPr="00435207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435207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64B23B82" w:rsidR="004E4F42" w:rsidRPr="0043520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435207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435207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435207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2AE3" w14:textId="77777777" w:rsidR="007E3D03" w:rsidRDefault="007E3D03" w:rsidP="00FB398F">
      <w:r>
        <w:separator/>
      </w:r>
    </w:p>
  </w:footnote>
  <w:footnote w:type="continuationSeparator" w:id="0">
    <w:p w14:paraId="6A6E5D17" w14:textId="77777777" w:rsidR="007E3D03" w:rsidRDefault="007E3D0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224EDAF3" w:rsidR="004E4F42" w:rsidRDefault="006674D7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1F66AE94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390525"/>
              <wp:effectExtent l="0" t="0" r="0" b="952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35pt;width:2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Ab9wEAANEDAAAOAAAAZHJzL2Uyb0RvYy54bWysU9uO0zAQfUfiHyy/06ShhW7UdLV0VYS0&#10;XKSFD3AcJ7FIPGbsNilfz9jJdgu8IfJgeTL2mTlnjre3Y9+xk0KnwRR8uUg5U0ZCpU1T8G9fD682&#10;nDkvTCU6MKrgZ+X47e7li+1gc5VBC12lkBGIcflgC956b/MkcbJVvXALsMpQsgbshacQm6RCMRB6&#10;3yVZmr5JBsDKIkjlHP29n5J8F/HrWkn/ua6d8qwrOPXm44pxLcOa7LYib1DYVsu5DfEPXfRCGyp6&#10;gboXXrAj6r+gei0RHNR+IaFPoK61VJEDsVmmf7B5bIVVkQuJ4+xFJvf/YOWn06P9gsyP72CkAUYS&#10;zj6A/O6YgX0rTKPuEGFolaio8DJIlgzW5fPVILXLXQAph49Q0ZDF0UMEGmvsgyrEkxE6DeB8EV2N&#10;nslQcpNtNimlJOVe36TrbB1LiPzptkXn3yvoWdgUHGmoEV2cHpwP3Yj86Ugo5qDT1UF3XQywKfcd&#10;spMgAxziN6P/dqwz4bCBcG1CDH8izcBs4ujHcmS6KngWIALrEqoz8UaYfEXvgDYt4E/OBvJUwd2P&#10;o0DFWffBkHY3y9UqmDAGq/XbjAK8zpTXGWEkQRXcczZt934y7tGiblqqNE3LwB3pXesoxXNXc/vk&#10;m6jQ7PFgzOs4nnp+ibtfAAAA//8DAFBLAwQUAAYACAAAACEAyHiRl90AAAAIAQAADwAAAGRycy9k&#10;b3ducmV2LnhtbEyPzU7DMBCE70i8g7VIXBB16E/SptlUgATi2tIH2CTbJGpsR7HbpG/PcoLjaEYz&#10;32S7yXTqyoNvnUV4mUWg2Jauam2NcPz+eF6D8oFsRZ2zjHBjD7v8/i6jtHKj3fP1EGolJdanhNCE&#10;0Kda+7JhQ37merbindxgKIgcal0NNEq56fQ8imJtqLWy0FDP7w2X58PFIJy+xqfVZiw+wzHZL+M3&#10;apPC3RAfH6bXLajAU/gLwy++oEMuTIW72MqrDiFermKJIqwTUOJvFgvRBUISzUHnmf5/IP8BAAD/&#10;/wMAUEsBAi0AFAAGAAgAAAAhALaDOJL+AAAA4QEAABMAAAAAAAAAAAAAAAAAAAAAAFtDb250ZW50&#10;X1R5cGVzXS54bWxQSwECLQAUAAYACAAAACEAOP0h/9YAAACUAQAACwAAAAAAAAAAAAAAAAAvAQAA&#10;X3JlbHMvLnJlbHNQSwECLQAUAAYACAAAACEAVvmAG/cBAADRAwAADgAAAAAAAAAAAAAAAAAuAgAA&#10;ZHJzL2Uyb0RvYy54bWxQSwECLQAUAAYACAAAACEAyHiRl90AAAAIAQAADwAAAAAAAAAAAAAAAABR&#10;BAAAZHJzL2Rvd25yZXYueG1sUEsFBgAAAAAEAAQA8wAAAFsFAAAAAA==&#10;" stroked="f">
              <v:textbox>
                <w:txbxContent>
                  <w:p w14:paraId="236D2ABB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1F9E988B" w:rsidR="00364377" w:rsidRPr="006674D7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6674D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492188">
    <w:abstractNumId w:val="4"/>
  </w:num>
  <w:num w:numId="2" w16cid:durableId="1530795436">
    <w:abstractNumId w:val="1"/>
  </w:num>
  <w:num w:numId="3" w16cid:durableId="75323171">
    <w:abstractNumId w:val="2"/>
  </w:num>
  <w:num w:numId="4" w16cid:durableId="755513340">
    <w:abstractNumId w:val="3"/>
  </w:num>
  <w:num w:numId="5" w16cid:durableId="1506553411">
    <w:abstractNumId w:val="0"/>
  </w:num>
  <w:num w:numId="6" w16cid:durableId="93748855">
    <w:abstractNumId w:val="5"/>
  </w:num>
  <w:num w:numId="7" w16cid:durableId="1955478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16D1E"/>
    <w:rsid w:val="00025A39"/>
    <w:rsid w:val="00027853"/>
    <w:rsid w:val="00030E18"/>
    <w:rsid w:val="00031225"/>
    <w:rsid w:val="0003150B"/>
    <w:rsid w:val="00031D32"/>
    <w:rsid w:val="0003603D"/>
    <w:rsid w:val="00036FA9"/>
    <w:rsid w:val="00043D2E"/>
    <w:rsid w:val="00045088"/>
    <w:rsid w:val="00045A06"/>
    <w:rsid w:val="00045FC0"/>
    <w:rsid w:val="00050391"/>
    <w:rsid w:val="00055291"/>
    <w:rsid w:val="000563D3"/>
    <w:rsid w:val="00057E44"/>
    <w:rsid w:val="00061299"/>
    <w:rsid w:val="00070576"/>
    <w:rsid w:val="00072754"/>
    <w:rsid w:val="0007438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0C99"/>
    <w:rsid w:val="000B3528"/>
    <w:rsid w:val="000B6F3B"/>
    <w:rsid w:val="000B72B3"/>
    <w:rsid w:val="000C290F"/>
    <w:rsid w:val="000C4E72"/>
    <w:rsid w:val="000C7107"/>
    <w:rsid w:val="000D0F82"/>
    <w:rsid w:val="000D1E7A"/>
    <w:rsid w:val="000E24B1"/>
    <w:rsid w:val="000E2735"/>
    <w:rsid w:val="000E32D6"/>
    <w:rsid w:val="000E57F2"/>
    <w:rsid w:val="000E72A7"/>
    <w:rsid w:val="000F1162"/>
    <w:rsid w:val="000F200F"/>
    <w:rsid w:val="000F3467"/>
    <w:rsid w:val="000F38DE"/>
    <w:rsid w:val="000F5D6C"/>
    <w:rsid w:val="00106852"/>
    <w:rsid w:val="00110F9D"/>
    <w:rsid w:val="00114A67"/>
    <w:rsid w:val="001153C6"/>
    <w:rsid w:val="00122143"/>
    <w:rsid w:val="001253B6"/>
    <w:rsid w:val="00125D16"/>
    <w:rsid w:val="00127320"/>
    <w:rsid w:val="00127456"/>
    <w:rsid w:val="001312D8"/>
    <w:rsid w:val="0013137B"/>
    <w:rsid w:val="00135925"/>
    <w:rsid w:val="0015118B"/>
    <w:rsid w:val="001519CE"/>
    <w:rsid w:val="00152A47"/>
    <w:rsid w:val="0015344C"/>
    <w:rsid w:val="00155918"/>
    <w:rsid w:val="00161CF3"/>
    <w:rsid w:val="00162C00"/>
    <w:rsid w:val="001639EF"/>
    <w:rsid w:val="0016589F"/>
    <w:rsid w:val="00166FC4"/>
    <w:rsid w:val="00170354"/>
    <w:rsid w:val="00176558"/>
    <w:rsid w:val="0017756A"/>
    <w:rsid w:val="0017769A"/>
    <w:rsid w:val="00183DFC"/>
    <w:rsid w:val="00184384"/>
    <w:rsid w:val="00186717"/>
    <w:rsid w:val="00187FFC"/>
    <w:rsid w:val="00190D2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265A"/>
    <w:rsid w:val="001C62B3"/>
    <w:rsid w:val="001C7C8C"/>
    <w:rsid w:val="001D0D6A"/>
    <w:rsid w:val="001D20A4"/>
    <w:rsid w:val="001D20E0"/>
    <w:rsid w:val="001D5897"/>
    <w:rsid w:val="001E00D1"/>
    <w:rsid w:val="001E0E58"/>
    <w:rsid w:val="001E14F3"/>
    <w:rsid w:val="001E15ED"/>
    <w:rsid w:val="001E61AA"/>
    <w:rsid w:val="001E7D09"/>
    <w:rsid w:val="0020309E"/>
    <w:rsid w:val="00205BA0"/>
    <w:rsid w:val="00207DE5"/>
    <w:rsid w:val="002104BC"/>
    <w:rsid w:val="002105CC"/>
    <w:rsid w:val="00210B58"/>
    <w:rsid w:val="00222423"/>
    <w:rsid w:val="0022346F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5032"/>
    <w:rsid w:val="0028338F"/>
    <w:rsid w:val="00285C24"/>
    <w:rsid w:val="002915C4"/>
    <w:rsid w:val="002A1D1C"/>
    <w:rsid w:val="002A4D64"/>
    <w:rsid w:val="002A4FA3"/>
    <w:rsid w:val="002B4EE4"/>
    <w:rsid w:val="002B6554"/>
    <w:rsid w:val="002C307C"/>
    <w:rsid w:val="002D05F0"/>
    <w:rsid w:val="002D7D4A"/>
    <w:rsid w:val="002E1906"/>
    <w:rsid w:val="002E1D3A"/>
    <w:rsid w:val="002E3846"/>
    <w:rsid w:val="002E3F78"/>
    <w:rsid w:val="002E62EA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337D"/>
    <w:rsid w:val="003555AE"/>
    <w:rsid w:val="003556EA"/>
    <w:rsid w:val="00364377"/>
    <w:rsid w:val="00365A11"/>
    <w:rsid w:val="00366B67"/>
    <w:rsid w:val="003671CE"/>
    <w:rsid w:val="00375F86"/>
    <w:rsid w:val="00377ABB"/>
    <w:rsid w:val="003854F5"/>
    <w:rsid w:val="00386FC7"/>
    <w:rsid w:val="00390A32"/>
    <w:rsid w:val="00390B86"/>
    <w:rsid w:val="00396C89"/>
    <w:rsid w:val="003A40F2"/>
    <w:rsid w:val="003A5094"/>
    <w:rsid w:val="003A50D1"/>
    <w:rsid w:val="003B196D"/>
    <w:rsid w:val="003B1AAB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52C5"/>
    <w:rsid w:val="003F49E4"/>
    <w:rsid w:val="003F4D2F"/>
    <w:rsid w:val="003F5E32"/>
    <w:rsid w:val="003F75F6"/>
    <w:rsid w:val="004022D5"/>
    <w:rsid w:val="00404670"/>
    <w:rsid w:val="00414CA0"/>
    <w:rsid w:val="00422F54"/>
    <w:rsid w:val="00431516"/>
    <w:rsid w:val="00435207"/>
    <w:rsid w:val="004361B3"/>
    <w:rsid w:val="0044249D"/>
    <w:rsid w:val="0044379F"/>
    <w:rsid w:val="00446FB1"/>
    <w:rsid w:val="00460421"/>
    <w:rsid w:val="0046078F"/>
    <w:rsid w:val="00462422"/>
    <w:rsid w:val="00463214"/>
    <w:rsid w:val="0046434D"/>
    <w:rsid w:val="004656FA"/>
    <w:rsid w:val="00471D77"/>
    <w:rsid w:val="00475587"/>
    <w:rsid w:val="00480BC2"/>
    <w:rsid w:val="00487A44"/>
    <w:rsid w:val="004929C2"/>
    <w:rsid w:val="00493FDD"/>
    <w:rsid w:val="0049586B"/>
    <w:rsid w:val="004A353F"/>
    <w:rsid w:val="004A3E44"/>
    <w:rsid w:val="004A7983"/>
    <w:rsid w:val="004B2896"/>
    <w:rsid w:val="004B38E9"/>
    <w:rsid w:val="004B3FBA"/>
    <w:rsid w:val="004B556F"/>
    <w:rsid w:val="004B6599"/>
    <w:rsid w:val="004C35C1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5DB0"/>
    <w:rsid w:val="0051107B"/>
    <w:rsid w:val="00512F9C"/>
    <w:rsid w:val="005228FA"/>
    <w:rsid w:val="00523FD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266"/>
    <w:rsid w:val="00566A4F"/>
    <w:rsid w:val="00567D64"/>
    <w:rsid w:val="00572BC2"/>
    <w:rsid w:val="005938ED"/>
    <w:rsid w:val="0059478C"/>
    <w:rsid w:val="005978D4"/>
    <w:rsid w:val="005A752D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6491"/>
    <w:rsid w:val="005D7638"/>
    <w:rsid w:val="005E040A"/>
    <w:rsid w:val="005E43BD"/>
    <w:rsid w:val="005E7A2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674D7"/>
    <w:rsid w:val="00671785"/>
    <w:rsid w:val="00672BA9"/>
    <w:rsid w:val="00673005"/>
    <w:rsid w:val="00677C5C"/>
    <w:rsid w:val="006804BE"/>
    <w:rsid w:val="006852D0"/>
    <w:rsid w:val="0069008E"/>
    <w:rsid w:val="0069087E"/>
    <w:rsid w:val="00691191"/>
    <w:rsid w:val="006925C4"/>
    <w:rsid w:val="0069309C"/>
    <w:rsid w:val="00694929"/>
    <w:rsid w:val="006A02B7"/>
    <w:rsid w:val="006B22EA"/>
    <w:rsid w:val="006B46D5"/>
    <w:rsid w:val="006B46F4"/>
    <w:rsid w:val="006B47CD"/>
    <w:rsid w:val="006C70E6"/>
    <w:rsid w:val="006C7AF3"/>
    <w:rsid w:val="006D6548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77A6"/>
    <w:rsid w:val="007437AB"/>
    <w:rsid w:val="007534F8"/>
    <w:rsid w:val="007545AD"/>
    <w:rsid w:val="00763722"/>
    <w:rsid w:val="00764BC1"/>
    <w:rsid w:val="007665AB"/>
    <w:rsid w:val="00770869"/>
    <w:rsid w:val="007738AA"/>
    <w:rsid w:val="00780A62"/>
    <w:rsid w:val="00781863"/>
    <w:rsid w:val="00783241"/>
    <w:rsid w:val="007838EC"/>
    <w:rsid w:val="00784BDC"/>
    <w:rsid w:val="00792F28"/>
    <w:rsid w:val="0079543F"/>
    <w:rsid w:val="00795880"/>
    <w:rsid w:val="007A1C7B"/>
    <w:rsid w:val="007A4367"/>
    <w:rsid w:val="007A5D73"/>
    <w:rsid w:val="007B0867"/>
    <w:rsid w:val="007B1AC1"/>
    <w:rsid w:val="007B5A08"/>
    <w:rsid w:val="007B67AE"/>
    <w:rsid w:val="007B693D"/>
    <w:rsid w:val="007B718F"/>
    <w:rsid w:val="007D0338"/>
    <w:rsid w:val="007E041B"/>
    <w:rsid w:val="007E199A"/>
    <w:rsid w:val="007E2415"/>
    <w:rsid w:val="007E39F3"/>
    <w:rsid w:val="007E3D03"/>
    <w:rsid w:val="007E660B"/>
    <w:rsid w:val="007E68F4"/>
    <w:rsid w:val="007F31BA"/>
    <w:rsid w:val="007F4078"/>
    <w:rsid w:val="0080014B"/>
    <w:rsid w:val="00801793"/>
    <w:rsid w:val="00803642"/>
    <w:rsid w:val="00806EA2"/>
    <w:rsid w:val="00812A2B"/>
    <w:rsid w:val="008135D1"/>
    <w:rsid w:val="00814A4C"/>
    <w:rsid w:val="00831AAB"/>
    <w:rsid w:val="00834336"/>
    <w:rsid w:val="0083574E"/>
    <w:rsid w:val="0083640C"/>
    <w:rsid w:val="0084157B"/>
    <w:rsid w:val="00842BFB"/>
    <w:rsid w:val="00846B85"/>
    <w:rsid w:val="00847DC3"/>
    <w:rsid w:val="00847F49"/>
    <w:rsid w:val="008535A0"/>
    <w:rsid w:val="008535C5"/>
    <w:rsid w:val="00853765"/>
    <w:rsid w:val="0085516F"/>
    <w:rsid w:val="00861278"/>
    <w:rsid w:val="00867186"/>
    <w:rsid w:val="008707C2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3BA2"/>
    <w:rsid w:val="008B0E7E"/>
    <w:rsid w:val="008B5FF0"/>
    <w:rsid w:val="008B65BD"/>
    <w:rsid w:val="008B759F"/>
    <w:rsid w:val="008B7900"/>
    <w:rsid w:val="008C71BF"/>
    <w:rsid w:val="008C7FE0"/>
    <w:rsid w:val="008D3762"/>
    <w:rsid w:val="008D5717"/>
    <w:rsid w:val="008E3716"/>
    <w:rsid w:val="008E44A9"/>
    <w:rsid w:val="008E4A39"/>
    <w:rsid w:val="008E6B4D"/>
    <w:rsid w:val="008E6BFF"/>
    <w:rsid w:val="008F21AF"/>
    <w:rsid w:val="008F2400"/>
    <w:rsid w:val="008F61BA"/>
    <w:rsid w:val="008F6E3C"/>
    <w:rsid w:val="008F7C55"/>
    <w:rsid w:val="0090338C"/>
    <w:rsid w:val="009074EC"/>
    <w:rsid w:val="00914A23"/>
    <w:rsid w:val="00917583"/>
    <w:rsid w:val="00930754"/>
    <w:rsid w:val="00931164"/>
    <w:rsid w:val="00934F68"/>
    <w:rsid w:val="009355AC"/>
    <w:rsid w:val="00935F38"/>
    <w:rsid w:val="00937586"/>
    <w:rsid w:val="009423A9"/>
    <w:rsid w:val="00947889"/>
    <w:rsid w:val="0095405B"/>
    <w:rsid w:val="00960E98"/>
    <w:rsid w:val="009616FE"/>
    <w:rsid w:val="00963A82"/>
    <w:rsid w:val="00972912"/>
    <w:rsid w:val="00972CA0"/>
    <w:rsid w:val="00976D1F"/>
    <w:rsid w:val="00981C81"/>
    <w:rsid w:val="0098706F"/>
    <w:rsid w:val="00992209"/>
    <w:rsid w:val="009A0085"/>
    <w:rsid w:val="009A2D24"/>
    <w:rsid w:val="009A456C"/>
    <w:rsid w:val="009A4B24"/>
    <w:rsid w:val="009B00E0"/>
    <w:rsid w:val="009B1556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57D4"/>
    <w:rsid w:val="00A039CF"/>
    <w:rsid w:val="00A04A80"/>
    <w:rsid w:val="00A05D16"/>
    <w:rsid w:val="00A0659F"/>
    <w:rsid w:val="00A079BA"/>
    <w:rsid w:val="00A226F1"/>
    <w:rsid w:val="00A33875"/>
    <w:rsid w:val="00A360A1"/>
    <w:rsid w:val="00A402B3"/>
    <w:rsid w:val="00A453EB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0C9A"/>
    <w:rsid w:val="00AB1D41"/>
    <w:rsid w:val="00AB3D0F"/>
    <w:rsid w:val="00AC5E9A"/>
    <w:rsid w:val="00AC704B"/>
    <w:rsid w:val="00AD553E"/>
    <w:rsid w:val="00AD5848"/>
    <w:rsid w:val="00AE2D9F"/>
    <w:rsid w:val="00AE5ADA"/>
    <w:rsid w:val="00AF3878"/>
    <w:rsid w:val="00AF6145"/>
    <w:rsid w:val="00B0056D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3C2E"/>
    <w:rsid w:val="00B35A7C"/>
    <w:rsid w:val="00B450D1"/>
    <w:rsid w:val="00B53D47"/>
    <w:rsid w:val="00B54A25"/>
    <w:rsid w:val="00B54B75"/>
    <w:rsid w:val="00B57F76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C58BB"/>
    <w:rsid w:val="00BC7F9D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3E0F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474C"/>
    <w:rsid w:val="00C35E28"/>
    <w:rsid w:val="00C426AF"/>
    <w:rsid w:val="00C434E1"/>
    <w:rsid w:val="00C469C1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F2E"/>
    <w:rsid w:val="00C6785C"/>
    <w:rsid w:val="00C70FD1"/>
    <w:rsid w:val="00C733AA"/>
    <w:rsid w:val="00C81338"/>
    <w:rsid w:val="00C83027"/>
    <w:rsid w:val="00C83BF6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2C52"/>
    <w:rsid w:val="00D6391D"/>
    <w:rsid w:val="00D64BEA"/>
    <w:rsid w:val="00D843F4"/>
    <w:rsid w:val="00D84FB4"/>
    <w:rsid w:val="00DA5EE0"/>
    <w:rsid w:val="00DC23CF"/>
    <w:rsid w:val="00DC6562"/>
    <w:rsid w:val="00DE130D"/>
    <w:rsid w:val="00DE24CF"/>
    <w:rsid w:val="00DE407C"/>
    <w:rsid w:val="00DE7C7D"/>
    <w:rsid w:val="00DF2992"/>
    <w:rsid w:val="00DF2D0C"/>
    <w:rsid w:val="00DF2F99"/>
    <w:rsid w:val="00DF5631"/>
    <w:rsid w:val="00E01B9D"/>
    <w:rsid w:val="00E04F5E"/>
    <w:rsid w:val="00E0522E"/>
    <w:rsid w:val="00E120F4"/>
    <w:rsid w:val="00E155F9"/>
    <w:rsid w:val="00E17172"/>
    <w:rsid w:val="00E2582E"/>
    <w:rsid w:val="00E3181C"/>
    <w:rsid w:val="00E3256C"/>
    <w:rsid w:val="00E3280A"/>
    <w:rsid w:val="00E372AF"/>
    <w:rsid w:val="00E37D68"/>
    <w:rsid w:val="00E40EAE"/>
    <w:rsid w:val="00E436AC"/>
    <w:rsid w:val="00E44FF8"/>
    <w:rsid w:val="00E5066A"/>
    <w:rsid w:val="00E52CF9"/>
    <w:rsid w:val="00E53F3D"/>
    <w:rsid w:val="00E571EA"/>
    <w:rsid w:val="00E63F34"/>
    <w:rsid w:val="00E6715A"/>
    <w:rsid w:val="00E758E4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766"/>
    <w:rsid w:val="00EA3956"/>
    <w:rsid w:val="00EA5571"/>
    <w:rsid w:val="00EB305E"/>
    <w:rsid w:val="00EB77A7"/>
    <w:rsid w:val="00EC02A5"/>
    <w:rsid w:val="00EC176B"/>
    <w:rsid w:val="00EC33CD"/>
    <w:rsid w:val="00EC4936"/>
    <w:rsid w:val="00EC5BE5"/>
    <w:rsid w:val="00ED2650"/>
    <w:rsid w:val="00ED45AC"/>
    <w:rsid w:val="00ED721A"/>
    <w:rsid w:val="00EE393D"/>
    <w:rsid w:val="00EE3E6A"/>
    <w:rsid w:val="00EF01CF"/>
    <w:rsid w:val="00EF6A66"/>
    <w:rsid w:val="00EF7AF9"/>
    <w:rsid w:val="00F01495"/>
    <w:rsid w:val="00F01EE6"/>
    <w:rsid w:val="00F058E6"/>
    <w:rsid w:val="00F10138"/>
    <w:rsid w:val="00F12E57"/>
    <w:rsid w:val="00F13F92"/>
    <w:rsid w:val="00F157D3"/>
    <w:rsid w:val="00F22ECA"/>
    <w:rsid w:val="00F240E8"/>
    <w:rsid w:val="00F244FA"/>
    <w:rsid w:val="00F333ED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77979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2314"/>
    <w:rsid w:val="00FC3EF3"/>
    <w:rsid w:val="00FD2049"/>
    <w:rsid w:val="00FD2140"/>
    <w:rsid w:val="00FD5BDE"/>
    <w:rsid w:val="00FD68EC"/>
    <w:rsid w:val="00FE0476"/>
    <w:rsid w:val="00FE24A5"/>
    <w:rsid w:val="00FE31E5"/>
    <w:rsid w:val="00FE4FF7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21733285-B34F-4512-BED7-690F4D8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National%20Account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B9D2-FEEC-48E4-B833-E01243B4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4</cp:revision>
  <cp:lastPrinted>2025-09-01T09:11:00Z</cp:lastPrinted>
  <dcterms:created xsi:type="dcterms:W3CDTF">2026-05-26T08:03:00Z</dcterms:created>
  <dcterms:modified xsi:type="dcterms:W3CDTF">2026-06-02T07:26:00Z</dcterms:modified>
</cp:coreProperties>
</file>