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9A7D" w14:textId="77777777" w:rsidR="002131E5" w:rsidRDefault="002131E5" w:rsidP="000D572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E525D16" w14:textId="2BB81C1C" w:rsidR="000D572B" w:rsidRPr="000D572B" w:rsidRDefault="000D572B" w:rsidP="000D572B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0D572B">
        <w:rPr>
          <w:rFonts w:ascii="Verdana" w:hAnsi="Verdana" w:cs="Arial"/>
          <w:sz w:val="18"/>
          <w:szCs w:val="18"/>
          <w:lang w:val="el-GR"/>
        </w:rPr>
        <w:t xml:space="preserve">1 </w:t>
      </w:r>
      <w:r w:rsidR="001354B3">
        <w:rPr>
          <w:rFonts w:ascii="Verdana" w:hAnsi="Verdana" w:cs="Arial"/>
          <w:sz w:val="18"/>
          <w:szCs w:val="18"/>
          <w:lang w:val="el-GR"/>
        </w:rPr>
        <w:t>Σεπτεμβρίου</w:t>
      </w:r>
      <w:r w:rsidRPr="000D572B">
        <w:rPr>
          <w:rFonts w:ascii="Verdana" w:hAnsi="Verdana" w:cs="Arial"/>
          <w:sz w:val="18"/>
          <w:szCs w:val="18"/>
          <w:lang w:val="el-GR"/>
        </w:rPr>
        <w:t>, 2023</w:t>
      </w:r>
    </w:p>
    <w:p w14:paraId="14647AD0" w14:textId="77777777" w:rsidR="000D572B" w:rsidRDefault="000D572B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3940E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A0584C" w14:textId="77777777" w:rsidR="000D572B" w:rsidRPr="000D572B" w:rsidRDefault="000D572B" w:rsidP="000D572B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0D572B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1C2CBE7A" w14:textId="77777777" w:rsidR="000D572B" w:rsidRDefault="000D572B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FA8FA7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6A135C" w14:textId="1A6EF1B7" w:rsidR="000D572B" w:rsidRPr="00493DB9" w:rsidRDefault="00B90040" w:rsidP="000D572B">
      <w:pPr>
        <w:jc w:val="both"/>
        <w:rPr>
          <w:rFonts w:ascii="Verdana" w:hAnsi="Verdana" w:cs="Arial"/>
          <w:u w:val="single"/>
          <w:lang w:val="el-GR"/>
        </w:rPr>
      </w:pPr>
      <w:r w:rsidRPr="002131E5">
        <w:rPr>
          <w:rFonts w:ascii="Verdana" w:hAnsi="Verdana" w:cs="Arial"/>
          <w:u w:val="single"/>
          <w:lang w:val="el-GR"/>
        </w:rPr>
        <w:t>ΤΡΙΜΗΝΙΑΙΟΙ ΕΘΝΙΚΟΙ ΛΟΓΑΡΙΑΣΜΟΙ</w:t>
      </w:r>
      <w:r w:rsidR="000D572B" w:rsidRPr="000D572B">
        <w:rPr>
          <w:rFonts w:ascii="Verdana" w:hAnsi="Verdana" w:cs="Arial"/>
          <w:u w:val="single"/>
          <w:lang w:val="el-GR"/>
        </w:rPr>
        <w:t xml:space="preserve">: </w:t>
      </w:r>
      <w:r w:rsidR="001354B3">
        <w:rPr>
          <w:rFonts w:ascii="Verdana" w:hAnsi="Verdana" w:cs="Arial"/>
          <w:b/>
          <w:bCs/>
          <w:u w:val="single"/>
          <w:lang w:val="el-GR"/>
        </w:rPr>
        <w:t>2</w:t>
      </w:r>
      <w:r w:rsidR="000D572B" w:rsidRPr="000D572B">
        <w:rPr>
          <w:rFonts w:ascii="Verdana" w:hAnsi="Verdana" w:cs="Arial"/>
          <w:b/>
          <w:bCs/>
          <w:u w:val="single"/>
          <w:lang w:val="el-GR"/>
        </w:rPr>
        <w:t>ο ΤΡΙΜΗΝΟ 202</w:t>
      </w:r>
      <w:r>
        <w:rPr>
          <w:rFonts w:ascii="Verdana" w:hAnsi="Verdana" w:cs="Arial"/>
          <w:b/>
          <w:bCs/>
          <w:u w:val="single"/>
          <w:lang w:val="el-GR"/>
        </w:rPr>
        <w:t>3</w:t>
      </w:r>
    </w:p>
    <w:p w14:paraId="5C7A441B" w14:textId="77777777" w:rsidR="00B90040" w:rsidRPr="000D572B" w:rsidRDefault="00B90040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D484B5" w14:textId="7B7E8885" w:rsidR="000D572B" w:rsidRPr="000D572B" w:rsidRDefault="000D572B" w:rsidP="000D572B">
      <w:pPr>
        <w:jc w:val="center"/>
        <w:rPr>
          <w:rFonts w:ascii="Verdana" w:hAnsi="Verdana" w:cs="Arial"/>
          <w:b/>
          <w:bCs/>
          <w:lang w:val="el-GR"/>
        </w:rPr>
      </w:pPr>
      <w:r w:rsidRPr="000D572B">
        <w:rPr>
          <w:rFonts w:ascii="Verdana" w:hAnsi="Verdana" w:cs="Arial"/>
          <w:b/>
          <w:bCs/>
          <w:lang w:val="el-GR"/>
        </w:rPr>
        <w:t xml:space="preserve">Ρυθμός Ανάπτυξης </w:t>
      </w:r>
      <w:r w:rsidR="007A7D66">
        <w:rPr>
          <w:rFonts w:ascii="Verdana" w:hAnsi="Verdana" w:cs="Arial"/>
          <w:b/>
          <w:bCs/>
          <w:lang w:val="el-GR"/>
        </w:rPr>
        <w:t>2</w:t>
      </w:r>
      <w:r w:rsidRPr="000D572B">
        <w:rPr>
          <w:rFonts w:ascii="Verdana" w:hAnsi="Verdana" w:cs="Arial"/>
          <w:b/>
          <w:bCs/>
          <w:lang w:val="el-GR"/>
        </w:rPr>
        <w:t>,</w:t>
      </w:r>
      <w:r w:rsidR="007A7D66">
        <w:rPr>
          <w:rFonts w:ascii="Verdana" w:hAnsi="Verdana" w:cs="Arial"/>
          <w:b/>
          <w:bCs/>
          <w:lang w:val="el-GR"/>
        </w:rPr>
        <w:t>1</w:t>
      </w:r>
      <w:r w:rsidRPr="000D572B">
        <w:rPr>
          <w:rFonts w:ascii="Verdana" w:hAnsi="Verdana" w:cs="Arial"/>
          <w:b/>
          <w:bCs/>
          <w:lang w:val="el-GR"/>
        </w:rPr>
        <w:t>%</w:t>
      </w:r>
    </w:p>
    <w:p w14:paraId="28F093F5" w14:textId="77777777" w:rsidR="000D572B" w:rsidRPr="00FD4722" w:rsidRDefault="000D572B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6D3737" w14:textId="7768229F" w:rsidR="000D572B" w:rsidRPr="00FD4722" w:rsidRDefault="000D572B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D4722">
        <w:rPr>
          <w:rFonts w:ascii="Verdana" w:hAnsi="Verdana" w:cs="Arial"/>
          <w:sz w:val="18"/>
          <w:szCs w:val="18"/>
          <w:lang w:val="el-GR"/>
        </w:rPr>
        <w:t xml:space="preserve">Ο 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ρυθμός ανάπτυξης της οικονομίας κατά το </w:t>
      </w:r>
      <w:r w:rsidR="001354B3">
        <w:rPr>
          <w:rFonts w:ascii="Verdana" w:hAnsi="Verdana" w:cs="Arial"/>
          <w:sz w:val="18"/>
          <w:szCs w:val="18"/>
          <w:lang w:val="el-GR"/>
        </w:rPr>
        <w:t>δεύτερο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 τρίμηνο του 2023 είναι θετικός και υπολογίζεται σε </w:t>
      </w:r>
      <w:r w:rsidR="007A7D66">
        <w:rPr>
          <w:rFonts w:ascii="Verdana" w:hAnsi="Verdana" w:cs="Arial"/>
          <w:sz w:val="18"/>
          <w:szCs w:val="18"/>
          <w:lang w:val="el-GR"/>
        </w:rPr>
        <w:t>2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,</w:t>
      </w:r>
      <w:r w:rsidR="007A7D66">
        <w:rPr>
          <w:rFonts w:ascii="Verdana" w:hAnsi="Verdana" w:cs="Arial"/>
          <w:sz w:val="18"/>
          <w:szCs w:val="18"/>
          <w:lang w:val="el-GR"/>
        </w:rPr>
        <w:t>1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% σε σύγκριση με το αντίστοιχο τρίμηνο του 2022. Μετά τη διόρθωση του ΑΕΠ ως προς τις εποχικές διακυμάνσεις και τις εργάσιμες μέρες, ο ρυθμός ανάπτυξης υπολογίζεται στο </w:t>
      </w:r>
      <w:r w:rsidR="007A7D66">
        <w:rPr>
          <w:rFonts w:ascii="Verdana" w:hAnsi="Verdana" w:cs="Arial"/>
          <w:sz w:val="18"/>
          <w:szCs w:val="18"/>
          <w:lang w:val="el-GR"/>
        </w:rPr>
        <w:t>2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,</w:t>
      </w:r>
      <w:r w:rsidR="007A7D66">
        <w:rPr>
          <w:rFonts w:ascii="Verdana" w:hAnsi="Verdana" w:cs="Arial"/>
          <w:sz w:val="18"/>
          <w:szCs w:val="18"/>
          <w:lang w:val="el-GR"/>
        </w:rPr>
        <w:t>3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%.</w:t>
      </w:r>
    </w:p>
    <w:p w14:paraId="7B1F99E6" w14:textId="77777777" w:rsidR="00486001" w:rsidRPr="00FD4722" w:rsidRDefault="00486001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067E77" w14:textId="37A75505" w:rsidR="00110D15" w:rsidRPr="00FD4722" w:rsidRDefault="00385ED5" w:rsidP="00FD4722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noProof/>
        </w:rPr>
        <w:drawing>
          <wp:inline distT="0" distB="0" distL="0" distR="0" wp14:anchorId="297574BD" wp14:editId="1834F097">
            <wp:extent cx="6081395" cy="4486275"/>
            <wp:effectExtent l="0" t="0" r="14605" b="952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C1C53B8C-BD50-4556-B88E-C7A66B0410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1AE0C0D" w14:textId="6D1142DC" w:rsidR="001712CF" w:rsidRPr="00FD4722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BFED56F" w14:textId="77777777" w:rsidR="00486001" w:rsidRPr="00FD4722" w:rsidRDefault="00486001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B0C8082" w14:textId="7C193EEC" w:rsidR="002769F4" w:rsidRPr="00AC4505" w:rsidRDefault="002E331C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D4722">
        <w:rPr>
          <w:rFonts w:ascii="Verdana" w:hAnsi="Verdana" w:cs="Arial"/>
          <w:sz w:val="18"/>
          <w:szCs w:val="18"/>
          <w:lang w:val="el-GR"/>
        </w:rPr>
        <w:t>Όσον αφορά την προσέγγιση παραγωγής για τον υπολογισμό του ΑΕΠ, ο</w:t>
      </w:r>
      <w:r w:rsidR="002769F4" w:rsidRPr="00FD4722">
        <w:rPr>
          <w:rFonts w:ascii="Verdana" w:hAnsi="Verdana" w:cs="Arial"/>
          <w:sz w:val="18"/>
          <w:szCs w:val="18"/>
          <w:lang w:val="el-GR"/>
        </w:rPr>
        <w:t xml:space="preserve"> θετικός ρυθμός ανάπτυξης οφείλεται κυρίως στους τομεί</w:t>
      </w:r>
      <w:r w:rsidR="007A7D66">
        <w:rPr>
          <w:rFonts w:ascii="Verdana" w:hAnsi="Verdana" w:cs="Arial"/>
          <w:sz w:val="18"/>
          <w:szCs w:val="18"/>
          <w:lang w:val="el-GR"/>
        </w:rPr>
        <w:t xml:space="preserve">ς: </w:t>
      </w:r>
      <w:r w:rsidR="007A7D66" w:rsidRPr="00054AE7">
        <w:rPr>
          <w:rFonts w:ascii="Verdana" w:hAnsi="Verdana" w:cs="Arial"/>
          <w:sz w:val="18"/>
          <w:szCs w:val="18"/>
          <w:lang w:val="el-GR"/>
        </w:rPr>
        <w:t>"Ξενοδοχεία και Εστιατόρια", "Μεταφορές και Αποθήκευση", "Ενημέρωση και Επικοινωνίες", "Χονδρικό και Λιανικό Εμπόριο, Επισκευή μηχανοκινήτων οχημάτων", "Τέχνες, Διασκέδαση και Ψυχαγωγία"</w:t>
      </w:r>
      <w:r w:rsidR="007A7D66" w:rsidRPr="00C767C3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7D66">
        <w:rPr>
          <w:rFonts w:ascii="Verdana" w:hAnsi="Verdana" w:cs="Arial"/>
          <w:sz w:val="18"/>
          <w:szCs w:val="18"/>
          <w:lang w:val="el-GR"/>
        </w:rPr>
        <w:t>και</w:t>
      </w:r>
      <w:r w:rsidR="007A7D66" w:rsidRPr="00054AE7">
        <w:rPr>
          <w:rFonts w:ascii="Verdana" w:hAnsi="Verdana" w:cs="Arial"/>
          <w:sz w:val="18"/>
          <w:szCs w:val="18"/>
          <w:lang w:val="el-GR"/>
        </w:rPr>
        <w:t xml:space="preserve"> "Άλλες Δραστηριότητες Παροχής Υπηρεσιών"</w:t>
      </w:r>
      <w:r w:rsidR="007A7D66" w:rsidRPr="00C767C3">
        <w:rPr>
          <w:rFonts w:ascii="Verdana" w:hAnsi="Verdana" w:cs="Arial"/>
          <w:sz w:val="18"/>
          <w:szCs w:val="18"/>
          <w:lang w:val="el-GR"/>
        </w:rPr>
        <w:t>.</w:t>
      </w:r>
      <w:r w:rsidR="00AC4505" w:rsidRPr="00AC4505">
        <w:rPr>
          <w:rFonts w:ascii="Verdana" w:hAnsi="Verdana" w:cs="Arial"/>
          <w:sz w:val="18"/>
          <w:szCs w:val="18"/>
          <w:lang w:val="el-GR"/>
        </w:rPr>
        <w:t xml:space="preserve"> (</w:t>
      </w:r>
      <w:r w:rsidR="00AC4505">
        <w:rPr>
          <w:rFonts w:ascii="Verdana" w:hAnsi="Verdana" w:cs="Arial"/>
          <w:sz w:val="18"/>
          <w:szCs w:val="18"/>
          <w:lang w:val="el-GR"/>
        </w:rPr>
        <w:t>Πίνακας 1</w:t>
      </w:r>
      <w:r w:rsidR="00AC4505" w:rsidRPr="00AC4505">
        <w:rPr>
          <w:rFonts w:ascii="Verdana" w:hAnsi="Verdana" w:cs="Arial"/>
          <w:sz w:val="18"/>
          <w:szCs w:val="18"/>
          <w:lang w:val="el-GR"/>
        </w:rPr>
        <w:t>)</w:t>
      </w:r>
    </w:p>
    <w:p w14:paraId="3284000C" w14:textId="2C7E7DDE" w:rsidR="00BE3249" w:rsidRDefault="00BE3249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91DDC4" w14:textId="77777777" w:rsidR="00486001" w:rsidRDefault="00486001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80AEC1" w14:textId="3E00736D" w:rsidR="002758BE" w:rsidRDefault="002758BE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438"/>
      </w:tblGrid>
      <w:tr w:rsidR="00FD4722" w:rsidRPr="00FD4722" w14:paraId="3DFEDDD7" w14:textId="77777777" w:rsidTr="00430704">
        <w:trPr>
          <w:trHeight w:val="284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B9132" w14:textId="4CDCC5BD" w:rsidR="00FD4722" w:rsidRPr="00FD4722" w:rsidRDefault="00FD4722" w:rsidP="00FD4722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E1BB4" w14:textId="77777777" w:rsidR="00FD4722" w:rsidRPr="00FD4722" w:rsidRDefault="00FD4722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9C200" w14:textId="77777777" w:rsidR="00FD4722" w:rsidRPr="00FD4722" w:rsidRDefault="00FD4722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44C45" w14:textId="77777777" w:rsidR="00FD4722" w:rsidRPr="00FD4722" w:rsidRDefault="00FD4722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736686" w:rsidRPr="00486001" w14:paraId="60F047B1" w14:textId="77777777" w:rsidTr="00430704">
        <w:trPr>
          <w:trHeight w:val="510"/>
          <w:jc w:val="center"/>
        </w:trPr>
        <w:tc>
          <w:tcPr>
            <w:tcW w:w="2382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16F5BFE" w14:textId="2F5678C6" w:rsidR="00736686" w:rsidRPr="00FD4722" w:rsidRDefault="00736686" w:rsidP="00736686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bookmarkStart w:id="0" w:name="_Hlk135216527"/>
            <w:r w:rsidRPr="00736686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Οικονομική Δραστηριότητα (NACE Rev.2)</w:t>
            </w:r>
          </w:p>
        </w:tc>
        <w:tc>
          <w:tcPr>
            <w:tcW w:w="7200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4E56F6C" w14:textId="528B9F36" w:rsidR="00736686" w:rsidRPr="00FD4722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36686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ΑΕΠ σε Μετρήσεις Όγκου Διορθωμένο ως προς τις Εποχικές Διακυμάνσεις και τις Εργάσιμες Μέρες</w:t>
            </w:r>
          </w:p>
        </w:tc>
      </w:tr>
      <w:tr w:rsidR="00736686" w:rsidRPr="00FD4722" w14:paraId="59C310CB" w14:textId="77777777" w:rsidTr="00430704">
        <w:trPr>
          <w:trHeight w:val="340"/>
          <w:jc w:val="center"/>
        </w:trPr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14:paraId="090879F0" w14:textId="77777777" w:rsidR="00736686" w:rsidRPr="00FD4722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53A9C4B" w14:textId="548E7D6A" w:rsidR="00736686" w:rsidRPr="00FD4722" w:rsidRDefault="00736686" w:rsidP="00653C89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4819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831CE45" w14:textId="5AFA2DDC" w:rsidR="00736686" w:rsidRPr="00FD4722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Μεταβολή (%)</w:t>
            </w:r>
          </w:p>
        </w:tc>
      </w:tr>
      <w:tr w:rsidR="00736686" w:rsidRPr="00FD4722" w14:paraId="6DBFE2B5" w14:textId="77777777" w:rsidTr="00430704">
        <w:trPr>
          <w:trHeight w:val="510"/>
          <w:jc w:val="center"/>
        </w:trPr>
        <w:tc>
          <w:tcPr>
            <w:tcW w:w="23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663970" w14:textId="77777777" w:rsidR="00736686" w:rsidRPr="00FD4722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134AD59" w14:textId="541810DE" w:rsidR="00C0058A" w:rsidRDefault="00C0058A" w:rsidP="00736686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385ED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  <w:r w:rsidR="00736686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52B6494A" w14:textId="7AA403DA" w:rsidR="00736686" w:rsidRPr="00FD4722" w:rsidRDefault="00736686" w:rsidP="00736686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2023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446C944" w14:textId="108FC5FD" w:rsidR="00C0058A" w:rsidRDefault="00C0058A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385ED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  <w:r w:rsidR="00736686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3626804A" w14:textId="593D0071" w:rsidR="00736686" w:rsidRPr="00FD4722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2023/22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7E1459A4" w14:textId="18652228" w:rsidR="00736686" w:rsidRPr="00385ED5" w:rsidRDefault="00385ED5" w:rsidP="00385ED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Τ2 2023/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Τ1 2023</w:t>
            </w:r>
          </w:p>
        </w:tc>
      </w:tr>
      <w:tr w:rsidR="00385ED5" w:rsidRPr="00FD4722" w14:paraId="503DA313" w14:textId="77777777" w:rsidTr="00430704">
        <w:trPr>
          <w:trHeight w:val="510"/>
          <w:jc w:val="center"/>
        </w:trPr>
        <w:tc>
          <w:tcPr>
            <w:tcW w:w="2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4F68C221" w14:textId="77777777" w:rsidR="00385ED5" w:rsidRPr="00FD4722" w:rsidRDefault="00385ED5" w:rsidP="00385ED5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Ακαθάριστο Εγχώριο Προϊόν (ΑΕΠ)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C75B9B6" w14:textId="14C13025" w:rsidR="00385ED5" w:rsidRPr="00FD4722" w:rsidRDefault="00385ED5" w:rsidP="00385ED5">
            <w:pPr>
              <w:ind w:right="624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6.156,8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6C0E868" w14:textId="51FB285E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2,3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41A0C8A1" w14:textId="163B7611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-0,4</w:t>
            </w:r>
          </w:p>
        </w:tc>
      </w:tr>
      <w:tr w:rsidR="00385ED5" w:rsidRPr="00FD4722" w14:paraId="09DC7839" w14:textId="77777777" w:rsidTr="00430704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A39A8" w14:textId="4B7FAD1F" w:rsidR="00385ED5" w:rsidRPr="00FD4722" w:rsidRDefault="00385ED5" w:rsidP="00385ED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5E985CF" w14:textId="63BE4C8C" w:rsidR="00385ED5" w:rsidRPr="00FD4722" w:rsidRDefault="00385ED5" w:rsidP="00385ED5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94,2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ABF240E" w14:textId="1B0D7C5B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D5FF" w14:textId="141FF8DC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0,4</w:t>
            </w:r>
          </w:p>
        </w:tc>
      </w:tr>
      <w:tr w:rsidR="00385ED5" w:rsidRPr="00FD4722" w14:paraId="2C9B2CD5" w14:textId="77777777" w:rsidTr="00430704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CED91" w14:textId="0693D0B3" w:rsidR="00385ED5" w:rsidRPr="00FD4722" w:rsidRDefault="00385ED5" w:rsidP="00385ED5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B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16C79ED" w14:textId="020A0B31" w:rsidR="00385ED5" w:rsidRPr="00FD4722" w:rsidRDefault="00385ED5" w:rsidP="00385ED5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415,8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98E3EB6" w14:textId="321BA828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875C7" w14:textId="57FBEB99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0,9</w:t>
            </w:r>
          </w:p>
        </w:tc>
      </w:tr>
      <w:tr w:rsidR="00385ED5" w:rsidRPr="00FD4722" w14:paraId="39FD0FF3" w14:textId="77777777" w:rsidTr="00430704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3C38A" w14:textId="3C9C6484" w:rsidR="00385ED5" w:rsidRPr="00FD4722" w:rsidRDefault="00385ED5" w:rsidP="00385ED5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E4C6C74" w14:textId="212BD830" w:rsidR="00385ED5" w:rsidRPr="00FD4722" w:rsidRDefault="00385ED5" w:rsidP="00385ED5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331,5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4E977FB" w14:textId="2C051983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CA9DB" w14:textId="4176AB15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0,9</w:t>
            </w:r>
          </w:p>
        </w:tc>
      </w:tr>
      <w:tr w:rsidR="00385ED5" w:rsidRPr="00FD4722" w14:paraId="54F99004" w14:textId="77777777" w:rsidTr="00430704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65B10" w14:textId="3001F432" w:rsidR="00385ED5" w:rsidRPr="00FD4722" w:rsidRDefault="00385ED5" w:rsidP="00385ED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526F583" w14:textId="7B8D1BFB" w:rsidR="00385ED5" w:rsidRPr="00FD4722" w:rsidRDefault="00385ED5" w:rsidP="00385ED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371,3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1195FD7" w14:textId="681F68A9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E9A7D" w14:textId="2C1B5009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0,6</w:t>
            </w:r>
          </w:p>
        </w:tc>
      </w:tr>
      <w:tr w:rsidR="00385ED5" w:rsidRPr="00FD4722" w14:paraId="1D49DF50" w14:textId="77777777" w:rsidTr="00430704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D150" w14:textId="5EC92F8C" w:rsidR="00385ED5" w:rsidRPr="00FD4722" w:rsidRDefault="00385ED5" w:rsidP="00385ED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G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35A69C5" w14:textId="52D3ABBB" w:rsidR="00385ED5" w:rsidRPr="00FD4722" w:rsidRDefault="00385ED5" w:rsidP="00385ED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1.215,7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78D4FF6" w14:textId="05B501B4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5AEC" w14:textId="3625D067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1,6</w:t>
            </w:r>
          </w:p>
        </w:tc>
      </w:tr>
      <w:tr w:rsidR="00385ED5" w:rsidRPr="00FD4722" w14:paraId="54903CCE" w14:textId="77777777" w:rsidTr="00430704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9DDBA" w14:textId="2A828957" w:rsidR="00385ED5" w:rsidRPr="00FD4722" w:rsidRDefault="00385ED5" w:rsidP="00385ED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58B7DC9" w14:textId="6B968EB9" w:rsidR="00385ED5" w:rsidRPr="00FD4722" w:rsidRDefault="00385ED5" w:rsidP="00385ED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578,0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3D8218D" w14:textId="4290CBE3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BF058" w14:textId="0C4E85C8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1,1</w:t>
            </w:r>
          </w:p>
        </w:tc>
      </w:tr>
      <w:tr w:rsidR="00385ED5" w:rsidRPr="00FD4722" w14:paraId="32800875" w14:textId="77777777" w:rsidTr="00430704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97B25" w14:textId="29AC75BE" w:rsidR="00385ED5" w:rsidRPr="00FD4722" w:rsidRDefault="00385ED5" w:rsidP="00385ED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K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1DDB119" w14:textId="11F6F41C" w:rsidR="00385ED5" w:rsidRPr="00FD4722" w:rsidRDefault="00385ED5" w:rsidP="00385ED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449,8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DC883C0" w14:textId="2D3C6427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-0,9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4DE5" w14:textId="6B68C494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-3,0</w:t>
            </w:r>
          </w:p>
        </w:tc>
      </w:tr>
      <w:tr w:rsidR="00385ED5" w:rsidRPr="00FD4722" w14:paraId="6314CE01" w14:textId="77777777" w:rsidTr="00430704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C710" w14:textId="2458A5D3" w:rsidR="00385ED5" w:rsidRPr="00FD4722" w:rsidRDefault="00385ED5" w:rsidP="00385ED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CD2C059" w14:textId="69A42A3E" w:rsidR="00385ED5" w:rsidRPr="00FD4722" w:rsidRDefault="00385ED5" w:rsidP="00385ED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494,1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C7A417D" w14:textId="1A0D5F43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F3519" w14:textId="0B8ED084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0,2</w:t>
            </w:r>
          </w:p>
        </w:tc>
      </w:tr>
      <w:tr w:rsidR="00385ED5" w:rsidRPr="00FD4722" w14:paraId="0410C26B" w14:textId="77777777" w:rsidTr="00430704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9F44" w14:textId="7D087BD1" w:rsidR="00385ED5" w:rsidRPr="00FD4722" w:rsidRDefault="00385ED5" w:rsidP="00385ED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M &amp; 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B1B18D9" w14:textId="3C1BEDA1" w:rsidR="00385ED5" w:rsidRPr="00FD4722" w:rsidRDefault="00385ED5" w:rsidP="00385ED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569,7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6FE1CE2" w14:textId="7E1087C5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-4,3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6D39A" w14:textId="3324BA14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-4,9</w:t>
            </w:r>
          </w:p>
        </w:tc>
      </w:tr>
      <w:tr w:rsidR="00385ED5" w:rsidRPr="00FD4722" w14:paraId="3B74FEA5" w14:textId="77777777" w:rsidTr="00430704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BA591" w14:textId="28916D4B" w:rsidR="00385ED5" w:rsidRPr="00FD4722" w:rsidRDefault="00385ED5" w:rsidP="00385ED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O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Q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48C8C31" w14:textId="19535AA1" w:rsidR="00385ED5" w:rsidRPr="00FD4722" w:rsidRDefault="00385ED5" w:rsidP="00385ED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1.060,3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D0F205F" w14:textId="51FD8156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E362" w14:textId="10372158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0,4</w:t>
            </w:r>
          </w:p>
        </w:tc>
      </w:tr>
      <w:tr w:rsidR="00385ED5" w:rsidRPr="00FD4722" w14:paraId="7EA4E010" w14:textId="77777777" w:rsidTr="00430704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7A7D" w14:textId="45FAD488" w:rsidR="00385ED5" w:rsidRPr="00FD4722" w:rsidRDefault="00385ED5" w:rsidP="00385ED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R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U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0D089C7" w14:textId="00410C7C" w:rsidR="00385ED5" w:rsidRPr="00FD4722" w:rsidRDefault="00385ED5" w:rsidP="00385ED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200,3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FCCCD95" w14:textId="57AF74AA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7AC96" w14:textId="1751C88A" w:rsidR="00385ED5" w:rsidRPr="00FD4722" w:rsidRDefault="00385ED5" w:rsidP="00385ED5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0,2</w:t>
            </w:r>
          </w:p>
        </w:tc>
      </w:tr>
      <w:tr w:rsidR="00653C89" w:rsidRPr="00FD4722" w14:paraId="18C51B47" w14:textId="77777777" w:rsidTr="00430704">
        <w:trPr>
          <w:trHeight w:val="170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B2D8CC2" w14:textId="77777777" w:rsidR="00653C89" w:rsidRPr="00FD4722" w:rsidRDefault="00653C89" w:rsidP="00653C89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2D71FD7D" w14:textId="77777777" w:rsidR="00653C89" w:rsidRPr="00FD4722" w:rsidRDefault="00653C89" w:rsidP="00736686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3AFF7C93" w14:textId="77777777" w:rsidR="00653C89" w:rsidRPr="00FD4722" w:rsidRDefault="00653C89" w:rsidP="00736686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65AE9B7" w14:textId="77777777" w:rsidR="00653C89" w:rsidRPr="00FD4722" w:rsidRDefault="00653C89" w:rsidP="00736686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bookmarkEnd w:id="0"/>
    <w:p w14:paraId="66F6E282" w14:textId="6B6D3641" w:rsidR="00CA0FD5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Οικονομικές δραστηριότητες:</w:t>
      </w:r>
    </w:p>
    <w:p w14:paraId="3FC06B27" w14:textId="77777777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Α: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Γεωργία, Δασοκομία Και Αλιεία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12910C43" w14:textId="4E053256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B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E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Ορυχεία και Λατομεία; Μεταποίηση; Παροχή Ηλεκτρικού Ρεύματος, Φυσικού Αερίου, Ατμού και Κλιματισμού; Παροχή Νερού, Επεξεργασία Λυμάτων, Διαχείριση Αποβλήτων και Δραστηριότητες Εξυγίανσης</w:t>
      </w:r>
    </w:p>
    <w:p w14:paraId="61901E4F" w14:textId="730463C7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C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Μεταποίηση</w:t>
      </w:r>
    </w:p>
    <w:p w14:paraId="70E7B0D6" w14:textId="284EADFF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F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Κατασκευές</w:t>
      </w:r>
    </w:p>
    <w:p w14:paraId="550557D0" w14:textId="1FB64334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G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I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Χονδρικό και Λιανικό Εμπόριο˙ Επισκευή Μηχανοκίνητων Οχημάτων και Μοτοσικλετών; Μεταφορά και Αποθήκευση; Δραστηριότητες Υπηρεσιών Παροχής Καταλύματος και Υπηρεσιών Εστίασης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2B4ED0ED" w14:textId="39A425B4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J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Ενημέρωση και Επικοινωνία</w:t>
      </w:r>
    </w:p>
    <w:p w14:paraId="3BE2E720" w14:textId="0AC97CE9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K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 xml:space="preserve">Χρηματοπιστωτικές και Ασφαλιστικές Δραστηριότητες </w:t>
      </w:r>
    </w:p>
    <w:p w14:paraId="06056FC6" w14:textId="77ADE097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L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Διαχείριση Ακίνητης Περιουσίας</w:t>
      </w:r>
    </w:p>
    <w:p w14:paraId="33D9E794" w14:textId="77777777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M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&amp;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N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Επαγγελματικές, Επιστημονικές Και Τεχνικές Δραστηριότητες; Διοικητικές και Υποστηρικτικές Δραστηριότητες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171E109D" w14:textId="117FC9DF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O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Q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Δημόσια Διοίκηση και Άμυνα· Υποχρεωτική Κοινωνική Ασφάλιση; Εκπαίδευση Δραστηριότητες Σχετικές με την Ανθρώπινη Υγεία και την Κοινωνική Μέριμνα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14165B9F" w14:textId="3BA206FA" w:rsidR="001B5AE2" w:rsidRPr="00FD4722" w:rsidRDefault="001B5AE2" w:rsidP="00FD4722">
      <w:pPr>
        <w:jc w:val="both"/>
        <w:rPr>
          <w:rFonts w:ascii="Verdana" w:hAnsi="Verdana" w:cs="Arial"/>
          <w:iCs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R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U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Τέχνες, Διασκέδαση και Ψυχαγωγία, Επιδιόρθωση Αγαθών Νοικοκυριών και Άλλες Δραστηριότητες</w:t>
      </w:r>
    </w:p>
    <w:p w14:paraId="0EAD45BE" w14:textId="77777777" w:rsidR="002758BE" w:rsidRDefault="002758BE" w:rsidP="00FD4722">
      <w:pPr>
        <w:jc w:val="both"/>
        <w:rPr>
          <w:rFonts w:ascii="Verdana" w:hAnsi="Verdana" w:cs="Arial"/>
          <w:iCs/>
          <w:sz w:val="18"/>
          <w:szCs w:val="18"/>
          <w:lang w:val="el-GR"/>
        </w:rPr>
      </w:pPr>
    </w:p>
    <w:p w14:paraId="57FC06D7" w14:textId="77777777" w:rsidR="00666D80" w:rsidRPr="00FD4722" w:rsidRDefault="00666D80" w:rsidP="00FD4722">
      <w:pPr>
        <w:jc w:val="both"/>
        <w:rPr>
          <w:rFonts w:ascii="Verdana" w:hAnsi="Verdana" w:cs="Arial"/>
          <w:iCs/>
          <w:sz w:val="18"/>
          <w:szCs w:val="18"/>
          <w:lang w:val="el-GR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413"/>
        <w:gridCol w:w="1742"/>
        <w:gridCol w:w="1684"/>
        <w:gridCol w:w="1800"/>
      </w:tblGrid>
      <w:tr w:rsidR="00591E14" w:rsidRPr="00FD4722" w14:paraId="6EB54E80" w14:textId="77777777" w:rsidTr="000419EF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B8278" w14:textId="503ABB17" w:rsidR="00591E14" w:rsidRPr="00FD4722" w:rsidRDefault="000971D3" w:rsidP="00E51854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bookmarkStart w:id="1" w:name="_Hlk135921969"/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02C6" w14:textId="77777777" w:rsidR="00591E14" w:rsidRPr="00FD4722" w:rsidRDefault="00591E14" w:rsidP="00E51854">
            <w:pPr>
              <w:ind w:right="-110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C1CDA" w14:textId="77777777" w:rsidR="00591E14" w:rsidRPr="00FD4722" w:rsidRDefault="00591E14" w:rsidP="00E51854">
            <w:pPr>
              <w:ind w:right="-111"/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BB682" w14:textId="77777777" w:rsidR="00591E14" w:rsidRPr="00FD4722" w:rsidRDefault="00591E14" w:rsidP="00E51854">
            <w:pPr>
              <w:ind w:right="-273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0419EF" w:rsidRPr="00486001" w14:paraId="149BB167" w14:textId="77777777" w:rsidTr="0077130E">
        <w:trPr>
          <w:trHeight w:val="510"/>
          <w:jc w:val="center"/>
        </w:trPr>
        <w:tc>
          <w:tcPr>
            <w:tcW w:w="4413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68BCFA33" w14:textId="1F245511" w:rsidR="000419EF" w:rsidRPr="00FD4722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Είδος Δαπάνης</w:t>
            </w:r>
          </w:p>
        </w:tc>
        <w:tc>
          <w:tcPr>
            <w:tcW w:w="5226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2F3F8C6" w14:textId="1FB53FEC" w:rsidR="000419EF" w:rsidRPr="00FD4722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ΑΕΠ σε Μετρήσεις Όγκου Διορθωμένο ως προς τις Εποχικές Διακυμάνσεις και τις Εργάσιμες Μέρες</w:t>
            </w:r>
          </w:p>
        </w:tc>
      </w:tr>
      <w:tr w:rsidR="000419EF" w:rsidRPr="00FD4722" w14:paraId="3AC34909" w14:textId="77777777" w:rsidTr="000419EF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right w:val="nil"/>
            </w:tcBorders>
            <w:vAlign w:val="center"/>
          </w:tcPr>
          <w:p w14:paraId="6D013D5F" w14:textId="77777777" w:rsidR="000419EF" w:rsidRPr="00FD4722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39C5F6B" w14:textId="41062926" w:rsidR="000419EF" w:rsidRPr="00FD4722" w:rsidRDefault="000419EF" w:rsidP="000419EF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3484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A29A59D" w14:textId="39C2BBE9" w:rsidR="000419EF" w:rsidRPr="00FD4722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Μεταβολή (%)</w:t>
            </w:r>
          </w:p>
        </w:tc>
      </w:tr>
      <w:tr w:rsidR="000419EF" w:rsidRPr="00FD4722" w14:paraId="3A3114C2" w14:textId="77777777" w:rsidTr="000419EF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8D2206" w14:textId="77777777" w:rsidR="000419EF" w:rsidRPr="00FD4722" w:rsidRDefault="000419EF" w:rsidP="000971D3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5D83699" w14:textId="5985AC5F" w:rsidR="000419EF" w:rsidRPr="00FD4722" w:rsidRDefault="00C0058A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Τ1</w:t>
            </w:r>
          </w:p>
          <w:p w14:paraId="2E5F3153" w14:textId="7A994AD1" w:rsidR="000419EF" w:rsidRPr="00FD4722" w:rsidRDefault="000419EF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2023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A31A852" w14:textId="77777777" w:rsidR="00C0058A" w:rsidRDefault="00C0058A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Τ1</w:t>
            </w:r>
            <w:r w:rsidR="000419EF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4F3FB45" w14:textId="0AC95E41" w:rsidR="000419EF" w:rsidRPr="00FD4722" w:rsidRDefault="000419EF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2023/22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4546E67" w14:textId="77777777" w:rsidR="00C0058A" w:rsidRDefault="00C0058A" w:rsidP="00C0058A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Τ1</w:t>
            </w:r>
            <w:r w:rsidR="000419EF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2023/    </w:t>
            </w:r>
          </w:p>
          <w:p w14:paraId="6EFB4FCB" w14:textId="1B84E511" w:rsidR="000419EF" w:rsidRPr="00FD4722" w:rsidRDefault="00C0058A" w:rsidP="00C0058A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Τ4</w:t>
            </w:r>
            <w:r w:rsidR="000419EF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2022</w:t>
            </w:r>
          </w:p>
        </w:tc>
      </w:tr>
      <w:tr w:rsidR="00385ED5" w:rsidRPr="00FD4722" w14:paraId="5CD1E8C1" w14:textId="77777777" w:rsidTr="0077130E">
        <w:trPr>
          <w:trHeight w:val="454"/>
          <w:jc w:val="center"/>
        </w:trPr>
        <w:tc>
          <w:tcPr>
            <w:tcW w:w="441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62312293" w14:textId="6B5463AF" w:rsidR="00385ED5" w:rsidRPr="00FD4722" w:rsidRDefault="00385ED5" w:rsidP="00385ED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Ακαθάριστο Εγχώριο Προϊόν (ΑΕΠ)</w:t>
            </w: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51CB9EC" w14:textId="62F58291" w:rsidR="00385ED5" w:rsidRPr="00FD4722" w:rsidRDefault="00385ED5" w:rsidP="00385ED5">
            <w:pPr>
              <w:ind w:right="340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</w:t>
            </w:r>
            <w:r w:rsidR="0048600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156,8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34C3111" w14:textId="46754BBB" w:rsidR="00385ED5" w:rsidRPr="00FD4722" w:rsidRDefault="00385ED5" w:rsidP="00385ED5">
            <w:pPr>
              <w:ind w:right="56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2,3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D0325E7" w14:textId="6891AF3D" w:rsidR="00385ED5" w:rsidRPr="00FD4722" w:rsidRDefault="00385ED5" w:rsidP="00385ED5">
            <w:pPr>
              <w:ind w:right="624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-0,4</w:t>
            </w:r>
          </w:p>
        </w:tc>
      </w:tr>
      <w:tr w:rsidR="00385ED5" w:rsidRPr="00FD4722" w14:paraId="379CFAB1" w14:textId="77777777" w:rsidTr="000419EF">
        <w:trPr>
          <w:trHeight w:val="34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B2C25" w14:textId="7F03D8C1" w:rsidR="00385ED5" w:rsidRPr="00FD4722" w:rsidRDefault="00385ED5" w:rsidP="00385ED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Συνολική Δαπάνη Τελικής Κατανάλωσης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4045778" w14:textId="7F9ED0C2" w:rsidR="00385ED5" w:rsidRPr="00220DC4" w:rsidRDefault="00385ED5" w:rsidP="00385ED5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</w:t>
            </w:r>
            <w:r w:rsidR="0048600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024,6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6C1527F" w14:textId="168D54CF" w:rsidR="00385ED5" w:rsidRPr="00220DC4" w:rsidRDefault="00385ED5" w:rsidP="00385ED5">
            <w:pPr>
              <w:ind w:right="56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4,4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6B365" w14:textId="2F286C76" w:rsidR="00385ED5" w:rsidRPr="00220DC4" w:rsidRDefault="00385ED5" w:rsidP="00385ED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2,7</w:t>
            </w:r>
          </w:p>
        </w:tc>
      </w:tr>
      <w:tr w:rsidR="00385ED5" w:rsidRPr="00FD4722" w14:paraId="50AEBAA3" w14:textId="77777777" w:rsidTr="000419EF">
        <w:trPr>
          <w:trHeight w:val="462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5B8ED" w14:textId="2039DA27" w:rsidR="00385ED5" w:rsidRPr="00FD4722" w:rsidRDefault="00385ED5" w:rsidP="00385ED5">
            <w:pPr>
              <w:ind w:left="321"/>
              <w:rPr>
                <w:rFonts w:ascii="Verdana" w:hAnsi="Verdana" w:cs="Arial"/>
                <w:i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i/>
                <w:color w:val="2F5496"/>
                <w:sz w:val="18"/>
                <w:szCs w:val="18"/>
                <w:lang w:val="el-GR"/>
              </w:rPr>
              <w:t>Εκ της οποίας:</w:t>
            </w:r>
          </w:p>
          <w:p w14:paraId="1C4A1957" w14:textId="23387CAE" w:rsidR="00385ED5" w:rsidRPr="00FD4722" w:rsidRDefault="00385ED5" w:rsidP="00385ED5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Νοικοκυριών και ΜΚΙΕΝ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AEB9554" w14:textId="0ABBABC0" w:rsidR="00385ED5" w:rsidRPr="00FD4722" w:rsidRDefault="00385ED5" w:rsidP="00385ED5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</w:t>
            </w:r>
            <w:r w:rsidR="00486001">
              <w:rPr>
                <w:rFonts w:ascii="Verdana" w:hAnsi="Verdana" w:cs="Arial"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>818,6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79D42F4" w14:textId="011A4193" w:rsidR="00385ED5" w:rsidRPr="00FD4722" w:rsidRDefault="00385ED5" w:rsidP="00385ED5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4E4D" w14:textId="59DA68C0" w:rsidR="00385ED5" w:rsidRPr="00FD4722" w:rsidRDefault="00385ED5" w:rsidP="00385ED5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3,0</w:t>
            </w:r>
          </w:p>
        </w:tc>
      </w:tr>
      <w:tr w:rsidR="00385ED5" w:rsidRPr="00FD4722" w14:paraId="31D5DD68" w14:textId="77777777" w:rsidTr="000419EF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D0CF" w14:textId="6D73C9AE" w:rsidR="00385ED5" w:rsidRPr="00FD4722" w:rsidRDefault="00385ED5" w:rsidP="00385ED5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Γενικής κυβέρνησης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578CEE4" w14:textId="5CB88F3C" w:rsidR="00385ED5" w:rsidRPr="00FD4722" w:rsidRDefault="00385ED5" w:rsidP="00385ED5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</w:t>
            </w:r>
            <w:r w:rsidR="00486001">
              <w:rPr>
                <w:rFonts w:ascii="Verdana" w:hAnsi="Verdana" w:cs="Arial"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>205,8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7579AB1" w14:textId="596B0A9E" w:rsidR="00385ED5" w:rsidRPr="00FD4722" w:rsidRDefault="00385ED5" w:rsidP="00385ED5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2F00" w14:textId="1738FF29" w:rsidR="00385ED5" w:rsidRPr="00FD4722" w:rsidRDefault="00385ED5" w:rsidP="00385ED5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1,5</w:t>
            </w:r>
          </w:p>
        </w:tc>
      </w:tr>
      <w:tr w:rsidR="00385ED5" w:rsidRPr="00220DC4" w14:paraId="24485234" w14:textId="77777777" w:rsidTr="00666D80">
        <w:trPr>
          <w:trHeight w:val="56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A12E" w14:textId="4D43E646" w:rsidR="00385ED5" w:rsidRPr="00FD4722" w:rsidRDefault="00385ED5" w:rsidP="00385ED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20DC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Ακαθάριστος Σχηματισμός Πάγιου Κεφαλαίου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(ΑΣΠΚ)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A5A376E" w14:textId="2F5BCA43" w:rsidR="00385ED5" w:rsidRPr="00220DC4" w:rsidRDefault="00385ED5" w:rsidP="00385ED5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</w:t>
            </w:r>
            <w:r w:rsidR="0048600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094,8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20D4901" w14:textId="2503E7EC" w:rsidR="00385ED5" w:rsidRPr="00220DC4" w:rsidRDefault="00385ED5" w:rsidP="00385ED5">
            <w:pPr>
              <w:ind w:right="56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-26,6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A798" w14:textId="6B1F1918" w:rsidR="00385ED5" w:rsidRPr="00220DC4" w:rsidRDefault="00385ED5" w:rsidP="00385ED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-41,2</w:t>
            </w:r>
          </w:p>
        </w:tc>
      </w:tr>
      <w:tr w:rsidR="00385ED5" w:rsidRPr="00FD4722" w14:paraId="6F16A540" w14:textId="77777777" w:rsidTr="00666D80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BA06A" w14:textId="78EFA1DE" w:rsidR="00385ED5" w:rsidRPr="00220DC4" w:rsidRDefault="00385ED5" w:rsidP="00385ED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20DC4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ΑΣΠΚ ε</w:t>
            </w:r>
            <w:r w:rsidRPr="00220DC4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ξαιρουμένων πλοίων και αεροσκαφών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22F4A1C" w14:textId="6F6B4188" w:rsidR="00385ED5" w:rsidRPr="00220DC4" w:rsidRDefault="00385ED5" w:rsidP="00385ED5">
            <w:pPr>
              <w:ind w:right="34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</w:t>
            </w:r>
            <w:r w:rsidR="00486001">
              <w:rPr>
                <w:rFonts w:ascii="Verdana" w:hAnsi="Verdana" w:cs="Arial"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>144,8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774AF36" w14:textId="1FA07E7E" w:rsidR="00385ED5" w:rsidRPr="00220DC4" w:rsidRDefault="00385ED5" w:rsidP="00385ED5">
            <w:pPr>
              <w:ind w:right="56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89A1" w14:textId="7E87A070" w:rsidR="00385ED5" w:rsidRPr="00220DC4" w:rsidRDefault="00385ED5" w:rsidP="00385ED5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-3,7</w:t>
            </w:r>
          </w:p>
        </w:tc>
      </w:tr>
      <w:tr w:rsidR="00385ED5" w:rsidRPr="00FD4722" w14:paraId="3D99361A" w14:textId="77777777" w:rsidTr="0077130E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6720" w14:textId="39B86010" w:rsidR="00385ED5" w:rsidRPr="00FD4722" w:rsidRDefault="00385ED5" w:rsidP="00385ED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Εισαγωγές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γαθών και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Υ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πηρεσιών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9C790A7" w14:textId="00BDEC68" w:rsidR="00385ED5" w:rsidRPr="00220DC4" w:rsidRDefault="00385ED5" w:rsidP="00385ED5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</w:t>
            </w:r>
            <w:r w:rsidR="0048600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771,4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D3C1934" w14:textId="14B14837" w:rsidR="00385ED5" w:rsidRPr="00220DC4" w:rsidRDefault="00385ED5" w:rsidP="00385ED5">
            <w:pPr>
              <w:ind w:right="56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-3,0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C6C4" w14:textId="67214BF1" w:rsidR="00385ED5" w:rsidRPr="00220DC4" w:rsidRDefault="00385ED5" w:rsidP="00385ED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-12,1</w:t>
            </w:r>
          </w:p>
        </w:tc>
      </w:tr>
      <w:tr w:rsidR="00385ED5" w:rsidRPr="00FD4722" w14:paraId="625B8BDA" w14:textId="77777777" w:rsidTr="0077130E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D68AD" w14:textId="310A5E53" w:rsidR="00385ED5" w:rsidRPr="00FD4722" w:rsidRDefault="00385ED5" w:rsidP="00385ED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Εξαγωγές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γαθών και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Υ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πηρεσιών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9A78F91" w14:textId="1122F7C6" w:rsidR="00385ED5" w:rsidRPr="00220DC4" w:rsidRDefault="00385ED5" w:rsidP="00385ED5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</w:t>
            </w:r>
            <w:r w:rsidR="00486001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419,6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995B663" w14:textId="30B04B30" w:rsidR="00385ED5" w:rsidRPr="00220DC4" w:rsidRDefault="00385ED5" w:rsidP="00385ED5">
            <w:pPr>
              <w:ind w:right="56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-2,7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2A75D" w14:textId="3DD784FD" w:rsidR="00385ED5" w:rsidRPr="00220DC4" w:rsidRDefault="00385ED5" w:rsidP="00385ED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0,7</w:t>
            </w:r>
          </w:p>
        </w:tc>
      </w:tr>
      <w:tr w:rsidR="00A62F95" w:rsidRPr="00FD4722" w14:paraId="0450426E" w14:textId="77777777" w:rsidTr="000419EF">
        <w:trPr>
          <w:trHeight w:val="228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5EA57F47" w14:textId="77777777" w:rsidR="00A62F95" w:rsidRPr="00FD4722" w:rsidRDefault="00A62F95" w:rsidP="00E51854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3147FD7F" w14:textId="77777777" w:rsidR="00A62F95" w:rsidRPr="00FD4722" w:rsidRDefault="00A62F95" w:rsidP="000419EF">
            <w:pPr>
              <w:ind w:right="34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48D26924" w14:textId="77777777" w:rsidR="00A62F95" w:rsidRPr="00FD4722" w:rsidRDefault="00A62F95" w:rsidP="000419EF">
            <w:pPr>
              <w:ind w:right="56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4B187513" w14:textId="77777777" w:rsidR="00A62F95" w:rsidRPr="00FD4722" w:rsidRDefault="00A62F95" w:rsidP="000419EF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bookmarkEnd w:id="1"/>
    <w:p w14:paraId="2186290B" w14:textId="77777777" w:rsidR="00B90040" w:rsidRPr="00FD4722" w:rsidRDefault="00E51854">
      <w:pPr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ΜΚΙΕΝ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>: Μη Κερδοσκοπικά Ιδρύματα που Εξυπηρετούν Νοικοκυριά</w:t>
      </w:r>
    </w:p>
    <w:p w14:paraId="1915BBE1" w14:textId="77777777" w:rsidR="00B90040" w:rsidRPr="00FD4722" w:rsidRDefault="00B90040" w:rsidP="00B90040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AB09FF9" w14:textId="24D54147" w:rsidR="00761E3A" w:rsidRPr="002758BE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2758BE"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44F47C1A" w14:textId="7249D3E6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E396342" w14:textId="77777777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Σκοπός</w:t>
      </w:r>
    </w:p>
    <w:p w14:paraId="5AA1BD82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EFF899" w14:textId="40D56BFD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Ο σκοπός της εκτίμησης του ΑΕΠ </w:t>
      </w:r>
      <w:r w:rsidR="004C59F4">
        <w:rPr>
          <w:rFonts w:ascii="Verdana" w:hAnsi="Verdana" w:cs="Arial"/>
          <w:sz w:val="18"/>
          <w:szCs w:val="18"/>
          <w:lang w:val="el-GR"/>
        </w:rPr>
        <w:t xml:space="preserve">δύο μήνες μετά το τέλος του τριμήνου αναφοράς </w:t>
      </w:r>
      <w:r w:rsidRPr="008A036B">
        <w:rPr>
          <w:rFonts w:ascii="Verdana" w:hAnsi="Verdana" w:cs="Arial"/>
          <w:sz w:val="18"/>
          <w:szCs w:val="18"/>
          <w:lang w:val="el-GR"/>
        </w:rPr>
        <w:t>είναι να παρέχει</w:t>
      </w:r>
      <w:r w:rsidR="001A4000" w:rsidRPr="001A4000">
        <w:rPr>
          <w:rFonts w:ascii="Verdana" w:hAnsi="Verdana" w:cs="Arial"/>
          <w:sz w:val="18"/>
          <w:szCs w:val="18"/>
          <w:lang w:val="el-GR"/>
        </w:rPr>
        <w:t xml:space="preserve"> </w:t>
      </w:r>
      <w:r w:rsidR="001A4000">
        <w:rPr>
          <w:rFonts w:ascii="Verdana" w:hAnsi="Verdana" w:cs="Arial"/>
          <w:sz w:val="18"/>
          <w:szCs w:val="18"/>
          <w:lang w:val="el-GR"/>
        </w:rPr>
        <w:t>καλύτερη εκτίμηση του ρυθμού</w:t>
      </w:r>
      <w:r w:rsidR="003B0BAC" w:rsidRPr="003B0BAC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A036B">
        <w:rPr>
          <w:rFonts w:ascii="Verdana" w:hAnsi="Verdana" w:cs="Arial"/>
          <w:sz w:val="18"/>
          <w:szCs w:val="18"/>
          <w:lang w:val="el-GR"/>
        </w:rPr>
        <w:t>ανάπτυξης της κυπριακής οικονομίας</w:t>
      </w:r>
      <w:r w:rsidR="004910FC" w:rsidRPr="00CE2801">
        <w:rPr>
          <w:rFonts w:ascii="Verdana" w:hAnsi="Verdana" w:cs="Arial"/>
          <w:sz w:val="18"/>
          <w:szCs w:val="18"/>
          <w:lang w:val="el-GR"/>
        </w:rPr>
        <w:t>,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  <w:r w:rsidR="001A4000">
        <w:rPr>
          <w:rFonts w:ascii="Verdana" w:hAnsi="Verdana" w:cs="Arial"/>
          <w:sz w:val="18"/>
          <w:szCs w:val="18"/>
          <w:lang w:val="el-GR"/>
        </w:rPr>
        <w:t>παρέχοντας παράλληλα πληροφορίες για τις κύριες μεταβλητές της προσέγγισης παραγωγής και δαπάνης</w:t>
      </w:r>
      <w:r w:rsidR="004C59F4">
        <w:rPr>
          <w:rFonts w:ascii="Verdana" w:hAnsi="Verdana" w:cs="Arial"/>
          <w:sz w:val="18"/>
          <w:szCs w:val="18"/>
          <w:lang w:val="el-GR"/>
        </w:rPr>
        <w:t>.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5620CD4A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706334" w14:textId="7FA96C9A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Υπολογισμός και </w:t>
      </w:r>
      <w:r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Μ</w:t>
      </w: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εθοδολογία</w:t>
      </w:r>
    </w:p>
    <w:p w14:paraId="499A9B21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3E27A4" w14:textId="60092D24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Οι Τριμηνιαίοι Εθνικοί Λογαριασμοί παράγονται με τη χρήση έμμεσης προσέγγισης, η οποία βασίζεται σε βραχυπρόθεσμους δείκτες που παρέχουν πληροφορίες για την εξέλιξη των υπό μελέτη φαινομένων. Επιπλέον, η τεχνική προσέγγισης “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Chow-Lin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>” χρησιμοποιείται για τη χρονική διάσπαση των στοιχείων.</w:t>
      </w:r>
    </w:p>
    <w:p w14:paraId="2A839293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9ADCA2" w14:textId="5366E296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Το επίπεδο του ΑΕΠ στην Κύπρο καθορίζεται από τις προσεγγίσεις παραγωγής και δαπανών</w:t>
      </w:r>
      <w:r w:rsidR="00C742C8">
        <w:rPr>
          <w:rFonts w:ascii="Verdana" w:hAnsi="Verdana" w:cs="Arial"/>
          <w:sz w:val="18"/>
          <w:szCs w:val="18"/>
          <w:lang w:val="el-GR"/>
        </w:rPr>
        <w:t xml:space="preserve">, </w:t>
      </w:r>
      <w:r w:rsidRPr="008A036B">
        <w:rPr>
          <w:rFonts w:ascii="Verdana" w:hAnsi="Verdana" w:cs="Arial"/>
          <w:sz w:val="18"/>
          <w:szCs w:val="18"/>
          <w:lang w:val="el-GR"/>
        </w:rPr>
        <w:t>ενώ για την προσέγγιση εισοδήματος πραγματοποιείται έμμεσος υπολογισμός.</w:t>
      </w:r>
    </w:p>
    <w:p w14:paraId="140EF46B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C35DE0" w14:textId="5E01FEEA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Οι Τριμηνιαίοι Εθνικοί Λογαριασμοί παράγονται σε τρέχουσες τιμές, τιμές όγκου και τιμές προηγούμενου έτους, δημοσιεύονται και διαβιβάζονται στη 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Eurostat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  <w:r w:rsidR="000A351B">
        <w:rPr>
          <w:rFonts w:ascii="Verdana" w:hAnsi="Verdana" w:cs="Arial"/>
          <w:sz w:val="18"/>
          <w:szCs w:val="18"/>
          <w:lang w:val="el-GR"/>
        </w:rPr>
        <w:t>δυο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μήνες μετά το τέλος του τριμήνου αναφοράς (t+2)</w:t>
      </w:r>
      <w:r w:rsidR="000A351B">
        <w:rPr>
          <w:rFonts w:ascii="Verdana" w:hAnsi="Verdana" w:cs="Arial"/>
          <w:sz w:val="18"/>
          <w:szCs w:val="18"/>
          <w:lang w:val="el-GR"/>
        </w:rPr>
        <w:t xml:space="preserve">. 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Η προκαταρκτική εκτίμηση λαμβάνεται εκτελώντας την ίδια διαδικασία εκτίμησης με αυτή που εφαρμόζεται για τον υπολογισμό στους t+2 μήνες, ωστόσο, με λιγότερες διαθέσιμες πηγές πληροφόρησης. Υπολογίζεται σε όρους όγκου 45 ημέρες μετά το τέλος του τριμήνου αναφοράς, δημοσιεύεται και διαβιβάζεται επίσης στη 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Eurostat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>.</w:t>
      </w:r>
    </w:p>
    <w:p w14:paraId="0DF52C46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1B0415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Οι Τριμηνιαίοι Εθνικοί Λογαριασμοί καταρτίζονται σύμφωνα με το Ευρωπαϊκό Σύστημα Λογαριασμών (ΕΣΛ 2010) όπως ορίζεται στον κανονισμό (ΕΕ) αριθ. 549/2013 του Ευρωπαϊκού Κοινοβουλίου και του Συμβουλίου της 21ης Μαΐου 2013.</w:t>
      </w:r>
    </w:p>
    <w:p w14:paraId="31C84EA6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7E032E" w14:textId="456F244E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Πηγή </w:t>
      </w:r>
      <w:r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Σ</w:t>
      </w: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τοιχείων</w:t>
      </w:r>
    </w:p>
    <w:p w14:paraId="394CE37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BFFBEA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Για την παραγωγή εκτιμήσεων των Τριμηνιαίων Εθνικών Λογαριασμών, τα ακόλουθα δεδομένα εισάγονται στο σύστημα υπολογισμού:</w:t>
      </w:r>
    </w:p>
    <w:p w14:paraId="4130211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βραχυπρόθεσμοι οικονομικοί δείκτες κατά οικονομική δραστηριότητα,</w:t>
      </w:r>
    </w:p>
    <w:p w14:paraId="6E733EF5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διοικητικά δεδομένα,</w:t>
      </w:r>
    </w:p>
    <w:p w14:paraId="56432CA5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τριμηνιαία στοιχεία απασχόλησης,</w:t>
      </w:r>
    </w:p>
    <w:p w14:paraId="15531252" w14:textId="6A14A8A8" w:rsidR="00761E3A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δείκτες τιμών.</w:t>
      </w:r>
    </w:p>
    <w:p w14:paraId="2CE52337" w14:textId="6D84CD9E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FF6CD1" w14:textId="30FE4958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7B5FEA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73023DBA" w14:textId="77777777" w:rsidR="008A036B" w:rsidRPr="00573F8E" w:rsidRDefault="008A036B" w:rsidP="008A036B">
      <w:pPr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Εθνικοί Λογαριασμοί</w:t>
        </w:r>
      </w:hyperlink>
    </w:p>
    <w:p w14:paraId="38070A46" w14:textId="77777777" w:rsidR="008A036B" w:rsidRDefault="00000000" w:rsidP="008A036B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8A036B" w:rsidRPr="00573F8E">
          <w:rPr>
            <w:rStyle w:val="Hyperlink"/>
            <w:rFonts w:ascii="Verdana" w:hAnsi="Verdana"/>
            <w:sz w:val="18"/>
            <w:szCs w:val="18"/>
          </w:rPr>
          <w:t>CYSTAT</w:t>
        </w:r>
        <w:r w:rsidR="008A036B" w:rsidRPr="00573F8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A036B" w:rsidRPr="00573F8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A036B" w:rsidRPr="00573F8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0121E318" w14:textId="77777777" w:rsidR="008A036B" w:rsidRDefault="00000000" w:rsidP="008A036B">
      <w:pPr>
        <w:rPr>
          <w:lang w:val="el-GR"/>
        </w:rPr>
      </w:pPr>
      <w:hyperlink r:id="rId11" w:history="1">
        <w:r w:rsidR="008A036B" w:rsidRPr="008A036B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A036B" w:rsidRPr="008A036B">
        <w:rPr>
          <w:lang w:val="el-GR"/>
        </w:rPr>
        <w:t xml:space="preserve"> </w:t>
      </w:r>
      <w:r w:rsidR="008A036B" w:rsidRPr="00032633">
        <w:rPr>
          <w:lang w:val="el-GR"/>
        </w:rPr>
        <w:t>(</w:t>
      </w:r>
      <w:r w:rsidR="008A036B">
        <w:t>Excel</w:t>
      </w:r>
      <w:r w:rsidR="008A036B" w:rsidRPr="00032633">
        <w:rPr>
          <w:lang w:val="el-GR"/>
        </w:rPr>
        <w:t>)</w:t>
      </w:r>
    </w:p>
    <w:p w14:paraId="127998F1" w14:textId="61080B70" w:rsidR="00B90040" w:rsidRPr="00573F8E" w:rsidRDefault="00000000" w:rsidP="008A036B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B90040" w:rsidRPr="00220DC4">
          <w:rPr>
            <w:rStyle w:val="Hyperlink"/>
            <w:rFonts w:ascii="Verdana" w:hAnsi="Verdana"/>
            <w:sz w:val="18"/>
            <w:szCs w:val="18"/>
            <w:lang w:val="el-GR"/>
          </w:rPr>
          <w:t xml:space="preserve">Μεθοδολογικές </w:t>
        </w:r>
        <w:r w:rsidR="00335C01" w:rsidRPr="00220DC4">
          <w:rPr>
            <w:rStyle w:val="Hyperlink"/>
            <w:rFonts w:ascii="Verdana" w:hAnsi="Verdana"/>
            <w:sz w:val="18"/>
            <w:szCs w:val="18"/>
            <w:lang w:val="el-GR"/>
          </w:rPr>
          <w:t>Π</w:t>
        </w:r>
        <w:r w:rsidR="00B90040" w:rsidRPr="00220DC4">
          <w:rPr>
            <w:rStyle w:val="Hyperlink"/>
            <w:rFonts w:ascii="Verdana" w:hAnsi="Verdana"/>
            <w:sz w:val="18"/>
            <w:szCs w:val="18"/>
            <w:lang w:val="el-GR"/>
          </w:rPr>
          <w:t>ληροφορίες</w:t>
        </w:r>
      </w:hyperlink>
    </w:p>
    <w:p w14:paraId="2650906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3D498E7" w14:textId="34C81A10" w:rsidR="008A036B" w:rsidRPr="00032633" w:rsidRDefault="008A036B" w:rsidP="008A036B">
      <w:pPr>
        <w:jc w:val="both"/>
        <w:rPr>
          <w:rFonts w:ascii="Verdana" w:eastAsia="Times New Roman" w:hAnsi="Verdana"/>
          <w:b/>
          <w:bCs/>
          <w:sz w:val="18"/>
          <w:szCs w:val="18"/>
          <w:lang w:val="el-GR"/>
        </w:rPr>
      </w:pP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Οι </w:t>
      </w:r>
      <w:r w:rsidRPr="00032633">
        <w:rPr>
          <w:rFonts w:ascii="Verdana" w:eastAsia="Times New Roman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σε μορφή Excel περιλαμβάνουν στοιχεία μέχρι και το τέταρτο</w:t>
      </w:r>
      <w:r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>τρίμηνο του 2022. Για το πρώτο τρίμηνο του 2023 και μετέπειτα, η ενημέρωση θα γίνεται μόνο</w:t>
      </w:r>
      <w:r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>στη Βάση Δεδομένων CYSTAT-DB.</w:t>
      </w:r>
    </w:p>
    <w:p w14:paraId="6DFAC988" w14:textId="77777777" w:rsidR="008A036B" w:rsidRPr="00573F8E" w:rsidRDefault="008A036B" w:rsidP="008A036B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49124AA9" w14:textId="77777777" w:rsidR="008A036B" w:rsidRPr="00573F8E" w:rsidRDefault="008A036B" w:rsidP="008A036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5DC710BB" w14:textId="77777777" w:rsidR="008A036B" w:rsidRPr="00573F8E" w:rsidRDefault="008A036B" w:rsidP="008A036B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Κωνσταντίνου Μαρία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:+357226022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26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3" w:history="1">
        <w:r w:rsidRPr="005E1F3C">
          <w:rPr>
            <w:rStyle w:val="Hyperlink"/>
            <w:rFonts w:ascii="Verdana" w:hAnsi="Verdana"/>
            <w:sz w:val="18"/>
            <w:szCs w:val="18"/>
          </w:rPr>
          <w:t>mconstantinou</w:t>
        </w:r>
        <w:r w:rsidRPr="005E1F3C">
          <w:rPr>
            <w:rStyle w:val="Hyperlink"/>
            <w:rFonts w:ascii="Verdana" w:eastAsia="Malgun Gothic" w:hAnsi="Verdana" w:cs="Arial"/>
            <w:sz w:val="18"/>
            <w:szCs w:val="18"/>
            <w:lang w:val="pt-PT"/>
          </w:rPr>
          <w:t>@cystat.mof.gov.cy</w:t>
        </w:r>
      </w:hyperlink>
    </w:p>
    <w:p w14:paraId="38D9BFE2" w14:textId="77777777" w:rsidR="008A036B" w:rsidRPr="00573F8E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B41036" w14:textId="77777777" w:rsidR="008A036B" w:rsidRDefault="008A036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817A37" w14:textId="0B3A5C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5F72" w14:textId="77777777" w:rsidR="004C0258" w:rsidRDefault="004C0258" w:rsidP="00FB398F">
      <w:r>
        <w:separator/>
      </w:r>
    </w:p>
  </w:endnote>
  <w:endnote w:type="continuationSeparator" w:id="0">
    <w:p w14:paraId="30F1E7A4" w14:textId="77777777" w:rsidR="004C0258" w:rsidRDefault="004C0258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A452" w14:textId="77777777" w:rsidR="001F00CE" w:rsidRDefault="001F0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4DEB" w14:textId="77777777" w:rsidR="001F00CE" w:rsidRPr="000A1A88" w:rsidRDefault="001F00CE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CD8F" w14:textId="77777777" w:rsidR="001F00CE" w:rsidRPr="00233FBF" w:rsidRDefault="001F00CE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1F00CE" w:rsidRPr="00233FBF" w:rsidRDefault="001F00CE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486001">
      <w:rPr>
        <w:rFonts w:ascii="Arial" w:hAnsi="Arial" w:cs="Arial"/>
        <w:i/>
        <w:iCs/>
        <w:sz w:val="16"/>
        <w:szCs w:val="16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1F00CE" w:rsidRPr="00233FBF" w:rsidRDefault="001F00CE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2FB5" w14:textId="77777777" w:rsidR="004C0258" w:rsidRDefault="004C0258" w:rsidP="00FB398F">
      <w:r>
        <w:separator/>
      </w:r>
    </w:p>
  </w:footnote>
  <w:footnote w:type="continuationSeparator" w:id="0">
    <w:p w14:paraId="1DA86F55" w14:textId="77777777" w:rsidR="004C0258" w:rsidRDefault="004C0258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2864" w14:textId="77777777" w:rsidR="001F00CE" w:rsidRDefault="001F0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C9C0" w14:textId="77777777" w:rsidR="001F00CE" w:rsidRPr="00AC704B" w:rsidRDefault="001F00CE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F2EC" w14:textId="13591C2C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1F00CE" w:rsidRDefault="001F00CE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1F00CE" w:rsidRDefault="001F00CE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1F00CE" w:rsidRDefault="001F00CE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1F00CE" w:rsidRDefault="001F00CE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1F00CE" w:rsidRDefault="001F00CE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1F00CE" w:rsidRPr="00BA5A5E" w:rsidRDefault="001F00CE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1F00CE" w:rsidRDefault="001F00CE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1F00CE" w:rsidRPr="00BA5A5E" w:rsidRDefault="001F00CE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483BC0B8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1F00CE" w:rsidRDefault="001F0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861852">
    <w:abstractNumId w:val="4"/>
  </w:num>
  <w:num w:numId="2" w16cid:durableId="866679193">
    <w:abstractNumId w:val="1"/>
  </w:num>
  <w:num w:numId="3" w16cid:durableId="1380786610">
    <w:abstractNumId w:val="2"/>
  </w:num>
  <w:num w:numId="4" w16cid:durableId="1890847036">
    <w:abstractNumId w:val="3"/>
  </w:num>
  <w:num w:numId="5" w16cid:durableId="1273707692">
    <w:abstractNumId w:val="0"/>
  </w:num>
  <w:num w:numId="6" w16cid:durableId="245964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0D24"/>
    <w:rsid w:val="00025A39"/>
    <w:rsid w:val="00027853"/>
    <w:rsid w:val="00030E18"/>
    <w:rsid w:val="00031D32"/>
    <w:rsid w:val="0003603D"/>
    <w:rsid w:val="000419EF"/>
    <w:rsid w:val="00045088"/>
    <w:rsid w:val="00045A06"/>
    <w:rsid w:val="00050391"/>
    <w:rsid w:val="00054AE7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971D3"/>
    <w:rsid w:val="000A1A88"/>
    <w:rsid w:val="000A1CBA"/>
    <w:rsid w:val="000A2B5C"/>
    <w:rsid w:val="000A351B"/>
    <w:rsid w:val="000A3601"/>
    <w:rsid w:val="000A6FA8"/>
    <w:rsid w:val="000C1070"/>
    <w:rsid w:val="000C4E72"/>
    <w:rsid w:val="000D1E7A"/>
    <w:rsid w:val="000D29C5"/>
    <w:rsid w:val="000D572B"/>
    <w:rsid w:val="000E24B1"/>
    <w:rsid w:val="000E2735"/>
    <w:rsid w:val="000E32D6"/>
    <w:rsid w:val="000E4CB0"/>
    <w:rsid w:val="000E4E34"/>
    <w:rsid w:val="000E57F2"/>
    <w:rsid w:val="000E72A7"/>
    <w:rsid w:val="000F1162"/>
    <w:rsid w:val="000F3467"/>
    <w:rsid w:val="000F38DE"/>
    <w:rsid w:val="000F532A"/>
    <w:rsid w:val="000F5D6C"/>
    <w:rsid w:val="00106852"/>
    <w:rsid w:val="00107E95"/>
    <w:rsid w:val="00110D15"/>
    <w:rsid w:val="00110F9D"/>
    <w:rsid w:val="00114A67"/>
    <w:rsid w:val="001253B6"/>
    <w:rsid w:val="001262C3"/>
    <w:rsid w:val="00127320"/>
    <w:rsid w:val="00127456"/>
    <w:rsid w:val="001312D8"/>
    <w:rsid w:val="0013137B"/>
    <w:rsid w:val="001354B3"/>
    <w:rsid w:val="00145B3C"/>
    <w:rsid w:val="00150FFC"/>
    <w:rsid w:val="0015118B"/>
    <w:rsid w:val="001519CE"/>
    <w:rsid w:val="00161CF3"/>
    <w:rsid w:val="00162C00"/>
    <w:rsid w:val="001639EF"/>
    <w:rsid w:val="0016589F"/>
    <w:rsid w:val="00167A5D"/>
    <w:rsid w:val="001712CF"/>
    <w:rsid w:val="001763B8"/>
    <w:rsid w:val="00176F5C"/>
    <w:rsid w:val="0017769A"/>
    <w:rsid w:val="00183DFC"/>
    <w:rsid w:val="00184384"/>
    <w:rsid w:val="00186717"/>
    <w:rsid w:val="00187FFC"/>
    <w:rsid w:val="0019391C"/>
    <w:rsid w:val="0019790B"/>
    <w:rsid w:val="001A0DA0"/>
    <w:rsid w:val="001A0E1E"/>
    <w:rsid w:val="001A2018"/>
    <w:rsid w:val="001A4000"/>
    <w:rsid w:val="001B2C39"/>
    <w:rsid w:val="001B3675"/>
    <w:rsid w:val="001B5AE2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F00CE"/>
    <w:rsid w:val="0020309E"/>
    <w:rsid w:val="00210B58"/>
    <w:rsid w:val="002131E5"/>
    <w:rsid w:val="00220DC4"/>
    <w:rsid w:val="00222423"/>
    <w:rsid w:val="002230AA"/>
    <w:rsid w:val="0022360E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28F0"/>
    <w:rsid w:val="00264F04"/>
    <w:rsid w:val="00267554"/>
    <w:rsid w:val="00270BEE"/>
    <w:rsid w:val="002758BE"/>
    <w:rsid w:val="002769F4"/>
    <w:rsid w:val="0028338F"/>
    <w:rsid w:val="002915C4"/>
    <w:rsid w:val="00297E6B"/>
    <w:rsid w:val="002A1D1C"/>
    <w:rsid w:val="002A34DC"/>
    <w:rsid w:val="002A4D64"/>
    <w:rsid w:val="002B4969"/>
    <w:rsid w:val="002B6554"/>
    <w:rsid w:val="002D05F0"/>
    <w:rsid w:val="002D2829"/>
    <w:rsid w:val="002D7D4A"/>
    <w:rsid w:val="002E331C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314"/>
    <w:rsid w:val="00322FBE"/>
    <w:rsid w:val="00325632"/>
    <w:rsid w:val="00327549"/>
    <w:rsid w:val="003342A5"/>
    <w:rsid w:val="00334616"/>
    <w:rsid w:val="00335C01"/>
    <w:rsid w:val="00336C36"/>
    <w:rsid w:val="00343815"/>
    <w:rsid w:val="00350FC8"/>
    <w:rsid w:val="003522BB"/>
    <w:rsid w:val="00352F6C"/>
    <w:rsid w:val="003556EA"/>
    <w:rsid w:val="00385ED5"/>
    <w:rsid w:val="003864BE"/>
    <w:rsid w:val="00386FC7"/>
    <w:rsid w:val="00390A32"/>
    <w:rsid w:val="003A1E91"/>
    <w:rsid w:val="003A1F32"/>
    <w:rsid w:val="003A40F2"/>
    <w:rsid w:val="003A50D1"/>
    <w:rsid w:val="003B0BAC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070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2B4"/>
    <w:rsid w:val="004656FA"/>
    <w:rsid w:val="00471D77"/>
    <w:rsid w:val="00475587"/>
    <w:rsid w:val="00480BC2"/>
    <w:rsid w:val="004845C3"/>
    <w:rsid w:val="00486001"/>
    <w:rsid w:val="004910FC"/>
    <w:rsid w:val="004929C2"/>
    <w:rsid w:val="00493DB9"/>
    <w:rsid w:val="00493FDD"/>
    <w:rsid w:val="0049586B"/>
    <w:rsid w:val="004A3E44"/>
    <w:rsid w:val="004B2018"/>
    <w:rsid w:val="004B2896"/>
    <w:rsid w:val="004B38E9"/>
    <w:rsid w:val="004B3FBA"/>
    <w:rsid w:val="004B6599"/>
    <w:rsid w:val="004C0258"/>
    <w:rsid w:val="004C4C37"/>
    <w:rsid w:val="004C59F4"/>
    <w:rsid w:val="004C6A35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42E5"/>
    <w:rsid w:val="004F52F0"/>
    <w:rsid w:val="004F6176"/>
    <w:rsid w:val="004F6250"/>
    <w:rsid w:val="004F677C"/>
    <w:rsid w:val="004F6D8F"/>
    <w:rsid w:val="00505503"/>
    <w:rsid w:val="0051107B"/>
    <w:rsid w:val="00512F9C"/>
    <w:rsid w:val="00527CDB"/>
    <w:rsid w:val="005341C9"/>
    <w:rsid w:val="005369CA"/>
    <w:rsid w:val="00536DE9"/>
    <w:rsid w:val="00540971"/>
    <w:rsid w:val="00541E08"/>
    <w:rsid w:val="00554FE0"/>
    <w:rsid w:val="0055789A"/>
    <w:rsid w:val="00560952"/>
    <w:rsid w:val="005652D1"/>
    <w:rsid w:val="005660A0"/>
    <w:rsid w:val="00566A4F"/>
    <w:rsid w:val="00567D64"/>
    <w:rsid w:val="005747D9"/>
    <w:rsid w:val="00591E14"/>
    <w:rsid w:val="005978D4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E0189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3C89"/>
    <w:rsid w:val="0065643E"/>
    <w:rsid w:val="00666D80"/>
    <w:rsid w:val="00667E07"/>
    <w:rsid w:val="00671533"/>
    <w:rsid w:val="00671785"/>
    <w:rsid w:val="00672BA9"/>
    <w:rsid w:val="00673005"/>
    <w:rsid w:val="006804BE"/>
    <w:rsid w:val="0068434A"/>
    <w:rsid w:val="0069008E"/>
    <w:rsid w:val="0069087E"/>
    <w:rsid w:val="006925C4"/>
    <w:rsid w:val="006A02A1"/>
    <w:rsid w:val="006A02B7"/>
    <w:rsid w:val="006A7019"/>
    <w:rsid w:val="006B46D5"/>
    <w:rsid w:val="006B46F4"/>
    <w:rsid w:val="006C026F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ECB"/>
    <w:rsid w:val="00702F26"/>
    <w:rsid w:val="0070313E"/>
    <w:rsid w:val="00703799"/>
    <w:rsid w:val="00705C5C"/>
    <w:rsid w:val="00711475"/>
    <w:rsid w:val="0072548A"/>
    <w:rsid w:val="007277A6"/>
    <w:rsid w:val="00733CC4"/>
    <w:rsid w:val="00736686"/>
    <w:rsid w:val="007437AB"/>
    <w:rsid w:val="00745425"/>
    <w:rsid w:val="00745978"/>
    <w:rsid w:val="007534F8"/>
    <w:rsid w:val="007545AD"/>
    <w:rsid w:val="00761E3A"/>
    <w:rsid w:val="00763722"/>
    <w:rsid w:val="00764BC1"/>
    <w:rsid w:val="00770869"/>
    <w:rsid w:val="0077130E"/>
    <w:rsid w:val="007738AA"/>
    <w:rsid w:val="00780A62"/>
    <w:rsid w:val="00783241"/>
    <w:rsid w:val="00784BDC"/>
    <w:rsid w:val="00787911"/>
    <w:rsid w:val="00792F28"/>
    <w:rsid w:val="007935CA"/>
    <w:rsid w:val="0079543F"/>
    <w:rsid w:val="00795880"/>
    <w:rsid w:val="007A4367"/>
    <w:rsid w:val="007A7D66"/>
    <w:rsid w:val="007B0867"/>
    <w:rsid w:val="007B1AC1"/>
    <w:rsid w:val="007B5A08"/>
    <w:rsid w:val="007B693D"/>
    <w:rsid w:val="007B7C02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66A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0C7"/>
    <w:rsid w:val="00846B85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5DDF"/>
    <w:rsid w:val="008860BD"/>
    <w:rsid w:val="008861A8"/>
    <w:rsid w:val="00887399"/>
    <w:rsid w:val="0088779E"/>
    <w:rsid w:val="008912AF"/>
    <w:rsid w:val="00892114"/>
    <w:rsid w:val="00892CB9"/>
    <w:rsid w:val="008935CB"/>
    <w:rsid w:val="008A036B"/>
    <w:rsid w:val="008B0E7E"/>
    <w:rsid w:val="008B65BD"/>
    <w:rsid w:val="008B7900"/>
    <w:rsid w:val="008C4711"/>
    <w:rsid w:val="008C71BF"/>
    <w:rsid w:val="008C7FE0"/>
    <w:rsid w:val="008D5717"/>
    <w:rsid w:val="008E223D"/>
    <w:rsid w:val="008E44A9"/>
    <w:rsid w:val="008E6B4D"/>
    <w:rsid w:val="008E6BFF"/>
    <w:rsid w:val="008F21AF"/>
    <w:rsid w:val="008F2400"/>
    <w:rsid w:val="008F47AD"/>
    <w:rsid w:val="008F61BA"/>
    <w:rsid w:val="008F6E3C"/>
    <w:rsid w:val="008F7C55"/>
    <w:rsid w:val="0090733B"/>
    <w:rsid w:val="00914A23"/>
    <w:rsid w:val="00930754"/>
    <w:rsid w:val="00934F68"/>
    <w:rsid w:val="009355AC"/>
    <w:rsid w:val="00935F38"/>
    <w:rsid w:val="00937586"/>
    <w:rsid w:val="00947889"/>
    <w:rsid w:val="009478BD"/>
    <w:rsid w:val="00960E98"/>
    <w:rsid w:val="009625C7"/>
    <w:rsid w:val="00963A82"/>
    <w:rsid w:val="00972912"/>
    <w:rsid w:val="00973BFC"/>
    <w:rsid w:val="00976D1F"/>
    <w:rsid w:val="00981C81"/>
    <w:rsid w:val="009A2D24"/>
    <w:rsid w:val="009A44C9"/>
    <w:rsid w:val="009A456C"/>
    <w:rsid w:val="009B00E0"/>
    <w:rsid w:val="009B292A"/>
    <w:rsid w:val="009B6FD3"/>
    <w:rsid w:val="009B76D5"/>
    <w:rsid w:val="009C165D"/>
    <w:rsid w:val="009C3CEA"/>
    <w:rsid w:val="009C583D"/>
    <w:rsid w:val="009D2611"/>
    <w:rsid w:val="009D79D2"/>
    <w:rsid w:val="009E247C"/>
    <w:rsid w:val="009E31BA"/>
    <w:rsid w:val="009F0528"/>
    <w:rsid w:val="009F0806"/>
    <w:rsid w:val="009F233B"/>
    <w:rsid w:val="00A05D16"/>
    <w:rsid w:val="00A0659F"/>
    <w:rsid w:val="00A068F7"/>
    <w:rsid w:val="00A079BA"/>
    <w:rsid w:val="00A14E8C"/>
    <w:rsid w:val="00A20C70"/>
    <w:rsid w:val="00A320F2"/>
    <w:rsid w:val="00A33875"/>
    <w:rsid w:val="00A360A1"/>
    <w:rsid w:val="00A402B3"/>
    <w:rsid w:val="00A5249A"/>
    <w:rsid w:val="00A544B7"/>
    <w:rsid w:val="00A618CF"/>
    <w:rsid w:val="00A62770"/>
    <w:rsid w:val="00A62EEB"/>
    <w:rsid w:val="00A62F95"/>
    <w:rsid w:val="00A660FF"/>
    <w:rsid w:val="00A70D1D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4505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26CC"/>
    <w:rsid w:val="00B04AF4"/>
    <w:rsid w:val="00B05214"/>
    <w:rsid w:val="00B30D97"/>
    <w:rsid w:val="00B31074"/>
    <w:rsid w:val="00B3181A"/>
    <w:rsid w:val="00B35A7C"/>
    <w:rsid w:val="00B44ECD"/>
    <w:rsid w:val="00B450D1"/>
    <w:rsid w:val="00B47216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0040"/>
    <w:rsid w:val="00B93668"/>
    <w:rsid w:val="00BA68C6"/>
    <w:rsid w:val="00BB12F1"/>
    <w:rsid w:val="00BB276E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3249"/>
    <w:rsid w:val="00BE5CDA"/>
    <w:rsid w:val="00BE608F"/>
    <w:rsid w:val="00BF23BB"/>
    <w:rsid w:val="00BF33DD"/>
    <w:rsid w:val="00BF5755"/>
    <w:rsid w:val="00BF684B"/>
    <w:rsid w:val="00C0058A"/>
    <w:rsid w:val="00C016F3"/>
    <w:rsid w:val="00C01F87"/>
    <w:rsid w:val="00C15193"/>
    <w:rsid w:val="00C15609"/>
    <w:rsid w:val="00C15F6A"/>
    <w:rsid w:val="00C171C9"/>
    <w:rsid w:val="00C23EA7"/>
    <w:rsid w:val="00C256F3"/>
    <w:rsid w:val="00C270A2"/>
    <w:rsid w:val="00C315B5"/>
    <w:rsid w:val="00C33970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42C8"/>
    <w:rsid w:val="00C81814"/>
    <w:rsid w:val="00C83027"/>
    <w:rsid w:val="00C84B8A"/>
    <w:rsid w:val="00C85E65"/>
    <w:rsid w:val="00C87CA1"/>
    <w:rsid w:val="00C911B4"/>
    <w:rsid w:val="00C91B3B"/>
    <w:rsid w:val="00C94262"/>
    <w:rsid w:val="00C976E1"/>
    <w:rsid w:val="00CA0FD5"/>
    <w:rsid w:val="00CA148E"/>
    <w:rsid w:val="00CA1860"/>
    <w:rsid w:val="00CA3A9A"/>
    <w:rsid w:val="00CB6BC1"/>
    <w:rsid w:val="00CB7021"/>
    <w:rsid w:val="00CD3294"/>
    <w:rsid w:val="00CD4524"/>
    <w:rsid w:val="00CD784D"/>
    <w:rsid w:val="00CE087B"/>
    <w:rsid w:val="00CE2801"/>
    <w:rsid w:val="00CF3A1C"/>
    <w:rsid w:val="00CF40F8"/>
    <w:rsid w:val="00D008DA"/>
    <w:rsid w:val="00D01340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2869"/>
    <w:rsid w:val="00D76249"/>
    <w:rsid w:val="00DA7D12"/>
    <w:rsid w:val="00DC23CF"/>
    <w:rsid w:val="00DC6562"/>
    <w:rsid w:val="00DE130D"/>
    <w:rsid w:val="00DE24CF"/>
    <w:rsid w:val="00DE407C"/>
    <w:rsid w:val="00DE5032"/>
    <w:rsid w:val="00DE67CB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24DA4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1854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333E"/>
    <w:rsid w:val="00ED721A"/>
    <w:rsid w:val="00EE393D"/>
    <w:rsid w:val="00EF01CF"/>
    <w:rsid w:val="00EF1CD6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D09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0AFF"/>
    <w:rsid w:val="00FD2049"/>
    <w:rsid w:val="00FD2140"/>
    <w:rsid w:val="00FD4722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8A03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mconstantinou@cystat.mof.gov.c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isplay?s=4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National%20Accounts__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5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el-GR" sz="1100" b="1" i="0" baseline="0">
                <a:solidFill>
                  <a:sysClr val="windowText" lastClr="000000"/>
                </a:solidFill>
                <a:effectLst/>
                <a:latin typeface="Verdana" panose="020B0604030504040204" pitchFamily="34" charset="0"/>
                <a:ea typeface="Verdana" panose="020B0604030504040204" pitchFamily="34" charset="0"/>
              </a:rPr>
              <a:t>Ρυθμός Μεταβολής του ΑΕΠ σε Μετρήσεις Όγκου</a:t>
            </a:r>
            <a:endParaRPr lang="en-CY" sz="1100">
              <a:solidFill>
                <a:sysClr val="windowText" lastClr="000000"/>
              </a:solidFill>
              <a:effectLst/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>
              <a:defRPr sz="11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defRPr>
            </a:pPr>
            <a:r>
              <a:rPr lang="el-GR" sz="1100" b="0" i="0" baseline="0">
                <a:solidFill>
                  <a:sysClr val="windowText" lastClr="000000"/>
                </a:solidFill>
                <a:effectLst/>
                <a:latin typeface="Verdana" panose="020B0604030504040204" pitchFamily="34" charset="0"/>
                <a:ea typeface="Verdana" panose="020B0604030504040204" pitchFamily="34" charset="0"/>
              </a:rPr>
              <a:t>Σύγκριση με το αντίστοιχο τρίμηνο του προηγούμενου έτους</a:t>
            </a:r>
            <a:endParaRPr lang="en-CY" sz="1100">
              <a:solidFill>
                <a:sysClr val="windowText" lastClr="000000"/>
              </a:solidFill>
              <a:effectLst/>
              <a:latin typeface="Verdana" panose="020B0604030504040204" pitchFamily="34" charset="0"/>
              <a:ea typeface="Verdana" panose="020B060403050404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en-CY"/>
        </a:p>
      </c:txPr>
    </c:title>
    <c:autoTitleDeleted val="0"/>
    <c:plotArea>
      <c:layout>
        <c:manualLayout>
          <c:layoutTarget val="inner"/>
          <c:xMode val="edge"/>
          <c:yMode val="edge"/>
          <c:x val="0.10535452758129166"/>
          <c:y val="0.1354782299490517"/>
          <c:w val="0.87167497052228538"/>
          <c:h val="0.60393641357151351"/>
        </c:manualLayout>
      </c:layout>
      <c:lineChart>
        <c:grouping val="standard"/>
        <c:varyColors val="0"/>
        <c:ser>
          <c:idx val="1"/>
          <c:order val="0"/>
          <c:tx>
            <c:strRef>
              <c:f>Graph!$F$2</c:f>
              <c:strCache>
                <c:ptCount val="1"/>
                <c:pt idx="0">
                  <c:v>ΑΕΠ (διορθωμένο ως προς τις εποχικές διακυμάνσεις και τις εργάσιμες μέρες)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Graph!$A$31:$B$56</c:f>
              <c:multiLvlStrCache>
                <c:ptCount val="26"/>
                <c:lvl>
                  <c:pt idx="0">
                    <c:v>Τ1</c:v>
                  </c:pt>
                  <c:pt idx="1">
                    <c:v>Τ2</c:v>
                  </c:pt>
                  <c:pt idx="2">
                    <c:v>Τ3</c:v>
                  </c:pt>
                  <c:pt idx="3">
                    <c:v>Τ4</c:v>
                  </c:pt>
                  <c:pt idx="4">
                    <c:v>Τ1</c:v>
                  </c:pt>
                  <c:pt idx="5">
                    <c:v>Τ2</c:v>
                  </c:pt>
                  <c:pt idx="6">
                    <c:v>Τ3</c:v>
                  </c:pt>
                  <c:pt idx="7">
                    <c:v>Τ4</c:v>
                  </c:pt>
                  <c:pt idx="8">
                    <c:v>Τ1</c:v>
                  </c:pt>
                  <c:pt idx="9">
                    <c:v>Τ2</c:v>
                  </c:pt>
                  <c:pt idx="10">
                    <c:v>Τ3</c:v>
                  </c:pt>
                  <c:pt idx="11">
                    <c:v>Τ4</c:v>
                  </c:pt>
                  <c:pt idx="12">
                    <c:v>Τ1</c:v>
                  </c:pt>
                  <c:pt idx="13">
                    <c:v>Τ2</c:v>
                  </c:pt>
                  <c:pt idx="14">
                    <c:v>Τ3</c:v>
                  </c:pt>
                  <c:pt idx="15">
                    <c:v>Τ4</c:v>
                  </c:pt>
                  <c:pt idx="16">
                    <c:v>Τ1</c:v>
                  </c:pt>
                  <c:pt idx="17">
                    <c:v>Τ2</c:v>
                  </c:pt>
                  <c:pt idx="18">
                    <c:v>Τ3</c:v>
                  </c:pt>
                  <c:pt idx="19">
                    <c:v>Τ4</c:v>
                  </c:pt>
                  <c:pt idx="20">
                    <c:v>Τ1</c:v>
                  </c:pt>
                  <c:pt idx="21">
                    <c:v>Τ2</c:v>
                  </c:pt>
                  <c:pt idx="22">
                    <c:v>Τ3</c:v>
                  </c:pt>
                  <c:pt idx="23">
                    <c:v>Τ4</c:v>
                  </c:pt>
                  <c:pt idx="24">
                    <c:v>Τ1</c:v>
                  </c:pt>
                  <c:pt idx="25">
                    <c:v>Τ2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Graph!$F$31:$F$56</c:f>
              <c:numCache>
                <c:formatCode>#,##0.0</c:formatCode>
                <c:ptCount val="26"/>
                <c:pt idx="0">
                  <c:v>6.1472175415395736</c:v>
                </c:pt>
                <c:pt idx="1">
                  <c:v>6.0990863030251585</c:v>
                </c:pt>
                <c:pt idx="2">
                  <c:v>5.7156610368137795</c:v>
                </c:pt>
                <c:pt idx="3">
                  <c:v>5.0042876393482594</c:v>
                </c:pt>
                <c:pt idx="4">
                  <c:v>5.8756153923440024</c:v>
                </c:pt>
                <c:pt idx="5">
                  <c:v>5.5686540920716121</c:v>
                </c:pt>
                <c:pt idx="6">
                  <c:v>5.469987329743442</c:v>
                </c:pt>
                <c:pt idx="7">
                  <c:v>5.660230609189365</c:v>
                </c:pt>
                <c:pt idx="8">
                  <c:v>5.4072007439883274</c:v>
                </c:pt>
                <c:pt idx="9">
                  <c:v>5.8540740039746408</c:v>
                </c:pt>
                <c:pt idx="10">
                  <c:v>6.0553730642890713</c:v>
                </c:pt>
                <c:pt idx="11">
                  <c:v>4.8362164151637854</c:v>
                </c:pt>
                <c:pt idx="12">
                  <c:v>2.0346429471713057</c:v>
                </c:pt>
                <c:pt idx="13">
                  <c:v>-10.728078958661136</c:v>
                </c:pt>
                <c:pt idx="14">
                  <c:v>-5.8211359090989623</c:v>
                </c:pt>
                <c:pt idx="15">
                  <c:v>-2.915671956185939</c:v>
                </c:pt>
                <c:pt idx="16">
                  <c:v>-0.61763252629349896</c:v>
                </c:pt>
                <c:pt idx="17">
                  <c:v>13.084842172728738</c:v>
                </c:pt>
                <c:pt idx="18">
                  <c:v>8.6202360369841422</c:v>
                </c:pt>
                <c:pt idx="19">
                  <c:v>6.3120400672609378</c:v>
                </c:pt>
                <c:pt idx="20">
                  <c:v>6.4100287652260279</c:v>
                </c:pt>
                <c:pt idx="21">
                  <c:v>6.585076424434555</c:v>
                </c:pt>
                <c:pt idx="22">
                  <c:v>5.6125538504126382</c:v>
                </c:pt>
                <c:pt idx="23">
                  <c:v>2.3081141261902083</c:v>
                </c:pt>
                <c:pt idx="24">
                  <c:v>3.1871579228407443</c:v>
                </c:pt>
                <c:pt idx="25">
                  <c:v>2.3081141261902083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37-49CD-BAD8-EFDE66A1F7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09804959"/>
        <c:axId val="525019247"/>
      </c:lineChart>
      <c:catAx>
        <c:axId val="8098049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n-CY"/>
          </a:p>
        </c:txPr>
        <c:crossAx val="525019247"/>
        <c:crosses val="autoZero"/>
        <c:auto val="1"/>
        <c:lblAlgn val="ctr"/>
        <c:lblOffset val="100"/>
        <c:noMultiLvlLbl val="0"/>
      </c:catAx>
      <c:valAx>
        <c:axId val="525019247"/>
        <c:scaling>
          <c:orientation val="minMax"/>
          <c:min val="-14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el-GR" sz="900" b="1" i="0" baseline="0">
                    <a:solidFill>
                      <a:sysClr val="windowText" lastClr="000000"/>
                    </a:solidFill>
                    <a:effectLst/>
                    <a:latin typeface="Verdana" panose="020B0604030504040204" pitchFamily="34" charset="0"/>
                    <a:ea typeface="Verdana" panose="020B0604030504040204" pitchFamily="34" charset="0"/>
                  </a:rPr>
                  <a:t>Ποσοστιαία μεταβολή (%)</a:t>
                </a:r>
                <a:endParaRPr lang="en-CY" sz="900">
                  <a:solidFill>
                    <a:sysClr val="windowText" lastClr="000000"/>
                  </a:solidFill>
                  <a:effectLst/>
                  <a:latin typeface="Verdana" panose="020B0604030504040204" pitchFamily="34" charset="0"/>
                  <a:ea typeface="Verdana" panose="020B0604030504040204" pitchFamily="34" charset="0"/>
                </a:endParaRPr>
              </a:p>
            </c:rich>
          </c:tx>
          <c:layout>
            <c:manualLayout>
              <c:xMode val="edge"/>
              <c:yMode val="edge"/>
              <c:x val="1.0490426618391981E-2"/>
              <c:y val="0.269175094371944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0" i="0" u="none" strike="noStrike" kern="1200" baseline="0">
                  <a:solidFill>
                    <a:sysClr val="windowText" lastClr="000000"/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en-CY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n-CY"/>
          </a:p>
        </c:txPr>
        <c:crossAx val="809804959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16520356877E-2"/>
          <c:y val="0.94935300919552879"/>
          <c:w val="0.89999996695928619"/>
          <c:h val="3.82149783724586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en-C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rgbClr val="558ED5">
          <a:alpha val="50196"/>
        </a:srgbClr>
      </a:solidFill>
      <a:round/>
    </a:ln>
    <a:effectLst/>
  </c:spPr>
  <c:txPr>
    <a:bodyPr/>
    <a:lstStyle/>
    <a:p>
      <a:pPr>
        <a:defRPr/>
      </a:pPr>
      <a:endParaRPr lang="en-CY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Bureau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Bureau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Bureau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85BB-911D-41A8-9AAF-0A583C33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6</cp:revision>
  <cp:lastPrinted>2016-09-28T08:22:00Z</cp:lastPrinted>
  <dcterms:created xsi:type="dcterms:W3CDTF">2023-08-30T08:13:00Z</dcterms:created>
  <dcterms:modified xsi:type="dcterms:W3CDTF">2023-09-01T07:03:00Z</dcterms:modified>
</cp:coreProperties>
</file>