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8204D" w14:textId="77777777" w:rsidR="00DF2F99" w:rsidRDefault="00DF2F99" w:rsidP="00DF2F99">
      <w:pPr>
        <w:jc w:val="both"/>
        <w:rPr>
          <w:rFonts w:ascii="Verdana" w:hAnsi="Verdana" w:cs="Arial"/>
          <w:sz w:val="18"/>
          <w:szCs w:val="18"/>
        </w:rPr>
      </w:pPr>
    </w:p>
    <w:p w14:paraId="11A6DDAC" w14:textId="2500E6F1" w:rsidR="00DF2F99" w:rsidRPr="00DF2F99" w:rsidRDefault="00DF2F99" w:rsidP="00DF2F99">
      <w:pPr>
        <w:jc w:val="right"/>
        <w:rPr>
          <w:rFonts w:ascii="Verdana" w:hAnsi="Verdana" w:cs="Arial"/>
          <w:sz w:val="18"/>
          <w:szCs w:val="18"/>
        </w:rPr>
      </w:pPr>
      <w:r w:rsidRPr="00DF2F99">
        <w:rPr>
          <w:rFonts w:ascii="Verdana" w:hAnsi="Verdana" w:cs="Arial"/>
          <w:sz w:val="18"/>
          <w:szCs w:val="18"/>
        </w:rPr>
        <w:t>1</w:t>
      </w:r>
      <w:r w:rsidR="008135D1">
        <w:rPr>
          <w:rFonts w:ascii="Verdana" w:hAnsi="Verdana" w:cs="Arial"/>
          <w:sz w:val="18"/>
          <w:szCs w:val="18"/>
        </w:rPr>
        <w:t xml:space="preserve"> </w:t>
      </w:r>
      <w:r w:rsidR="009616FE">
        <w:rPr>
          <w:rFonts w:ascii="Verdana" w:hAnsi="Verdana" w:cs="Arial"/>
          <w:sz w:val="18"/>
          <w:szCs w:val="18"/>
        </w:rPr>
        <w:t>Ma</w:t>
      </w:r>
      <w:r w:rsidR="008135D1">
        <w:rPr>
          <w:rFonts w:ascii="Verdana" w:hAnsi="Verdana" w:cs="Arial"/>
          <w:sz w:val="18"/>
          <w:szCs w:val="18"/>
        </w:rPr>
        <w:t>r</w:t>
      </w:r>
      <w:r w:rsidR="009616FE">
        <w:rPr>
          <w:rFonts w:ascii="Verdana" w:hAnsi="Verdana" w:cs="Arial"/>
          <w:sz w:val="18"/>
          <w:szCs w:val="18"/>
        </w:rPr>
        <w:t>ch</w:t>
      </w:r>
      <w:r w:rsidRPr="00DF2F99">
        <w:rPr>
          <w:rFonts w:ascii="Verdana" w:hAnsi="Verdana" w:cs="Arial"/>
          <w:sz w:val="18"/>
          <w:szCs w:val="18"/>
        </w:rPr>
        <w:t>, 202</w:t>
      </w:r>
      <w:r w:rsidR="00BC7F9D">
        <w:rPr>
          <w:rFonts w:ascii="Verdana" w:hAnsi="Verdana" w:cs="Arial"/>
          <w:sz w:val="18"/>
          <w:szCs w:val="18"/>
        </w:rPr>
        <w:t>4</w:t>
      </w:r>
    </w:p>
    <w:p w14:paraId="4992D3F8" w14:textId="77777777" w:rsidR="00DF2F99" w:rsidRDefault="00DF2F99" w:rsidP="00DF2F99">
      <w:pPr>
        <w:jc w:val="both"/>
        <w:rPr>
          <w:rFonts w:ascii="Verdana" w:hAnsi="Verdana" w:cs="Arial"/>
          <w:sz w:val="18"/>
          <w:szCs w:val="18"/>
        </w:rPr>
      </w:pPr>
    </w:p>
    <w:p w14:paraId="744E7E0D" w14:textId="77777777" w:rsidR="008E3716" w:rsidRDefault="008E3716" w:rsidP="00DF2F99">
      <w:pPr>
        <w:jc w:val="both"/>
        <w:rPr>
          <w:rFonts w:ascii="Verdana" w:hAnsi="Verdana" w:cs="Arial"/>
          <w:sz w:val="18"/>
          <w:szCs w:val="18"/>
        </w:rPr>
      </w:pPr>
    </w:p>
    <w:p w14:paraId="20DAABAF" w14:textId="77777777" w:rsidR="00DF2F99" w:rsidRPr="00DF2F99" w:rsidRDefault="00DF2F99" w:rsidP="00DF2F99">
      <w:pPr>
        <w:jc w:val="center"/>
        <w:rPr>
          <w:rFonts w:ascii="Verdana" w:hAnsi="Verdana" w:cs="Arial"/>
          <w:b/>
          <w:bCs/>
          <w:sz w:val="24"/>
          <w:szCs w:val="24"/>
        </w:rPr>
      </w:pPr>
      <w:r w:rsidRPr="00DF2F99">
        <w:rPr>
          <w:rFonts w:ascii="Verdana" w:hAnsi="Verdana" w:cs="Arial"/>
          <w:b/>
          <w:bCs/>
          <w:sz w:val="24"/>
          <w:szCs w:val="24"/>
        </w:rPr>
        <w:t>PRESS RELEASE</w:t>
      </w:r>
    </w:p>
    <w:p w14:paraId="01F14D0B" w14:textId="77777777" w:rsidR="00DF2F99" w:rsidRDefault="00DF2F99" w:rsidP="00DF2F99">
      <w:pPr>
        <w:jc w:val="both"/>
        <w:rPr>
          <w:rFonts w:ascii="Verdana" w:hAnsi="Verdana" w:cs="Arial"/>
          <w:sz w:val="18"/>
          <w:szCs w:val="18"/>
        </w:rPr>
      </w:pPr>
    </w:p>
    <w:p w14:paraId="6DDDD1AB" w14:textId="77777777" w:rsidR="008E3716" w:rsidRPr="00DF2F99" w:rsidRDefault="008E3716" w:rsidP="00DF2F99">
      <w:pPr>
        <w:jc w:val="both"/>
        <w:rPr>
          <w:rFonts w:ascii="Verdana" w:hAnsi="Verdana" w:cs="Arial"/>
          <w:sz w:val="18"/>
          <w:szCs w:val="18"/>
        </w:rPr>
      </w:pPr>
    </w:p>
    <w:p w14:paraId="13C85870" w14:textId="6D4C459B" w:rsidR="00DF2F99" w:rsidRPr="00DF2F99" w:rsidRDefault="0015344C" w:rsidP="0015344C">
      <w:pPr>
        <w:rPr>
          <w:rFonts w:ascii="Verdana" w:hAnsi="Verdana" w:cs="Arial"/>
          <w:u w:val="single"/>
        </w:rPr>
      </w:pPr>
      <w:r w:rsidRPr="008E3716">
        <w:rPr>
          <w:rFonts w:ascii="Verdana" w:hAnsi="Verdana" w:cs="Arial"/>
          <w:u w:val="single"/>
        </w:rPr>
        <w:t>QUARTERLY NATIONAL ACCOUNTS</w:t>
      </w:r>
      <w:r w:rsidR="00DF2F99" w:rsidRPr="00DF2F99">
        <w:rPr>
          <w:rFonts w:ascii="Verdana" w:hAnsi="Verdana" w:cs="Arial"/>
          <w:u w:val="single"/>
        </w:rPr>
        <w:t xml:space="preserve">: </w:t>
      </w:r>
      <w:r w:rsidR="009616FE" w:rsidRPr="009616FE">
        <w:rPr>
          <w:rFonts w:ascii="Verdana" w:hAnsi="Verdana" w:cs="Arial"/>
          <w:b/>
          <w:bCs/>
          <w:u w:val="single"/>
        </w:rPr>
        <w:t>4</w:t>
      </w:r>
      <w:r w:rsidR="009616FE">
        <w:rPr>
          <w:rFonts w:ascii="Verdana" w:hAnsi="Verdana" w:cs="Arial"/>
          <w:b/>
          <w:bCs/>
          <w:u w:val="single"/>
        </w:rPr>
        <w:t>th</w:t>
      </w:r>
      <w:r w:rsidR="00DF2F99" w:rsidRPr="00DF2F99">
        <w:rPr>
          <w:rFonts w:ascii="Verdana" w:hAnsi="Verdana" w:cs="Arial"/>
          <w:b/>
          <w:bCs/>
          <w:u w:val="single"/>
        </w:rPr>
        <w:t xml:space="preserve"> QUARTER 202</w:t>
      </w:r>
      <w:r w:rsidR="0035337D">
        <w:rPr>
          <w:rFonts w:ascii="Verdana" w:hAnsi="Verdana" w:cs="Arial"/>
          <w:b/>
          <w:bCs/>
          <w:u w:val="single"/>
        </w:rPr>
        <w:t>3</w:t>
      </w:r>
    </w:p>
    <w:p w14:paraId="07F56C60" w14:textId="77777777" w:rsidR="00DF2F99" w:rsidRDefault="00DF2F99" w:rsidP="00DF2F99">
      <w:pPr>
        <w:jc w:val="both"/>
        <w:rPr>
          <w:rFonts w:ascii="Verdana" w:hAnsi="Verdana" w:cs="Arial"/>
          <w:sz w:val="18"/>
          <w:szCs w:val="18"/>
        </w:rPr>
      </w:pPr>
    </w:p>
    <w:p w14:paraId="31F62552" w14:textId="6D6D9D47" w:rsidR="00DF2F99" w:rsidRPr="00DF2F99" w:rsidRDefault="00DF2F99" w:rsidP="00DF2F99">
      <w:pPr>
        <w:jc w:val="center"/>
        <w:rPr>
          <w:rFonts w:ascii="Verdana" w:hAnsi="Verdana" w:cs="Arial"/>
          <w:b/>
          <w:bCs/>
        </w:rPr>
      </w:pPr>
      <w:r w:rsidRPr="00DF2F99">
        <w:rPr>
          <w:rFonts w:ascii="Verdana" w:hAnsi="Verdana" w:cs="Arial"/>
          <w:b/>
          <w:bCs/>
        </w:rPr>
        <w:t xml:space="preserve">Growth Rate </w:t>
      </w:r>
      <w:r w:rsidR="00BC58BB">
        <w:rPr>
          <w:rFonts w:ascii="Verdana" w:hAnsi="Verdana" w:cs="Arial"/>
          <w:b/>
          <w:bCs/>
        </w:rPr>
        <w:t>2</w:t>
      </w:r>
      <w:r w:rsidRPr="00DF2F99">
        <w:rPr>
          <w:rFonts w:ascii="Verdana" w:hAnsi="Verdana" w:cs="Arial"/>
          <w:b/>
          <w:bCs/>
        </w:rPr>
        <w:t>,</w:t>
      </w:r>
      <w:r w:rsidR="00C3474C">
        <w:rPr>
          <w:rFonts w:ascii="Verdana" w:hAnsi="Verdana" w:cs="Arial"/>
          <w:b/>
          <w:bCs/>
        </w:rPr>
        <w:t>1</w:t>
      </w:r>
      <w:r w:rsidRPr="00DF2F99">
        <w:rPr>
          <w:rFonts w:ascii="Verdana" w:hAnsi="Verdana" w:cs="Arial"/>
          <w:b/>
          <w:bCs/>
        </w:rPr>
        <w:t>%</w:t>
      </w:r>
    </w:p>
    <w:p w14:paraId="5C557BAF" w14:textId="77777777" w:rsidR="00DF2F99" w:rsidRPr="00ED45AC" w:rsidRDefault="00DF2F99" w:rsidP="00ED45AC">
      <w:pPr>
        <w:jc w:val="both"/>
        <w:rPr>
          <w:rFonts w:ascii="Verdana" w:hAnsi="Verdana" w:cs="Arial"/>
          <w:sz w:val="18"/>
          <w:szCs w:val="18"/>
        </w:rPr>
      </w:pPr>
    </w:p>
    <w:p w14:paraId="6D4B4E61" w14:textId="6240A459" w:rsidR="00DF2F99" w:rsidRPr="00ED45AC" w:rsidRDefault="00DF2F99" w:rsidP="00ED45AC">
      <w:pPr>
        <w:jc w:val="both"/>
        <w:rPr>
          <w:rFonts w:ascii="Verdana" w:hAnsi="Verdana" w:cs="Arial"/>
          <w:sz w:val="18"/>
          <w:szCs w:val="18"/>
        </w:rPr>
      </w:pPr>
      <w:r w:rsidRPr="00ED45AC">
        <w:rPr>
          <w:rFonts w:ascii="Verdana" w:hAnsi="Verdana" w:cs="Arial"/>
          <w:sz w:val="18"/>
          <w:szCs w:val="18"/>
        </w:rPr>
        <w:t xml:space="preserve">The GDP </w:t>
      </w:r>
      <w:bookmarkStart w:id="0" w:name="_Hlk134712300"/>
      <w:r w:rsidRPr="00ED45AC">
        <w:rPr>
          <w:rFonts w:ascii="Verdana" w:hAnsi="Verdana" w:cs="Arial"/>
          <w:sz w:val="18"/>
          <w:szCs w:val="18"/>
        </w:rPr>
        <w:t xml:space="preserve">growth rate </w:t>
      </w:r>
      <w:bookmarkEnd w:id="0"/>
      <w:r w:rsidR="0022346F" w:rsidRPr="00ED45AC">
        <w:rPr>
          <w:rFonts w:ascii="Verdana" w:hAnsi="Verdana" w:cs="Arial"/>
          <w:sz w:val="18"/>
          <w:szCs w:val="18"/>
        </w:rPr>
        <w:t xml:space="preserve">in real terms during the </w:t>
      </w:r>
      <w:r w:rsidR="009616FE">
        <w:rPr>
          <w:rFonts w:ascii="Verdana" w:hAnsi="Verdana" w:cs="Arial"/>
          <w:sz w:val="18"/>
          <w:szCs w:val="18"/>
        </w:rPr>
        <w:t>fourth</w:t>
      </w:r>
      <w:r w:rsidR="0022346F" w:rsidRPr="00ED45AC">
        <w:rPr>
          <w:rFonts w:ascii="Verdana" w:hAnsi="Verdana" w:cs="Arial"/>
          <w:sz w:val="18"/>
          <w:szCs w:val="18"/>
        </w:rPr>
        <w:t xml:space="preserve"> quarter of 2023 is positive and it is estimated at </w:t>
      </w:r>
      <w:r w:rsidR="00BC58BB">
        <w:rPr>
          <w:rFonts w:ascii="Verdana" w:hAnsi="Verdana" w:cs="Arial"/>
          <w:sz w:val="18"/>
          <w:szCs w:val="18"/>
        </w:rPr>
        <w:t>2</w:t>
      </w:r>
      <w:r w:rsidR="0022346F" w:rsidRPr="00ED45AC">
        <w:rPr>
          <w:rFonts w:ascii="Verdana" w:hAnsi="Verdana" w:cs="Arial"/>
          <w:sz w:val="18"/>
          <w:szCs w:val="18"/>
        </w:rPr>
        <w:t>,</w:t>
      </w:r>
      <w:r w:rsidR="00C3474C">
        <w:rPr>
          <w:rFonts w:ascii="Verdana" w:hAnsi="Verdana" w:cs="Arial"/>
          <w:sz w:val="18"/>
          <w:szCs w:val="18"/>
        </w:rPr>
        <w:t>1</w:t>
      </w:r>
      <w:r w:rsidR="0022346F" w:rsidRPr="00ED45AC">
        <w:rPr>
          <w:rFonts w:ascii="Verdana" w:hAnsi="Verdana" w:cs="Arial"/>
          <w:sz w:val="18"/>
          <w:szCs w:val="18"/>
        </w:rPr>
        <w:t xml:space="preserve">% over the corresponding quarter of 2022. Based on seasonally and working day adjusted data, GDP growth rate in real terms is estimated at </w:t>
      </w:r>
      <w:r w:rsidR="00BC58BB">
        <w:rPr>
          <w:rFonts w:ascii="Verdana" w:hAnsi="Verdana" w:cs="Arial"/>
          <w:sz w:val="18"/>
          <w:szCs w:val="18"/>
        </w:rPr>
        <w:t>2</w:t>
      </w:r>
      <w:r w:rsidR="0022346F" w:rsidRPr="00ED45AC">
        <w:rPr>
          <w:rFonts w:ascii="Verdana" w:hAnsi="Verdana" w:cs="Arial"/>
          <w:sz w:val="18"/>
          <w:szCs w:val="18"/>
        </w:rPr>
        <w:t>,</w:t>
      </w:r>
      <w:r w:rsidR="00BC58BB">
        <w:rPr>
          <w:rFonts w:ascii="Verdana" w:hAnsi="Verdana" w:cs="Arial"/>
          <w:sz w:val="18"/>
          <w:szCs w:val="18"/>
        </w:rPr>
        <w:t>2</w:t>
      </w:r>
      <w:r w:rsidR="0022346F" w:rsidRPr="00ED45AC">
        <w:rPr>
          <w:rFonts w:ascii="Verdana" w:hAnsi="Verdana" w:cs="Arial"/>
          <w:sz w:val="18"/>
          <w:szCs w:val="18"/>
        </w:rPr>
        <w:t>%.</w:t>
      </w:r>
    </w:p>
    <w:p w14:paraId="663F5B87" w14:textId="307E8D9B" w:rsidR="00972CA0" w:rsidRDefault="00463214" w:rsidP="00ED45AC">
      <w:pPr>
        <w:jc w:val="both"/>
        <w:rPr>
          <w:rFonts w:ascii="Verdana" w:hAnsi="Verdana" w:cs="Arial"/>
          <w:sz w:val="18"/>
          <w:szCs w:val="18"/>
        </w:rPr>
      </w:pPr>
      <w:r w:rsidRPr="00ED45AC">
        <w:rPr>
          <w:rFonts w:ascii="Verdana" w:hAnsi="Verdana" w:cs="Arial"/>
          <w:sz w:val="18"/>
          <w:szCs w:val="18"/>
        </w:rPr>
        <w:tab/>
      </w:r>
    </w:p>
    <w:p w14:paraId="2646D536" w14:textId="77777777" w:rsidR="008E3716" w:rsidRPr="00ED45AC" w:rsidRDefault="008E3716" w:rsidP="00ED45AC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27A72E99" w14:textId="5272B3D0" w:rsidR="00972CA0" w:rsidRPr="00ED45AC" w:rsidRDefault="00834336" w:rsidP="00ED45AC">
      <w:pPr>
        <w:jc w:val="center"/>
        <w:rPr>
          <w:rFonts w:ascii="Verdana" w:eastAsia="Malgun Gothic" w:hAnsi="Verdana" w:cs="Arial"/>
          <w:sz w:val="18"/>
          <w:szCs w:val="18"/>
        </w:rPr>
      </w:pPr>
      <w:r>
        <w:rPr>
          <w:rFonts w:ascii="Verdana" w:eastAsia="Malgun Gothic" w:hAnsi="Verdana" w:cs="Arial"/>
          <w:noProof/>
          <w:sz w:val="18"/>
          <w:szCs w:val="18"/>
        </w:rPr>
        <w:drawing>
          <wp:inline distT="0" distB="0" distL="0" distR="0" wp14:anchorId="54ED40DB" wp14:editId="37A1BA3E">
            <wp:extent cx="6071870" cy="4578350"/>
            <wp:effectExtent l="0" t="0" r="508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1870" cy="457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80B9B0" w14:textId="4DF06445" w:rsidR="00972CA0" w:rsidRPr="00ED45AC" w:rsidRDefault="00972CA0" w:rsidP="00ED45AC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63CF58DF" w14:textId="77777777" w:rsidR="0015344C" w:rsidRPr="00ED45AC" w:rsidRDefault="0015344C" w:rsidP="00ED45AC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766074F5" w14:textId="22F594BB" w:rsidR="002A4FA3" w:rsidRPr="0015344C" w:rsidRDefault="000C290F" w:rsidP="00ED45AC">
      <w:pPr>
        <w:jc w:val="both"/>
        <w:rPr>
          <w:rFonts w:ascii="Verdana" w:hAnsi="Verdana" w:cs="Arial"/>
          <w:sz w:val="18"/>
          <w:szCs w:val="18"/>
        </w:rPr>
      </w:pPr>
      <w:r w:rsidRPr="00ED45AC">
        <w:rPr>
          <w:rFonts w:ascii="Verdana" w:hAnsi="Verdana" w:cs="Arial"/>
          <w:sz w:val="18"/>
          <w:szCs w:val="18"/>
        </w:rPr>
        <w:t>Regarding the production approach for the estimation of GDP, t</w:t>
      </w:r>
      <w:r w:rsidR="002A4FA3" w:rsidRPr="00ED45AC">
        <w:rPr>
          <w:rFonts w:ascii="Verdana" w:hAnsi="Verdana" w:cs="Arial"/>
          <w:sz w:val="18"/>
          <w:szCs w:val="18"/>
        </w:rPr>
        <w:t>he positive</w:t>
      </w:r>
      <w:r w:rsidRPr="00ED45AC">
        <w:rPr>
          <w:rFonts w:ascii="Verdana" w:hAnsi="Verdana" w:cs="Arial"/>
          <w:sz w:val="18"/>
          <w:szCs w:val="18"/>
        </w:rPr>
        <w:t xml:space="preserve"> </w:t>
      </w:r>
      <w:r w:rsidR="002A4FA3" w:rsidRPr="00ED45AC">
        <w:rPr>
          <w:rFonts w:ascii="Verdana" w:hAnsi="Verdana" w:cs="Arial"/>
          <w:sz w:val="18"/>
          <w:szCs w:val="18"/>
        </w:rPr>
        <w:t>growth rate is mainly attributed to the sectors: "Hotels and Restaurants", "Transport and Storage",</w:t>
      </w:r>
      <w:r w:rsidR="001C265A">
        <w:rPr>
          <w:rFonts w:ascii="Verdana" w:hAnsi="Verdana" w:cs="Arial"/>
          <w:sz w:val="18"/>
          <w:szCs w:val="18"/>
        </w:rPr>
        <w:t xml:space="preserve"> </w:t>
      </w:r>
      <w:r w:rsidR="001C265A" w:rsidRPr="00ED45AC">
        <w:rPr>
          <w:rFonts w:ascii="Verdana" w:hAnsi="Verdana" w:cs="Arial"/>
          <w:sz w:val="18"/>
          <w:szCs w:val="18"/>
        </w:rPr>
        <w:t>"Con</w:t>
      </w:r>
      <w:r w:rsidR="001C265A">
        <w:rPr>
          <w:rFonts w:ascii="Verdana" w:hAnsi="Verdana" w:cs="Arial"/>
          <w:sz w:val="18"/>
          <w:szCs w:val="18"/>
        </w:rPr>
        <w:t>struction</w:t>
      </w:r>
      <w:r w:rsidR="001C265A" w:rsidRPr="00ED45AC">
        <w:rPr>
          <w:rFonts w:ascii="Verdana" w:hAnsi="Verdana" w:cs="Arial"/>
          <w:sz w:val="18"/>
          <w:szCs w:val="18"/>
        </w:rPr>
        <w:t xml:space="preserve">", </w:t>
      </w:r>
      <w:r w:rsidR="002A4FA3" w:rsidRPr="00ED45AC">
        <w:rPr>
          <w:rFonts w:ascii="Verdana" w:hAnsi="Verdana" w:cs="Arial"/>
          <w:sz w:val="18"/>
          <w:szCs w:val="18"/>
        </w:rPr>
        <w:t>"Information and Communication", "Wholesale and Retail Trade, Repair of Motor Vehicles</w:t>
      </w:r>
      <w:r w:rsidR="000C7107">
        <w:rPr>
          <w:rFonts w:ascii="Verdana" w:hAnsi="Verdana" w:cs="Arial"/>
          <w:sz w:val="18"/>
          <w:szCs w:val="18"/>
        </w:rPr>
        <w:t xml:space="preserve">, </w:t>
      </w:r>
      <w:r w:rsidR="002A4FA3" w:rsidRPr="00ED45AC">
        <w:rPr>
          <w:rFonts w:ascii="Verdana" w:hAnsi="Verdana" w:cs="Arial"/>
          <w:sz w:val="18"/>
          <w:szCs w:val="18"/>
        </w:rPr>
        <w:t>"</w:t>
      </w:r>
      <w:r w:rsidR="00C3474C" w:rsidRPr="00C3474C">
        <w:rPr>
          <w:rFonts w:ascii="Verdana" w:hAnsi="Verdana" w:cs="Arial"/>
          <w:sz w:val="18"/>
          <w:szCs w:val="18"/>
        </w:rPr>
        <w:t>Arts, entertainment and recreation, repair of household goods and other services</w:t>
      </w:r>
      <w:r w:rsidR="00C3474C" w:rsidRPr="00ED45AC">
        <w:rPr>
          <w:rFonts w:ascii="Verdana" w:hAnsi="Verdana" w:cs="Arial"/>
          <w:sz w:val="18"/>
          <w:szCs w:val="18"/>
        </w:rPr>
        <w:t>"</w:t>
      </w:r>
      <w:r w:rsidR="00C3474C">
        <w:rPr>
          <w:rFonts w:ascii="Verdana" w:hAnsi="Verdana" w:cs="Arial"/>
          <w:sz w:val="18"/>
          <w:szCs w:val="18"/>
        </w:rPr>
        <w:t>.</w:t>
      </w:r>
      <w:r w:rsidR="00270E11" w:rsidRPr="00270E11">
        <w:rPr>
          <w:rFonts w:ascii="Verdana" w:hAnsi="Verdana" w:cs="Arial"/>
          <w:sz w:val="18"/>
          <w:szCs w:val="18"/>
        </w:rPr>
        <w:t xml:space="preserve"> </w:t>
      </w:r>
      <w:r w:rsidR="00270E11" w:rsidRPr="0015344C">
        <w:rPr>
          <w:rFonts w:ascii="Verdana" w:hAnsi="Verdana" w:cs="Arial"/>
          <w:sz w:val="18"/>
          <w:szCs w:val="18"/>
        </w:rPr>
        <w:t>(</w:t>
      </w:r>
      <w:r w:rsidR="00270E11">
        <w:rPr>
          <w:rFonts w:ascii="Verdana" w:hAnsi="Verdana" w:cs="Arial"/>
          <w:sz w:val="18"/>
          <w:szCs w:val="18"/>
        </w:rPr>
        <w:t>Table</w:t>
      </w:r>
      <w:r w:rsidR="00270E11" w:rsidRPr="0015344C">
        <w:rPr>
          <w:rFonts w:ascii="Verdana" w:hAnsi="Verdana" w:cs="Arial"/>
          <w:sz w:val="18"/>
          <w:szCs w:val="18"/>
        </w:rPr>
        <w:t xml:space="preserve"> 1)</w:t>
      </w:r>
    </w:p>
    <w:p w14:paraId="1050D5FA" w14:textId="3F6E0DB5" w:rsidR="00972CA0" w:rsidRPr="00ED45AC" w:rsidRDefault="00972CA0" w:rsidP="00ED45AC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591E43EF" w14:textId="77777777" w:rsidR="003671CE" w:rsidRDefault="003671CE" w:rsidP="00ED45AC">
      <w:pPr>
        <w:jc w:val="both"/>
        <w:rPr>
          <w:rFonts w:ascii="Verdana" w:eastAsia="Malgun Gothic" w:hAnsi="Verdana" w:cs="Arial"/>
          <w:sz w:val="18"/>
          <w:szCs w:val="18"/>
        </w:rPr>
      </w:pPr>
    </w:p>
    <w:tbl>
      <w:tblPr>
        <w:tblStyle w:val="TableGrid"/>
        <w:tblW w:w="9582" w:type="dxa"/>
        <w:jc w:val="center"/>
        <w:tblLayout w:type="fixed"/>
        <w:tblLook w:val="04A0" w:firstRow="1" w:lastRow="0" w:firstColumn="1" w:lastColumn="0" w:noHBand="0" w:noVBand="1"/>
      </w:tblPr>
      <w:tblGrid>
        <w:gridCol w:w="2382"/>
        <w:gridCol w:w="2381"/>
        <w:gridCol w:w="2381"/>
        <w:gridCol w:w="2438"/>
      </w:tblGrid>
      <w:tr w:rsidR="00A453EB" w:rsidRPr="00FD4722" w14:paraId="6476A121" w14:textId="77777777" w:rsidTr="00390A67">
        <w:trPr>
          <w:trHeight w:val="284"/>
          <w:jc w:val="center"/>
        </w:trPr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F37D50" w14:textId="77777777" w:rsidR="00A453EB" w:rsidRPr="00FD4722" w:rsidRDefault="00A453EB" w:rsidP="00390A67">
            <w:pPr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/>
                <w:color w:val="2F5496"/>
                <w:sz w:val="18"/>
                <w:szCs w:val="18"/>
              </w:rPr>
              <w:lastRenderedPageBreak/>
              <w:t>Table</w:t>
            </w:r>
            <w:r w:rsidRPr="00FD4722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 xml:space="preserve"> 1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1B5914" w14:textId="77777777" w:rsidR="00A453EB" w:rsidRPr="00FD4722" w:rsidRDefault="00A453EB" w:rsidP="00390A67">
            <w:pPr>
              <w:jc w:val="center"/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352737" w14:textId="77777777" w:rsidR="00A453EB" w:rsidRPr="00FD4722" w:rsidRDefault="00A453EB" w:rsidP="00390A67">
            <w:pPr>
              <w:jc w:val="center"/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2E1F60" w14:textId="77777777" w:rsidR="00A453EB" w:rsidRPr="00FD4722" w:rsidRDefault="00A453EB" w:rsidP="00390A67">
            <w:pPr>
              <w:jc w:val="center"/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</w:p>
        </w:tc>
      </w:tr>
      <w:tr w:rsidR="00A453EB" w:rsidRPr="00A453EB" w14:paraId="770D6C9B" w14:textId="77777777" w:rsidTr="00A453EB">
        <w:trPr>
          <w:trHeight w:val="397"/>
          <w:jc w:val="center"/>
        </w:trPr>
        <w:tc>
          <w:tcPr>
            <w:tcW w:w="2382" w:type="dxa"/>
            <w:vMerge w:val="restart"/>
            <w:tcBorders>
              <w:top w:val="single" w:sz="4" w:space="0" w:color="2F5496" w:themeColor="accent1" w:themeShade="BF"/>
              <w:left w:val="nil"/>
              <w:right w:val="nil"/>
            </w:tcBorders>
            <w:vAlign w:val="center"/>
          </w:tcPr>
          <w:p w14:paraId="36106779" w14:textId="77777777" w:rsidR="00A453EB" w:rsidRPr="00FD4722" w:rsidRDefault="00A453EB" w:rsidP="00390A67">
            <w:pPr>
              <w:jc w:val="center"/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  <w:r w:rsidRPr="00ED45AC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 xml:space="preserve">Economic </w:t>
            </w:r>
            <w:proofErr w:type="spellStart"/>
            <w:r w:rsidRPr="00ED45AC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Activity</w:t>
            </w:r>
            <w:proofErr w:type="spellEnd"/>
            <w:r w:rsidRPr="00ED45AC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 xml:space="preserve"> </w:t>
            </w:r>
            <w:r w:rsidRPr="00736686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(NACE Rev.2)</w:t>
            </w:r>
          </w:p>
        </w:tc>
        <w:tc>
          <w:tcPr>
            <w:tcW w:w="7200" w:type="dxa"/>
            <w:gridSpan w:val="3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  <w:right w:val="nil"/>
            </w:tcBorders>
            <w:vAlign w:val="center"/>
          </w:tcPr>
          <w:p w14:paraId="2E5E69CB" w14:textId="77777777" w:rsidR="00A453EB" w:rsidRPr="00A453EB" w:rsidRDefault="00A453EB" w:rsidP="00390A67">
            <w:pPr>
              <w:jc w:val="center"/>
              <w:rPr>
                <w:rFonts w:ascii="Verdana" w:hAnsi="Verdana" w:cs="Arial"/>
                <w:b/>
                <w:color w:val="2F5496"/>
                <w:sz w:val="18"/>
                <w:szCs w:val="18"/>
              </w:rPr>
            </w:pPr>
            <w:r w:rsidRPr="00A453EB">
              <w:rPr>
                <w:rFonts w:ascii="Verdana" w:hAnsi="Verdana" w:cs="Arial"/>
                <w:b/>
                <w:color w:val="2F5496"/>
                <w:sz w:val="18"/>
                <w:szCs w:val="18"/>
              </w:rPr>
              <w:t xml:space="preserve">GDP in </w:t>
            </w:r>
            <w:r>
              <w:rPr>
                <w:rFonts w:ascii="Verdana" w:hAnsi="Verdana" w:cs="Arial"/>
                <w:b/>
                <w:color w:val="2F5496"/>
                <w:sz w:val="18"/>
                <w:szCs w:val="18"/>
              </w:rPr>
              <w:t>V</w:t>
            </w:r>
            <w:r w:rsidRPr="00A453EB">
              <w:rPr>
                <w:rFonts w:ascii="Verdana" w:hAnsi="Verdana" w:cs="Arial"/>
                <w:b/>
                <w:color w:val="2F5496"/>
                <w:sz w:val="18"/>
                <w:szCs w:val="18"/>
              </w:rPr>
              <w:t xml:space="preserve">olume </w:t>
            </w:r>
            <w:r>
              <w:rPr>
                <w:rFonts w:ascii="Verdana" w:hAnsi="Verdana" w:cs="Arial"/>
                <w:b/>
                <w:color w:val="2F5496"/>
                <w:sz w:val="18"/>
                <w:szCs w:val="18"/>
              </w:rPr>
              <w:t>T</w:t>
            </w:r>
            <w:r w:rsidRPr="00A453EB">
              <w:rPr>
                <w:rFonts w:ascii="Verdana" w:hAnsi="Verdana" w:cs="Arial"/>
                <w:b/>
                <w:color w:val="2F5496"/>
                <w:sz w:val="18"/>
                <w:szCs w:val="18"/>
              </w:rPr>
              <w:t>erms Seasonally and Working Day Adjusted</w:t>
            </w:r>
          </w:p>
        </w:tc>
      </w:tr>
      <w:tr w:rsidR="00A453EB" w:rsidRPr="00FD4722" w14:paraId="0727CE04" w14:textId="77777777" w:rsidTr="00390A67">
        <w:trPr>
          <w:trHeight w:val="340"/>
          <w:jc w:val="center"/>
        </w:trPr>
        <w:tc>
          <w:tcPr>
            <w:tcW w:w="2382" w:type="dxa"/>
            <w:vMerge/>
            <w:tcBorders>
              <w:left w:val="nil"/>
              <w:right w:val="nil"/>
            </w:tcBorders>
            <w:vAlign w:val="center"/>
          </w:tcPr>
          <w:p w14:paraId="590C6AAC" w14:textId="77777777" w:rsidR="00A453EB" w:rsidRPr="00A453EB" w:rsidRDefault="00A453EB" w:rsidP="00390A67">
            <w:pPr>
              <w:jc w:val="center"/>
              <w:rPr>
                <w:rFonts w:ascii="Verdana" w:hAnsi="Verdana" w:cs="Arial"/>
                <w:b/>
                <w:color w:val="2F5496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2F5496" w:themeColor="accent1" w:themeShade="BF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4C6525C5" w14:textId="77777777" w:rsidR="00A453EB" w:rsidRPr="00FD4722" w:rsidRDefault="00A453EB" w:rsidP="00390A67">
            <w:pPr>
              <w:jc w:val="center"/>
              <w:rPr>
                <w:rFonts w:ascii="Verdana" w:hAnsi="Verdana" w:cs="Arial"/>
                <w:bCs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Cs/>
                <w:color w:val="2F5496"/>
                <w:sz w:val="18"/>
                <w:szCs w:val="18"/>
              </w:rPr>
              <w:t>Euro</w:t>
            </w:r>
            <w:r w:rsidRPr="00FD4722">
              <w:rPr>
                <w:rFonts w:ascii="Verdana" w:hAnsi="Verdana" w:cs="Arial"/>
                <w:bCs/>
                <w:color w:val="2F5496"/>
                <w:sz w:val="18"/>
                <w:szCs w:val="18"/>
                <w:lang w:val="el-GR"/>
              </w:rPr>
              <w:t xml:space="preserve"> (</w:t>
            </w:r>
            <w:r>
              <w:rPr>
                <w:rFonts w:ascii="Verdana" w:hAnsi="Verdana" w:cs="Arial"/>
                <w:bCs/>
                <w:color w:val="2F5496"/>
                <w:sz w:val="18"/>
                <w:szCs w:val="18"/>
              </w:rPr>
              <w:t>million</w:t>
            </w:r>
            <w:r w:rsidRPr="00FD4722">
              <w:rPr>
                <w:rFonts w:ascii="Verdana" w:hAnsi="Verdana" w:cs="Arial"/>
                <w:bCs/>
                <w:color w:val="2F5496"/>
                <w:sz w:val="18"/>
                <w:szCs w:val="18"/>
                <w:lang w:val="el-GR"/>
              </w:rPr>
              <w:t>)</w:t>
            </w:r>
          </w:p>
        </w:tc>
        <w:tc>
          <w:tcPr>
            <w:tcW w:w="4819" w:type="dxa"/>
            <w:gridSpan w:val="2"/>
            <w:tcBorders>
              <w:top w:val="single" w:sz="4" w:space="0" w:color="2F5496" w:themeColor="accent1" w:themeShade="BF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5F66D5E0" w14:textId="77777777" w:rsidR="00A453EB" w:rsidRPr="00FD4722" w:rsidRDefault="00A453EB" w:rsidP="00390A67">
            <w:pPr>
              <w:jc w:val="center"/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Cs/>
                <w:color w:val="2F5496"/>
                <w:sz w:val="18"/>
                <w:szCs w:val="18"/>
              </w:rPr>
              <w:t>Change</w:t>
            </w:r>
            <w:r w:rsidRPr="00FD4722">
              <w:rPr>
                <w:rFonts w:ascii="Verdana" w:hAnsi="Verdana" w:cs="Arial"/>
                <w:bCs/>
                <w:color w:val="2F5496"/>
                <w:sz w:val="18"/>
                <w:szCs w:val="18"/>
                <w:lang w:val="el-GR"/>
              </w:rPr>
              <w:t xml:space="preserve"> (%)</w:t>
            </w:r>
          </w:p>
        </w:tc>
      </w:tr>
      <w:tr w:rsidR="00A453EB" w:rsidRPr="00FD4722" w14:paraId="4524ADAD" w14:textId="77777777" w:rsidTr="00390A67">
        <w:trPr>
          <w:trHeight w:val="510"/>
          <w:jc w:val="center"/>
        </w:trPr>
        <w:tc>
          <w:tcPr>
            <w:tcW w:w="2382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1D17288D" w14:textId="77777777" w:rsidR="00A453EB" w:rsidRPr="00FD4722" w:rsidRDefault="00A453EB" w:rsidP="00390A67">
            <w:pPr>
              <w:jc w:val="center"/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2381" w:type="dxa"/>
            <w:tcBorders>
              <w:top w:val="single" w:sz="4" w:space="0" w:color="2F5496" w:themeColor="accent1" w:themeShade="BF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5C7EFDB1" w14:textId="4520F69B" w:rsidR="006C70E6" w:rsidRDefault="006C70E6" w:rsidP="00390A67">
            <w:pPr>
              <w:jc w:val="center"/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/>
                <w:color w:val="2F5496"/>
                <w:sz w:val="18"/>
                <w:szCs w:val="18"/>
              </w:rPr>
              <w:t>Q</w:t>
            </w:r>
            <w:r w:rsidR="009616FE">
              <w:rPr>
                <w:rFonts w:ascii="Verdana" w:hAnsi="Verdana" w:cs="Arial"/>
                <w:b/>
                <w:color w:val="2F5496"/>
                <w:sz w:val="18"/>
                <w:szCs w:val="18"/>
              </w:rPr>
              <w:t>4</w:t>
            </w:r>
            <w:r w:rsidR="00A453EB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 xml:space="preserve"> </w:t>
            </w:r>
          </w:p>
          <w:p w14:paraId="1C7B6C70" w14:textId="01A971CA" w:rsidR="00A453EB" w:rsidRPr="00FD4722" w:rsidRDefault="00A453EB" w:rsidP="00390A67">
            <w:pPr>
              <w:jc w:val="center"/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  <w:r w:rsidRPr="00FD4722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2023</w:t>
            </w:r>
          </w:p>
        </w:tc>
        <w:tc>
          <w:tcPr>
            <w:tcW w:w="2381" w:type="dxa"/>
            <w:tcBorders>
              <w:top w:val="single" w:sz="4" w:space="0" w:color="2F5496" w:themeColor="accent1" w:themeShade="BF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79E69560" w14:textId="79BEA0CD" w:rsidR="006C70E6" w:rsidRDefault="006C70E6" w:rsidP="00390A67">
            <w:pPr>
              <w:jc w:val="center"/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/>
                <w:color w:val="2F5496"/>
                <w:sz w:val="18"/>
                <w:szCs w:val="18"/>
              </w:rPr>
              <w:t>Q</w:t>
            </w:r>
            <w:r w:rsidR="009616FE">
              <w:rPr>
                <w:rFonts w:ascii="Verdana" w:hAnsi="Verdana" w:cs="Arial"/>
                <w:b/>
                <w:color w:val="2F5496"/>
                <w:sz w:val="18"/>
                <w:szCs w:val="18"/>
              </w:rPr>
              <w:t>4</w:t>
            </w:r>
            <w:r w:rsidR="00A453EB" w:rsidRPr="00FD4722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 xml:space="preserve"> </w:t>
            </w:r>
          </w:p>
          <w:p w14:paraId="45FBB58A" w14:textId="7C94F777" w:rsidR="00A453EB" w:rsidRPr="00FD4722" w:rsidRDefault="00A453EB" w:rsidP="00390A67">
            <w:pPr>
              <w:jc w:val="center"/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  <w:r w:rsidRPr="00FD4722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2023/22</w:t>
            </w:r>
          </w:p>
        </w:tc>
        <w:tc>
          <w:tcPr>
            <w:tcW w:w="2438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vAlign w:val="center"/>
          </w:tcPr>
          <w:p w14:paraId="3247389B" w14:textId="270ADA4A" w:rsidR="006C70E6" w:rsidRDefault="006C70E6" w:rsidP="00390A67">
            <w:pPr>
              <w:jc w:val="center"/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/>
                <w:color w:val="2F5496"/>
                <w:sz w:val="18"/>
                <w:szCs w:val="18"/>
              </w:rPr>
              <w:t>Q</w:t>
            </w:r>
            <w:r w:rsidR="009616FE">
              <w:rPr>
                <w:rFonts w:ascii="Verdana" w:hAnsi="Verdana" w:cs="Arial"/>
                <w:b/>
                <w:color w:val="2F5496"/>
                <w:sz w:val="18"/>
                <w:szCs w:val="18"/>
              </w:rPr>
              <w:t>4</w:t>
            </w:r>
            <w:r w:rsidR="00A453EB" w:rsidRPr="00FD4722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 xml:space="preserve"> 2023/</w:t>
            </w:r>
            <w:r w:rsidR="00A453EB">
              <w:rPr>
                <w:rFonts w:ascii="Verdana" w:hAnsi="Verdana" w:cs="Arial"/>
                <w:b/>
                <w:color w:val="2F5496"/>
                <w:sz w:val="18"/>
                <w:szCs w:val="18"/>
              </w:rPr>
              <w:t xml:space="preserve"> </w:t>
            </w:r>
            <w:r w:rsidR="00A453EB" w:rsidRPr="00FD4722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 xml:space="preserve">    </w:t>
            </w:r>
          </w:p>
          <w:p w14:paraId="64705974" w14:textId="4FE690E8" w:rsidR="00A453EB" w:rsidRPr="00BC58BB" w:rsidRDefault="006C70E6" w:rsidP="00390A67">
            <w:pPr>
              <w:jc w:val="center"/>
              <w:rPr>
                <w:rFonts w:ascii="Verdana" w:hAnsi="Verdana" w:cs="Arial"/>
                <w:b/>
                <w:color w:val="2F5496"/>
                <w:sz w:val="18"/>
                <w:szCs w:val="18"/>
              </w:rPr>
            </w:pPr>
            <w:r>
              <w:rPr>
                <w:rFonts w:ascii="Verdana" w:hAnsi="Verdana" w:cs="Arial"/>
                <w:b/>
                <w:color w:val="2F5496"/>
                <w:sz w:val="18"/>
                <w:szCs w:val="18"/>
              </w:rPr>
              <w:t>Q</w:t>
            </w:r>
            <w:r w:rsidR="009616FE">
              <w:rPr>
                <w:rFonts w:ascii="Verdana" w:hAnsi="Verdana" w:cs="Arial"/>
                <w:b/>
                <w:color w:val="2F5496"/>
                <w:sz w:val="18"/>
                <w:szCs w:val="18"/>
              </w:rPr>
              <w:t>3</w:t>
            </w:r>
            <w:r w:rsidR="00A453EB" w:rsidRPr="00FD4722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 xml:space="preserve"> 202</w:t>
            </w:r>
            <w:r w:rsidR="00BC58BB">
              <w:rPr>
                <w:rFonts w:ascii="Verdana" w:hAnsi="Verdana" w:cs="Arial"/>
                <w:b/>
                <w:color w:val="2F5496"/>
                <w:sz w:val="18"/>
                <w:szCs w:val="18"/>
              </w:rPr>
              <w:t>3</w:t>
            </w:r>
          </w:p>
        </w:tc>
      </w:tr>
      <w:tr w:rsidR="00C3474C" w:rsidRPr="00FD4722" w14:paraId="51469AB1" w14:textId="77777777" w:rsidTr="00390A67">
        <w:trPr>
          <w:trHeight w:val="510"/>
          <w:jc w:val="center"/>
        </w:trPr>
        <w:tc>
          <w:tcPr>
            <w:tcW w:w="2382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vAlign w:val="center"/>
          </w:tcPr>
          <w:p w14:paraId="2B27AD53" w14:textId="77777777" w:rsidR="00C3474C" w:rsidRPr="00FD4722" w:rsidRDefault="00C3474C" w:rsidP="00C3474C">
            <w:pPr>
              <w:rPr>
                <w:rFonts w:ascii="Verdana" w:hAnsi="Verdana" w:cs="Arial"/>
                <w:color w:val="2F5496"/>
                <w:sz w:val="18"/>
                <w:szCs w:val="18"/>
              </w:rPr>
            </w:pPr>
            <w:proofErr w:type="spellStart"/>
            <w:r w:rsidRPr="00A453EB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Gross</w:t>
            </w:r>
            <w:proofErr w:type="spellEnd"/>
            <w:r w:rsidRPr="00A453EB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 xml:space="preserve"> </w:t>
            </w:r>
            <w:r>
              <w:rPr>
                <w:rFonts w:ascii="Verdana" w:hAnsi="Verdana" w:cs="Arial"/>
                <w:b/>
                <w:color w:val="2F5496"/>
                <w:sz w:val="18"/>
                <w:szCs w:val="18"/>
              </w:rPr>
              <w:t>D</w:t>
            </w:r>
            <w:proofErr w:type="spellStart"/>
            <w:r w:rsidRPr="00A453EB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omestic</w:t>
            </w:r>
            <w:proofErr w:type="spellEnd"/>
            <w:r w:rsidRPr="00A453EB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 xml:space="preserve"> </w:t>
            </w:r>
            <w:r>
              <w:rPr>
                <w:rFonts w:ascii="Verdana" w:hAnsi="Verdana" w:cs="Arial"/>
                <w:b/>
                <w:color w:val="2F5496"/>
                <w:sz w:val="18"/>
                <w:szCs w:val="18"/>
              </w:rPr>
              <w:t>P</w:t>
            </w:r>
            <w:proofErr w:type="spellStart"/>
            <w:r w:rsidRPr="00A453EB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roduct</w:t>
            </w:r>
            <w:proofErr w:type="spellEnd"/>
            <w:r w:rsidRPr="00A453EB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 xml:space="preserve"> (GDP)</w:t>
            </w:r>
          </w:p>
        </w:tc>
        <w:tc>
          <w:tcPr>
            <w:tcW w:w="2381" w:type="dxa"/>
            <w:tcBorders>
              <w:top w:val="single" w:sz="4" w:space="0" w:color="2F5496" w:themeColor="accent1" w:themeShade="BF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2C311D13" w14:textId="1B3108CB" w:rsidR="00C3474C" w:rsidRPr="00FD4722" w:rsidRDefault="00C3474C" w:rsidP="00C3474C">
            <w:pPr>
              <w:ind w:right="624"/>
              <w:jc w:val="right"/>
              <w:rPr>
                <w:rFonts w:ascii="Verdana" w:hAnsi="Verdana" w:cs="Arial"/>
                <w:b/>
                <w:color w:val="2F5496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6.487,2</w:t>
            </w:r>
          </w:p>
        </w:tc>
        <w:tc>
          <w:tcPr>
            <w:tcW w:w="2381" w:type="dxa"/>
            <w:tcBorders>
              <w:top w:val="single" w:sz="4" w:space="0" w:color="2F5496" w:themeColor="accent1" w:themeShade="BF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73352629" w14:textId="2D740137" w:rsidR="00C3474C" w:rsidRPr="00FD4722" w:rsidRDefault="00C3474C" w:rsidP="00C3474C">
            <w:pPr>
              <w:ind w:right="907"/>
              <w:jc w:val="right"/>
              <w:rPr>
                <w:rFonts w:ascii="Verdana" w:hAnsi="Verdana" w:cs="Arial"/>
                <w:b/>
                <w:color w:val="2F5496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2,2</w:t>
            </w:r>
          </w:p>
        </w:tc>
        <w:tc>
          <w:tcPr>
            <w:tcW w:w="2438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vAlign w:val="center"/>
          </w:tcPr>
          <w:p w14:paraId="5905DEF1" w14:textId="186688D9" w:rsidR="00C3474C" w:rsidRPr="00FD4722" w:rsidRDefault="00C3474C" w:rsidP="00C3474C">
            <w:pPr>
              <w:ind w:right="907"/>
              <w:jc w:val="right"/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0,6</w:t>
            </w:r>
          </w:p>
        </w:tc>
      </w:tr>
      <w:tr w:rsidR="00C3474C" w:rsidRPr="00FD4722" w14:paraId="26E7B1F4" w14:textId="77777777" w:rsidTr="00390A67">
        <w:trPr>
          <w:trHeight w:val="340"/>
          <w:jc w:val="center"/>
        </w:trPr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A95BA8" w14:textId="77777777" w:rsidR="00C3474C" w:rsidRPr="00FD4722" w:rsidRDefault="00C3474C" w:rsidP="00C3474C">
            <w:pPr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FD4722"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A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282E1054" w14:textId="432B0340" w:rsidR="00C3474C" w:rsidRPr="00FD4722" w:rsidRDefault="00C3474C" w:rsidP="00C3474C">
            <w:pPr>
              <w:ind w:right="624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94,0</w:t>
            </w:r>
          </w:p>
        </w:tc>
        <w:tc>
          <w:tcPr>
            <w:tcW w:w="2381" w:type="dxa"/>
            <w:tcBorders>
              <w:top w:val="nil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0A352742" w14:textId="565F7352" w:rsidR="00C3474C" w:rsidRPr="00FD4722" w:rsidRDefault="00C3474C" w:rsidP="00C3474C">
            <w:pPr>
              <w:ind w:right="907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1,0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2FC00E" w14:textId="309CA734" w:rsidR="00C3474C" w:rsidRPr="00FD4722" w:rsidRDefault="00C3474C" w:rsidP="00C3474C">
            <w:pPr>
              <w:ind w:right="907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0,3</w:t>
            </w:r>
          </w:p>
        </w:tc>
      </w:tr>
      <w:tr w:rsidR="00C3474C" w:rsidRPr="00FD4722" w14:paraId="262A2081" w14:textId="77777777" w:rsidTr="00390A67">
        <w:trPr>
          <w:trHeight w:val="340"/>
          <w:jc w:val="center"/>
        </w:trPr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A2A174" w14:textId="77777777" w:rsidR="00C3474C" w:rsidRPr="00FD4722" w:rsidRDefault="00C3474C" w:rsidP="00C3474C">
            <w:pPr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FD4722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B </w:t>
            </w: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-</w:t>
            </w:r>
            <w:r w:rsidRPr="00FD4722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 E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7718A160" w14:textId="64288E3B" w:rsidR="00C3474C" w:rsidRPr="00FD4722" w:rsidRDefault="00C3474C" w:rsidP="00C3474C">
            <w:pPr>
              <w:ind w:right="624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394,5</w:t>
            </w:r>
          </w:p>
        </w:tc>
        <w:tc>
          <w:tcPr>
            <w:tcW w:w="2381" w:type="dxa"/>
            <w:tcBorders>
              <w:top w:val="nil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06F3CF99" w14:textId="26D7F08D" w:rsidR="00C3474C" w:rsidRPr="00FD4722" w:rsidRDefault="00C3474C" w:rsidP="00C3474C">
            <w:pPr>
              <w:ind w:right="907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4,7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6FCD77" w14:textId="04C73C7A" w:rsidR="00C3474C" w:rsidRPr="00FD4722" w:rsidRDefault="00C3474C" w:rsidP="00C3474C">
            <w:pPr>
              <w:ind w:right="907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1,3</w:t>
            </w:r>
          </w:p>
        </w:tc>
      </w:tr>
      <w:tr w:rsidR="00C3474C" w:rsidRPr="00FD4722" w14:paraId="65B3E01E" w14:textId="77777777" w:rsidTr="00390A67">
        <w:trPr>
          <w:trHeight w:val="340"/>
          <w:jc w:val="center"/>
        </w:trPr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2DB946" w14:textId="77777777" w:rsidR="00C3474C" w:rsidRPr="00FD4722" w:rsidRDefault="00C3474C" w:rsidP="00C3474C">
            <w:pPr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FD4722"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C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2A29860D" w14:textId="02E5616D" w:rsidR="00C3474C" w:rsidRPr="00FD4722" w:rsidRDefault="00C3474C" w:rsidP="00C3474C">
            <w:pPr>
              <w:ind w:right="624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316,7</w:t>
            </w:r>
          </w:p>
        </w:tc>
        <w:tc>
          <w:tcPr>
            <w:tcW w:w="2381" w:type="dxa"/>
            <w:tcBorders>
              <w:top w:val="nil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16086F7A" w14:textId="453409F2" w:rsidR="00C3474C" w:rsidRPr="00FD4722" w:rsidRDefault="00C3474C" w:rsidP="00C3474C">
            <w:pPr>
              <w:ind w:right="907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2,4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A94B20" w14:textId="6A67CBD7" w:rsidR="00C3474C" w:rsidRPr="00FD4722" w:rsidRDefault="00C3474C" w:rsidP="00C3474C">
            <w:pPr>
              <w:ind w:right="907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1,5</w:t>
            </w:r>
          </w:p>
        </w:tc>
      </w:tr>
      <w:tr w:rsidR="00C3474C" w:rsidRPr="00FD4722" w14:paraId="3964B2AD" w14:textId="77777777" w:rsidTr="00390A67">
        <w:trPr>
          <w:trHeight w:val="340"/>
          <w:jc w:val="center"/>
        </w:trPr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A9C267" w14:textId="77777777" w:rsidR="00C3474C" w:rsidRPr="00FD4722" w:rsidRDefault="00C3474C" w:rsidP="00C3474C">
            <w:pPr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FD4722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F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4B93CBA6" w14:textId="34D74CF8" w:rsidR="00C3474C" w:rsidRPr="00FD4722" w:rsidRDefault="00C3474C" w:rsidP="00C3474C">
            <w:pPr>
              <w:ind w:right="624"/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355,1</w:t>
            </w:r>
          </w:p>
        </w:tc>
        <w:tc>
          <w:tcPr>
            <w:tcW w:w="2381" w:type="dxa"/>
            <w:tcBorders>
              <w:top w:val="nil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7FF87E29" w14:textId="786E4FA5" w:rsidR="00C3474C" w:rsidRPr="00FD4722" w:rsidRDefault="00C3474C" w:rsidP="00C3474C">
            <w:pPr>
              <w:ind w:right="907"/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3,7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0CE972" w14:textId="2B03E7CD" w:rsidR="00C3474C" w:rsidRPr="00FD4722" w:rsidRDefault="00C3474C" w:rsidP="00C3474C">
            <w:pPr>
              <w:ind w:right="907"/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1,0</w:t>
            </w:r>
          </w:p>
        </w:tc>
      </w:tr>
      <w:tr w:rsidR="00C3474C" w:rsidRPr="00FD4722" w14:paraId="7A58C482" w14:textId="77777777" w:rsidTr="00390A67">
        <w:trPr>
          <w:trHeight w:val="340"/>
          <w:jc w:val="center"/>
        </w:trPr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275EDA" w14:textId="77777777" w:rsidR="00C3474C" w:rsidRPr="00FD4722" w:rsidRDefault="00C3474C" w:rsidP="00C3474C">
            <w:pPr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FD4722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G </w:t>
            </w: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-</w:t>
            </w:r>
            <w:r w:rsidRPr="00FD4722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 I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6C6EC063" w14:textId="42B08CAE" w:rsidR="00C3474C" w:rsidRPr="00FD4722" w:rsidRDefault="00C3474C" w:rsidP="00C3474C">
            <w:pPr>
              <w:ind w:right="624"/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1.367,8</w:t>
            </w:r>
          </w:p>
        </w:tc>
        <w:tc>
          <w:tcPr>
            <w:tcW w:w="2381" w:type="dxa"/>
            <w:tcBorders>
              <w:top w:val="nil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6FD78515" w14:textId="3AF258C4" w:rsidR="00C3474C" w:rsidRPr="00FD4722" w:rsidRDefault="00C3474C" w:rsidP="00C3474C">
            <w:pPr>
              <w:ind w:right="907"/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4,5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195EDB" w14:textId="4FE05E24" w:rsidR="00C3474C" w:rsidRPr="00FD4722" w:rsidRDefault="00C3474C" w:rsidP="00C3474C">
            <w:pPr>
              <w:ind w:right="907"/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-0,5</w:t>
            </w:r>
          </w:p>
        </w:tc>
      </w:tr>
      <w:tr w:rsidR="00C3474C" w:rsidRPr="00FD4722" w14:paraId="769464EE" w14:textId="77777777" w:rsidTr="00390A67">
        <w:trPr>
          <w:trHeight w:val="340"/>
          <w:jc w:val="center"/>
        </w:trPr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779DF9" w14:textId="77777777" w:rsidR="00C3474C" w:rsidRPr="00FD4722" w:rsidRDefault="00C3474C" w:rsidP="00C3474C">
            <w:pPr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FD4722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J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19F41EEB" w14:textId="0A11BDBD" w:rsidR="00C3474C" w:rsidRPr="00FD4722" w:rsidRDefault="00C3474C" w:rsidP="00C3474C">
            <w:pPr>
              <w:ind w:right="624"/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660,5</w:t>
            </w:r>
          </w:p>
        </w:tc>
        <w:tc>
          <w:tcPr>
            <w:tcW w:w="2381" w:type="dxa"/>
            <w:tcBorders>
              <w:top w:val="nil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4552DF75" w14:textId="7E44195D" w:rsidR="00C3474C" w:rsidRPr="00FD4722" w:rsidRDefault="00C3474C" w:rsidP="00C3474C">
            <w:pPr>
              <w:ind w:right="907"/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4,4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536D4A" w14:textId="6D886D88" w:rsidR="00C3474C" w:rsidRPr="00FD4722" w:rsidRDefault="00C3474C" w:rsidP="00C3474C">
            <w:pPr>
              <w:ind w:right="907"/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1,1</w:t>
            </w:r>
          </w:p>
        </w:tc>
      </w:tr>
      <w:tr w:rsidR="00C3474C" w:rsidRPr="00FD4722" w14:paraId="75F10E27" w14:textId="77777777" w:rsidTr="00390A67">
        <w:trPr>
          <w:trHeight w:val="340"/>
          <w:jc w:val="center"/>
        </w:trPr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F0EF61" w14:textId="77777777" w:rsidR="00C3474C" w:rsidRPr="00FD4722" w:rsidRDefault="00C3474C" w:rsidP="00C3474C">
            <w:pPr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FD4722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K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771C2BE2" w14:textId="65A8BCEC" w:rsidR="00C3474C" w:rsidRPr="00FD4722" w:rsidRDefault="00C3474C" w:rsidP="00C3474C">
            <w:pPr>
              <w:ind w:right="624"/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445,6</w:t>
            </w:r>
          </w:p>
        </w:tc>
        <w:tc>
          <w:tcPr>
            <w:tcW w:w="2381" w:type="dxa"/>
            <w:tcBorders>
              <w:top w:val="nil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0ECC8087" w14:textId="158DED8A" w:rsidR="00C3474C" w:rsidRPr="00FD4722" w:rsidRDefault="00C3474C" w:rsidP="00C3474C">
            <w:pPr>
              <w:ind w:right="907"/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-2,3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6B8598" w14:textId="25DEEE2C" w:rsidR="00C3474C" w:rsidRPr="00FD4722" w:rsidRDefault="00C3474C" w:rsidP="00C3474C">
            <w:pPr>
              <w:ind w:right="907"/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0,8</w:t>
            </w:r>
          </w:p>
        </w:tc>
      </w:tr>
      <w:tr w:rsidR="00C3474C" w:rsidRPr="00FD4722" w14:paraId="65796315" w14:textId="77777777" w:rsidTr="00390A67">
        <w:trPr>
          <w:trHeight w:val="340"/>
          <w:jc w:val="center"/>
        </w:trPr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B8EAA0" w14:textId="77777777" w:rsidR="00C3474C" w:rsidRPr="00FD4722" w:rsidRDefault="00C3474C" w:rsidP="00C3474C">
            <w:pPr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FD4722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L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400DCABA" w14:textId="15648B98" w:rsidR="00C3474C" w:rsidRPr="00FD4722" w:rsidRDefault="00C3474C" w:rsidP="00C3474C">
            <w:pPr>
              <w:ind w:right="624"/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511,4</w:t>
            </w:r>
          </w:p>
        </w:tc>
        <w:tc>
          <w:tcPr>
            <w:tcW w:w="2381" w:type="dxa"/>
            <w:tcBorders>
              <w:top w:val="nil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6C2709CC" w14:textId="00DE7837" w:rsidR="00C3474C" w:rsidRPr="00FD4722" w:rsidRDefault="00C3474C" w:rsidP="00C3474C">
            <w:pPr>
              <w:ind w:right="907"/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0,9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AFDB36" w14:textId="7463D9E2" w:rsidR="00C3474C" w:rsidRPr="00FD4722" w:rsidRDefault="00C3474C" w:rsidP="00C3474C">
            <w:pPr>
              <w:ind w:right="907"/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0,2</w:t>
            </w:r>
          </w:p>
        </w:tc>
      </w:tr>
      <w:tr w:rsidR="00C3474C" w:rsidRPr="00FD4722" w14:paraId="1F66A3C3" w14:textId="77777777" w:rsidTr="00390A67">
        <w:trPr>
          <w:trHeight w:val="340"/>
          <w:jc w:val="center"/>
        </w:trPr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DB0CDE" w14:textId="77777777" w:rsidR="00C3474C" w:rsidRPr="00FD4722" w:rsidRDefault="00C3474C" w:rsidP="00C3474C">
            <w:pPr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FD4722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M &amp; N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7A89A498" w14:textId="4D4C023C" w:rsidR="00C3474C" w:rsidRPr="00FD4722" w:rsidRDefault="00C3474C" w:rsidP="00C3474C">
            <w:pPr>
              <w:ind w:right="624"/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612,3</w:t>
            </w:r>
          </w:p>
        </w:tc>
        <w:tc>
          <w:tcPr>
            <w:tcW w:w="2381" w:type="dxa"/>
            <w:tcBorders>
              <w:top w:val="nil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0D7C567B" w14:textId="71B6887B" w:rsidR="00C3474C" w:rsidRPr="00FD4722" w:rsidRDefault="00C3474C" w:rsidP="00C3474C">
            <w:pPr>
              <w:ind w:right="907"/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-0,7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0E5884" w14:textId="35AAB361" w:rsidR="00C3474C" w:rsidRPr="00FD4722" w:rsidRDefault="00C3474C" w:rsidP="00C3474C">
            <w:pPr>
              <w:ind w:right="907"/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0,0</w:t>
            </w:r>
          </w:p>
        </w:tc>
      </w:tr>
      <w:tr w:rsidR="00C3474C" w:rsidRPr="00FD4722" w14:paraId="78642C7E" w14:textId="77777777" w:rsidTr="00390A67">
        <w:trPr>
          <w:trHeight w:val="340"/>
          <w:jc w:val="center"/>
        </w:trPr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A52138" w14:textId="77777777" w:rsidR="00C3474C" w:rsidRPr="00FD4722" w:rsidRDefault="00C3474C" w:rsidP="00C3474C">
            <w:pPr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FD4722"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O</w:t>
            </w:r>
            <w:r w:rsidRPr="00FD4722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-</w:t>
            </w:r>
            <w:r w:rsidRPr="00FD4722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 </w:t>
            </w:r>
            <w:r w:rsidRPr="00FD4722"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Q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3CF82FB8" w14:textId="77FEA497" w:rsidR="00C3474C" w:rsidRPr="00FD4722" w:rsidRDefault="00C3474C" w:rsidP="00C3474C">
            <w:pPr>
              <w:ind w:right="624"/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1.092,9</w:t>
            </w:r>
          </w:p>
        </w:tc>
        <w:tc>
          <w:tcPr>
            <w:tcW w:w="2381" w:type="dxa"/>
            <w:tcBorders>
              <w:top w:val="nil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184B7F89" w14:textId="029EC0DD" w:rsidR="00C3474C" w:rsidRPr="00FD4722" w:rsidRDefault="00C3474C" w:rsidP="00C3474C">
            <w:pPr>
              <w:ind w:right="907"/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1,4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686E82" w14:textId="70B068E0" w:rsidR="00C3474C" w:rsidRPr="00FD4722" w:rsidRDefault="00C3474C" w:rsidP="00C3474C">
            <w:pPr>
              <w:ind w:right="907"/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0,4</w:t>
            </w:r>
          </w:p>
        </w:tc>
      </w:tr>
      <w:tr w:rsidR="00C3474C" w:rsidRPr="00FD4722" w14:paraId="7387AE22" w14:textId="77777777" w:rsidTr="00390A67">
        <w:trPr>
          <w:trHeight w:val="340"/>
          <w:jc w:val="center"/>
        </w:trPr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0BD19D" w14:textId="77777777" w:rsidR="00C3474C" w:rsidRPr="00FD4722" w:rsidRDefault="00C3474C" w:rsidP="00C3474C">
            <w:pPr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FD4722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R </w:t>
            </w: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-</w:t>
            </w:r>
            <w:r w:rsidRPr="00FD4722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 U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7E7546FA" w14:textId="7EFD2B2A" w:rsidR="00C3474C" w:rsidRPr="00FD4722" w:rsidRDefault="00C3474C" w:rsidP="00C3474C">
            <w:pPr>
              <w:ind w:right="624"/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210,6</w:t>
            </w:r>
          </w:p>
        </w:tc>
        <w:tc>
          <w:tcPr>
            <w:tcW w:w="2381" w:type="dxa"/>
            <w:tcBorders>
              <w:top w:val="nil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7430E7F1" w14:textId="1F5985C6" w:rsidR="00C3474C" w:rsidRPr="00FD4722" w:rsidRDefault="00C3474C" w:rsidP="00C3474C">
            <w:pPr>
              <w:ind w:right="907"/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2,5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3F03F6" w14:textId="3AB45502" w:rsidR="00C3474C" w:rsidRPr="00FD4722" w:rsidRDefault="00C3474C" w:rsidP="00C3474C">
            <w:pPr>
              <w:ind w:right="907"/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2,5</w:t>
            </w:r>
          </w:p>
        </w:tc>
      </w:tr>
      <w:tr w:rsidR="00A453EB" w:rsidRPr="00FD4722" w14:paraId="262B8C86" w14:textId="77777777" w:rsidTr="00390A67">
        <w:trPr>
          <w:trHeight w:val="170"/>
          <w:jc w:val="center"/>
        </w:trPr>
        <w:tc>
          <w:tcPr>
            <w:tcW w:w="2382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vAlign w:val="center"/>
          </w:tcPr>
          <w:p w14:paraId="37305047" w14:textId="77777777" w:rsidR="00A453EB" w:rsidRPr="00FD4722" w:rsidRDefault="00A453EB" w:rsidP="00390A67">
            <w:pPr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2F5496" w:themeColor="accent1" w:themeShade="BF"/>
              <w:right w:val="double" w:sz="4" w:space="0" w:color="2F5496" w:themeColor="accent1" w:themeShade="BF"/>
            </w:tcBorders>
            <w:vAlign w:val="center"/>
          </w:tcPr>
          <w:p w14:paraId="53848C6F" w14:textId="77777777" w:rsidR="00A453EB" w:rsidRPr="00FD4722" w:rsidRDefault="00A453EB" w:rsidP="00390A67">
            <w:pPr>
              <w:ind w:right="624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2381" w:type="dxa"/>
            <w:tcBorders>
              <w:top w:val="nil"/>
              <w:left w:val="double" w:sz="4" w:space="0" w:color="2F5496" w:themeColor="accent1" w:themeShade="BF"/>
              <w:bottom w:val="single" w:sz="4" w:space="0" w:color="2F5496" w:themeColor="accent1" w:themeShade="BF"/>
              <w:right w:val="nil"/>
            </w:tcBorders>
            <w:vAlign w:val="center"/>
          </w:tcPr>
          <w:p w14:paraId="1F0C5398" w14:textId="77777777" w:rsidR="00A453EB" w:rsidRPr="00FD4722" w:rsidRDefault="00A453EB" w:rsidP="00390A67">
            <w:pPr>
              <w:ind w:right="907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vAlign w:val="center"/>
          </w:tcPr>
          <w:p w14:paraId="36EFBCD2" w14:textId="77777777" w:rsidR="00A453EB" w:rsidRPr="00FD4722" w:rsidRDefault="00A453EB" w:rsidP="00390A67">
            <w:pPr>
              <w:ind w:right="907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</w:tr>
    </w:tbl>
    <w:p w14:paraId="1349C2B8" w14:textId="3D1C2BC5" w:rsidR="00694929" w:rsidRPr="00A453EB" w:rsidRDefault="00694929" w:rsidP="00ED45AC">
      <w:pPr>
        <w:jc w:val="both"/>
        <w:rPr>
          <w:rFonts w:ascii="Verdana" w:hAnsi="Verdana" w:cs="Arial"/>
          <w:bCs/>
          <w:iCs/>
          <w:color w:val="2F5496" w:themeColor="accent1" w:themeShade="BF"/>
          <w:sz w:val="16"/>
          <w:szCs w:val="16"/>
        </w:rPr>
      </w:pPr>
      <w:r w:rsidRPr="00A453EB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  <w:t>Economic Activities</w:t>
      </w:r>
      <w:r w:rsidR="006E1C7C" w:rsidRPr="00A453EB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  <w:t>:</w:t>
      </w:r>
    </w:p>
    <w:p w14:paraId="4E4254DE" w14:textId="307F00AD" w:rsidR="00F058E6" w:rsidRPr="00A453EB" w:rsidRDefault="00694929" w:rsidP="00ED45AC">
      <w:pPr>
        <w:jc w:val="both"/>
        <w:rPr>
          <w:rFonts w:ascii="Verdana" w:hAnsi="Verdana" w:cs="Arial"/>
          <w:bCs/>
          <w:iCs/>
          <w:color w:val="2F5496" w:themeColor="accent1" w:themeShade="BF"/>
          <w:sz w:val="16"/>
          <w:szCs w:val="16"/>
        </w:rPr>
      </w:pPr>
      <w:bookmarkStart w:id="1" w:name="_Hlk135734903"/>
      <w:r w:rsidRPr="00A453EB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  <w:t>Α:</w:t>
      </w:r>
      <w:r w:rsidRPr="00A453EB">
        <w:rPr>
          <w:rFonts w:ascii="Verdana" w:hAnsi="Verdana" w:cs="Arial"/>
          <w:bCs/>
          <w:iCs/>
          <w:color w:val="2F5496" w:themeColor="accent1" w:themeShade="BF"/>
          <w:sz w:val="16"/>
          <w:szCs w:val="16"/>
        </w:rPr>
        <w:t xml:space="preserve"> Agriculture, forestry and fishing</w:t>
      </w:r>
    </w:p>
    <w:p w14:paraId="6A103FB5" w14:textId="74C2BC60" w:rsidR="00F058E6" w:rsidRPr="00A453EB" w:rsidRDefault="00694929" w:rsidP="00ED45AC">
      <w:pPr>
        <w:jc w:val="both"/>
        <w:rPr>
          <w:rFonts w:ascii="Verdana" w:hAnsi="Verdana" w:cs="Arial"/>
          <w:bCs/>
          <w:iCs/>
          <w:color w:val="2F5496" w:themeColor="accent1" w:themeShade="BF"/>
          <w:sz w:val="16"/>
          <w:szCs w:val="16"/>
        </w:rPr>
      </w:pPr>
      <w:r w:rsidRPr="00A453EB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  <w:t xml:space="preserve">B </w:t>
      </w:r>
      <w:r w:rsidR="005228FA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  <w:t>-</w:t>
      </w:r>
      <w:r w:rsidRPr="00A453EB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  <w:t xml:space="preserve"> E:</w:t>
      </w:r>
      <w:r w:rsidRPr="00A453EB">
        <w:rPr>
          <w:rFonts w:ascii="Verdana" w:hAnsi="Verdana" w:cs="Arial"/>
          <w:bCs/>
          <w:iCs/>
          <w:color w:val="2F5496" w:themeColor="accent1" w:themeShade="BF"/>
          <w:sz w:val="16"/>
          <w:szCs w:val="16"/>
        </w:rPr>
        <w:t xml:space="preserve"> Mining and quarrying; manufacturing; electricity, gas, steam and air conditioning supply; water supply; sewerage, waste management and remediation activities</w:t>
      </w:r>
    </w:p>
    <w:p w14:paraId="0C1830F5" w14:textId="6E805CBB" w:rsidR="00694929" w:rsidRPr="00A453EB" w:rsidRDefault="00694929" w:rsidP="00ED45AC">
      <w:pPr>
        <w:jc w:val="both"/>
        <w:rPr>
          <w:rFonts w:ascii="Verdana" w:hAnsi="Verdana" w:cs="Arial"/>
          <w:bCs/>
          <w:iCs/>
          <w:color w:val="2F5496" w:themeColor="accent1" w:themeShade="BF"/>
          <w:sz w:val="16"/>
          <w:szCs w:val="16"/>
        </w:rPr>
      </w:pPr>
      <w:r w:rsidRPr="00A453EB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  <w:t>C:</w:t>
      </w:r>
      <w:r w:rsidRPr="00A453EB">
        <w:rPr>
          <w:rFonts w:ascii="Verdana" w:hAnsi="Verdana" w:cs="Arial"/>
          <w:bCs/>
          <w:iCs/>
          <w:color w:val="2F5496" w:themeColor="accent1" w:themeShade="BF"/>
          <w:sz w:val="16"/>
          <w:szCs w:val="16"/>
        </w:rPr>
        <w:t xml:space="preserve"> Manufacturing</w:t>
      </w:r>
    </w:p>
    <w:p w14:paraId="1E7C49CE" w14:textId="004955AB" w:rsidR="00694929" w:rsidRPr="00A453EB" w:rsidRDefault="00694929" w:rsidP="00ED45AC">
      <w:pPr>
        <w:jc w:val="both"/>
        <w:rPr>
          <w:rFonts w:ascii="Verdana" w:hAnsi="Verdana" w:cs="Arial"/>
          <w:bCs/>
          <w:iCs/>
          <w:color w:val="2F5496" w:themeColor="accent1" w:themeShade="BF"/>
          <w:sz w:val="16"/>
          <w:szCs w:val="16"/>
        </w:rPr>
      </w:pPr>
      <w:r w:rsidRPr="00A453EB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  <w:t>F:</w:t>
      </w:r>
      <w:r w:rsidRPr="00A453EB">
        <w:rPr>
          <w:rFonts w:ascii="Verdana" w:hAnsi="Verdana" w:cs="Arial"/>
          <w:bCs/>
          <w:iCs/>
          <w:color w:val="2F5496" w:themeColor="accent1" w:themeShade="BF"/>
          <w:sz w:val="16"/>
          <w:szCs w:val="16"/>
        </w:rPr>
        <w:t xml:space="preserve"> Construction</w:t>
      </w:r>
    </w:p>
    <w:p w14:paraId="32DCEB9A" w14:textId="245CD46D" w:rsidR="00F058E6" w:rsidRPr="00A453EB" w:rsidRDefault="00694929" w:rsidP="00ED45AC">
      <w:pPr>
        <w:jc w:val="both"/>
        <w:rPr>
          <w:rFonts w:ascii="Verdana" w:hAnsi="Verdana" w:cs="Arial"/>
          <w:bCs/>
          <w:iCs/>
          <w:color w:val="2F5496" w:themeColor="accent1" w:themeShade="BF"/>
          <w:sz w:val="16"/>
          <w:szCs w:val="16"/>
        </w:rPr>
      </w:pPr>
      <w:r w:rsidRPr="00A453EB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  <w:t xml:space="preserve">G </w:t>
      </w:r>
      <w:r w:rsidR="005228FA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  <w:t>-</w:t>
      </w:r>
      <w:r w:rsidRPr="00A453EB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  <w:t xml:space="preserve"> I:</w:t>
      </w:r>
      <w:r w:rsidRPr="00A453EB">
        <w:rPr>
          <w:rFonts w:ascii="Verdana" w:hAnsi="Verdana" w:cs="Arial"/>
          <w:bCs/>
          <w:iCs/>
          <w:color w:val="2F5496" w:themeColor="accent1" w:themeShade="BF"/>
          <w:sz w:val="16"/>
          <w:szCs w:val="16"/>
        </w:rPr>
        <w:t xml:space="preserve"> Wholesale and retail trade; repair of motor vehicles and motorcycles; transportation and storage; accommodation and food service activities</w:t>
      </w:r>
    </w:p>
    <w:p w14:paraId="6A2C761C" w14:textId="10E60857" w:rsidR="00694929" w:rsidRPr="00A453EB" w:rsidRDefault="00694929" w:rsidP="00ED45AC">
      <w:pPr>
        <w:jc w:val="both"/>
        <w:rPr>
          <w:rFonts w:ascii="Verdana" w:hAnsi="Verdana" w:cs="Arial"/>
          <w:bCs/>
          <w:iCs/>
          <w:color w:val="2F5496" w:themeColor="accent1" w:themeShade="BF"/>
          <w:sz w:val="16"/>
          <w:szCs w:val="16"/>
        </w:rPr>
      </w:pPr>
      <w:r w:rsidRPr="00A453EB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  <w:t>J:</w:t>
      </w:r>
      <w:r w:rsidRPr="00A453EB">
        <w:rPr>
          <w:rFonts w:ascii="Verdana" w:hAnsi="Verdana" w:cs="Arial"/>
          <w:bCs/>
          <w:iCs/>
          <w:color w:val="2F5496" w:themeColor="accent1" w:themeShade="BF"/>
          <w:sz w:val="16"/>
          <w:szCs w:val="16"/>
        </w:rPr>
        <w:t xml:space="preserve"> Information and communication</w:t>
      </w:r>
    </w:p>
    <w:p w14:paraId="4846C75D" w14:textId="207FD924" w:rsidR="00694929" w:rsidRPr="00A453EB" w:rsidRDefault="00694929" w:rsidP="00ED45AC">
      <w:pPr>
        <w:jc w:val="both"/>
        <w:rPr>
          <w:rFonts w:ascii="Verdana" w:hAnsi="Verdana" w:cs="Arial"/>
          <w:bCs/>
          <w:iCs/>
          <w:color w:val="2F5496" w:themeColor="accent1" w:themeShade="BF"/>
          <w:sz w:val="16"/>
          <w:szCs w:val="16"/>
        </w:rPr>
      </w:pPr>
      <w:r w:rsidRPr="00A453EB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  <w:t>K:</w:t>
      </w:r>
      <w:r w:rsidRPr="00A453EB">
        <w:rPr>
          <w:rFonts w:ascii="Verdana" w:hAnsi="Verdana" w:cs="Arial"/>
          <w:bCs/>
          <w:iCs/>
          <w:color w:val="2F5496" w:themeColor="accent1" w:themeShade="BF"/>
          <w:sz w:val="16"/>
          <w:szCs w:val="16"/>
        </w:rPr>
        <w:t xml:space="preserve"> Financial and insurance activities</w:t>
      </w:r>
    </w:p>
    <w:p w14:paraId="63B9EF80" w14:textId="6C016408" w:rsidR="00694929" w:rsidRPr="00A453EB" w:rsidRDefault="00694929" w:rsidP="00ED45AC">
      <w:pPr>
        <w:jc w:val="both"/>
        <w:rPr>
          <w:rFonts w:ascii="Verdana" w:hAnsi="Verdana" w:cs="Arial"/>
          <w:bCs/>
          <w:iCs/>
          <w:color w:val="2F5496" w:themeColor="accent1" w:themeShade="BF"/>
          <w:sz w:val="16"/>
          <w:szCs w:val="16"/>
        </w:rPr>
      </w:pPr>
      <w:r w:rsidRPr="00A453EB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  <w:t>L:</w:t>
      </w:r>
      <w:r w:rsidRPr="00A453EB">
        <w:rPr>
          <w:rFonts w:ascii="Verdana" w:hAnsi="Verdana" w:cs="Arial"/>
          <w:bCs/>
          <w:iCs/>
          <w:color w:val="2F5496" w:themeColor="accent1" w:themeShade="BF"/>
          <w:sz w:val="16"/>
          <w:szCs w:val="16"/>
        </w:rPr>
        <w:t xml:space="preserve"> Real estate activities</w:t>
      </w:r>
    </w:p>
    <w:p w14:paraId="0C677A00" w14:textId="3E5B7761" w:rsidR="00694929" w:rsidRPr="00A453EB" w:rsidRDefault="00694929" w:rsidP="00ED45AC">
      <w:pPr>
        <w:jc w:val="both"/>
        <w:rPr>
          <w:rFonts w:ascii="Verdana" w:hAnsi="Verdana" w:cs="Arial"/>
          <w:bCs/>
          <w:iCs/>
          <w:color w:val="2F5496" w:themeColor="accent1" w:themeShade="BF"/>
          <w:sz w:val="16"/>
          <w:szCs w:val="16"/>
        </w:rPr>
      </w:pPr>
      <w:r w:rsidRPr="00A453EB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  <w:t>M &amp; N:</w:t>
      </w:r>
      <w:r w:rsidRPr="00A453EB">
        <w:rPr>
          <w:rFonts w:ascii="Verdana" w:hAnsi="Verdana" w:cs="Arial"/>
          <w:bCs/>
          <w:iCs/>
          <w:color w:val="2F5496" w:themeColor="accent1" w:themeShade="BF"/>
          <w:sz w:val="16"/>
          <w:szCs w:val="16"/>
        </w:rPr>
        <w:t xml:space="preserve"> Professional, scientific and technical activities; administrative and support service activities</w:t>
      </w:r>
    </w:p>
    <w:p w14:paraId="1938FB4A" w14:textId="0577AA68" w:rsidR="00694929" w:rsidRPr="00A453EB" w:rsidRDefault="00694929" w:rsidP="00ED45AC">
      <w:pPr>
        <w:jc w:val="both"/>
        <w:rPr>
          <w:rFonts w:ascii="Verdana" w:hAnsi="Verdana" w:cs="Arial"/>
          <w:bCs/>
          <w:iCs/>
          <w:color w:val="2F5496" w:themeColor="accent1" w:themeShade="BF"/>
          <w:sz w:val="16"/>
          <w:szCs w:val="16"/>
        </w:rPr>
      </w:pPr>
      <w:r w:rsidRPr="00A453EB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  <w:t xml:space="preserve">O </w:t>
      </w:r>
      <w:r w:rsidR="005228FA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  <w:t>-</w:t>
      </w:r>
      <w:r w:rsidRPr="00A453EB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  <w:t xml:space="preserve"> Q:</w:t>
      </w:r>
      <w:r w:rsidRPr="00A453EB">
        <w:rPr>
          <w:rFonts w:ascii="Verdana" w:hAnsi="Verdana" w:cs="Arial"/>
          <w:bCs/>
          <w:iCs/>
          <w:color w:val="2F5496" w:themeColor="accent1" w:themeShade="BF"/>
          <w:sz w:val="16"/>
          <w:szCs w:val="16"/>
        </w:rPr>
        <w:t xml:space="preserve"> Public administration and </w:t>
      </w:r>
      <w:proofErr w:type="spellStart"/>
      <w:r w:rsidRPr="00A453EB">
        <w:rPr>
          <w:rFonts w:ascii="Verdana" w:hAnsi="Verdana" w:cs="Arial"/>
          <w:bCs/>
          <w:iCs/>
          <w:color w:val="2F5496" w:themeColor="accent1" w:themeShade="BF"/>
          <w:sz w:val="16"/>
          <w:szCs w:val="16"/>
        </w:rPr>
        <w:t>defence</w:t>
      </w:r>
      <w:proofErr w:type="spellEnd"/>
      <w:r w:rsidRPr="00A453EB">
        <w:rPr>
          <w:rFonts w:ascii="Verdana" w:hAnsi="Verdana" w:cs="Arial"/>
          <w:bCs/>
          <w:iCs/>
          <w:color w:val="2F5496" w:themeColor="accent1" w:themeShade="BF"/>
          <w:sz w:val="16"/>
          <w:szCs w:val="16"/>
        </w:rPr>
        <w:t>; compulsory social security; education; human health and social work activities</w:t>
      </w:r>
    </w:p>
    <w:p w14:paraId="55FF89C5" w14:textId="29841DB2" w:rsidR="00694929" w:rsidRPr="00A453EB" w:rsidRDefault="00694929" w:rsidP="00ED45AC">
      <w:pPr>
        <w:jc w:val="both"/>
        <w:rPr>
          <w:rFonts w:ascii="Verdana" w:hAnsi="Verdana" w:cs="Arial"/>
          <w:bCs/>
          <w:iCs/>
          <w:color w:val="2F5496" w:themeColor="accent1" w:themeShade="BF"/>
          <w:sz w:val="16"/>
          <w:szCs w:val="16"/>
        </w:rPr>
      </w:pPr>
      <w:r w:rsidRPr="00A453EB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  <w:t xml:space="preserve">R </w:t>
      </w:r>
      <w:r w:rsidR="005228FA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  <w:t>-</w:t>
      </w:r>
      <w:r w:rsidRPr="00A453EB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  <w:t xml:space="preserve"> U:</w:t>
      </w:r>
      <w:r w:rsidRPr="00A453EB">
        <w:rPr>
          <w:rFonts w:ascii="Verdana" w:hAnsi="Verdana" w:cs="Arial"/>
          <w:bCs/>
          <w:iCs/>
          <w:color w:val="2F5496" w:themeColor="accent1" w:themeShade="BF"/>
          <w:sz w:val="16"/>
          <w:szCs w:val="16"/>
        </w:rPr>
        <w:t xml:space="preserve"> Arts, entertainment and recreation, repair of household goods and other services</w:t>
      </w:r>
    </w:p>
    <w:bookmarkEnd w:id="1"/>
    <w:p w14:paraId="0967574F" w14:textId="77777777" w:rsidR="00ED45AC" w:rsidRDefault="00ED45AC" w:rsidP="00ED45AC">
      <w:pPr>
        <w:jc w:val="both"/>
        <w:rPr>
          <w:rFonts w:ascii="Verdana" w:eastAsia="Malgun Gothic" w:hAnsi="Verdana" w:cs="Arial"/>
          <w:iCs/>
          <w:sz w:val="18"/>
          <w:szCs w:val="18"/>
        </w:rPr>
      </w:pPr>
    </w:p>
    <w:p w14:paraId="2C6531B4" w14:textId="77777777" w:rsidR="00ED45AC" w:rsidRDefault="00ED45AC" w:rsidP="00ED45AC">
      <w:pPr>
        <w:jc w:val="both"/>
        <w:rPr>
          <w:rFonts w:ascii="Verdana" w:eastAsia="Malgun Gothic" w:hAnsi="Verdana" w:cs="Arial"/>
          <w:iCs/>
          <w:sz w:val="18"/>
          <w:szCs w:val="18"/>
        </w:rPr>
      </w:pPr>
    </w:p>
    <w:tbl>
      <w:tblPr>
        <w:tblStyle w:val="TableGrid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4413"/>
        <w:gridCol w:w="1742"/>
        <w:gridCol w:w="1684"/>
        <w:gridCol w:w="1800"/>
      </w:tblGrid>
      <w:tr w:rsidR="00A453EB" w:rsidRPr="00FD4722" w14:paraId="33ED6BEB" w14:textId="77777777" w:rsidTr="00390A67">
        <w:trPr>
          <w:trHeight w:val="284"/>
          <w:jc w:val="center"/>
        </w:trPr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9B88F7" w14:textId="2289394F" w:rsidR="00A453EB" w:rsidRPr="00FD4722" w:rsidRDefault="00A453EB" w:rsidP="00390A67">
            <w:pPr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/>
                <w:color w:val="2F5496"/>
                <w:sz w:val="18"/>
                <w:szCs w:val="18"/>
              </w:rPr>
              <w:t>Table</w:t>
            </w:r>
            <w:r w:rsidRPr="00FD4722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 xml:space="preserve"> 2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E25D79" w14:textId="77777777" w:rsidR="00A453EB" w:rsidRPr="00FD4722" w:rsidRDefault="00A453EB" w:rsidP="00390A67">
            <w:pPr>
              <w:ind w:right="-110"/>
              <w:jc w:val="center"/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28BA9C" w14:textId="77777777" w:rsidR="00A453EB" w:rsidRPr="00FD4722" w:rsidRDefault="00A453EB" w:rsidP="00390A67">
            <w:pPr>
              <w:ind w:right="-111"/>
              <w:jc w:val="center"/>
              <w:rPr>
                <w:rFonts w:ascii="Verdana" w:hAnsi="Verdana" w:cs="Arial"/>
                <w:bCs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8BA95F" w14:textId="77777777" w:rsidR="00A453EB" w:rsidRPr="00FD4722" w:rsidRDefault="00A453EB" w:rsidP="00390A67">
            <w:pPr>
              <w:ind w:right="-273"/>
              <w:jc w:val="center"/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</w:p>
        </w:tc>
      </w:tr>
      <w:tr w:rsidR="00A453EB" w:rsidRPr="00A453EB" w14:paraId="1DF46A97" w14:textId="77777777" w:rsidTr="00390A67">
        <w:trPr>
          <w:trHeight w:val="510"/>
          <w:jc w:val="center"/>
        </w:trPr>
        <w:tc>
          <w:tcPr>
            <w:tcW w:w="4413" w:type="dxa"/>
            <w:vMerge w:val="restart"/>
            <w:tcBorders>
              <w:top w:val="single" w:sz="4" w:space="0" w:color="2F5496" w:themeColor="accent1" w:themeShade="BF"/>
              <w:left w:val="nil"/>
              <w:right w:val="nil"/>
            </w:tcBorders>
            <w:vAlign w:val="center"/>
          </w:tcPr>
          <w:p w14:paraId="3651D802" w14:textId="66730384" w:rsidR="00A453EB" w:rsidRPr="00FD4722" w:rsidRDefault="00A453EB" w:rsidP="00390A67">
            <w:pPr>
              <w:jc w:val="center"/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  <w:proofErr w:type="spellStart"/>
            <w:r w:rsidRPr="00A453EB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Type</w:t>
            </w:r>
            <w:proofErr w:type="spellEnd"/>
            <w:r w:rsidRPr="00A453EB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 xml:space="preserve"> of </w:t>
            </w:r>
            <w:proofErr w:type="spellStart"/>
            <w:r w:rsidRPr="00A453EB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Expenditure</w:t>
            </w:r>
            <w:proofErr w:type="spellEnd"/>
          </w:p>
        </w:tc>
        <w:tc>
          <w:tcPr>
            <w:tcW w:w="5226" w:type="dxa"/>
            <w:gridSpan w:val="3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  <w:right w:val="nil"/>
            </w:tcBorders>
            <w:vAlign w:val="center"/>
          </w:tcPr>
          <w:p w14:paraId="7CD8A30F" w14:textId="4C028EF8" w:rsidR="00A453EB" w:rsidRPr="00A453EB" w:rsidRDefault="00A453EB" w:rsidP="00390A67">
            <w:pPr>
              <w:jc w:val="center"/>
              <w:rPr>
                <w:rFonts w:ascii="Verdana" w:hAnsi="Verdana" w:cs="Arial"/>
                <w:b/>
                <w:color w:val="2F5496"/>
                <w:sz w:val="18"/>
                <w:szCs w:val="18"/>
              </w:rPr>
            </w:pPr>
            <w:r w:rsidRPr="00A453EB">
              <w:rPr>
                <w:rFonts w:ascii="Verdana" w:hAnsi="Verdana" w:cs="Arial"/>
                <w:b/>
                <w:color w:val="2F5496"/>
                <w:sz w:val="18"/>
                <w:szCs w:val="18"/>
              </w:rPr>
              <w:t xml:space="preserve">GDP in </w:t>
            </w:r>
            <w:r>
              <w:rPr>
                <w:rFonts w:ascii="Verdana" w:hAnsi="Verdana" w:cs="Arial"/>
                <w:b/>
                <w:color w:val="2F5496"/>
                <w:sz w:val="18"/>
                <w:szCs w:val="18"/>
              </w:rPr>
              <w:t>V</w:t>
            </w:r>
            <w:r w:rsidRPr="00A453EB">
              <w:rPr>
                <w:rFonts w:ascii="Verdana" w:hAnsi="Verdana" w:cs="Arial"/>
                <w:b/>
                <w:color w:val="2F5496"/>
                <w:sz w:val="18"/>
                <w:szCs w:val="18"/>
              </w:rPr>
              <w:t xml:space="preserve">olume </w:t>
            </w:r>
            <w:r>
              <w:rPr>
                <w:rFonts w:ascii="Verdana" w:hAnsi="Verdana" w:cs="Arial"/>
                <w:b/>
                <w:color w:val="2F5496"/>
                <w:sz w:val="18"/>
                <w:szCs w:val="18"/>
              </w:rPr>
              <w:t>T</w:t>
            </w:r>
            <w:r w:rsidRPr="00A453EB">
              <w:rPr>
                <w:rFonts w:ascii="Verdana" w:hAnsi="Verdana" w:cs="Arial"/>
                <w:b/>
                <w:color w:val="2F5496"/>
                <w:sz w:val="18"/>
                <w:szCs w:val="18"/>
              </w:rPr>
              <w:t>erms Seasonally and Working Day Adjusted</w:t>
            </w:r>
          </w:p>
        </w:tc>
      </w:tr>
      <w:tr w:rsidR="00A453EB" w:rsidRPr="00FD4722" w14:paraId="1C778C0A" w14:textId="77777777" w:rsidTr="004E0DA5">
        <w:trPr>
          <w:trHeight w:val="397"/>
          <w:jc w:val="center"/>
        </w:trPr>
        <w:tc>
          <w:tcPr>
            <w:tcW w:w="4413" w:type="dxa"/>
            <w:vMerge/>
            <w:tcBorders>
              <w:left w:val="nil"/>
              <w:right w:val="nil"/>
            </w:tcBorders>
            <w:vAlign w:val="center"/>
          </w:tcPr>
          <w:p w14:paraId="44A9EB50" w14:textId="77777777" w:rsidR="00A453EB" w:rsidRPr="00A453EB" w:rsidRDefault="00A453EB" w:rsidP="00390A67">
            <w:pPr>
              <w:jc w:val="center"/>
              <w:rPr>
                <w:rFonts w:ascii="Verdana" w:hAnsi="Verdana" w:cs="Arial"/>
                <w:b/>
                <w:color w:val="2F5496"/>
                <w:sz w:val="18"/>
                <w:szCs w:val="18"/>
              </w:rPr>
            </w:pPr>
          </w:p>
        </w:tc>
        <w:tc>
          <w:tcPr>
            <w:tcW w:w="1742" w:type="dxa"/>
            <w:tcBorders>
              <w:top w:val="single" w:sz="4" w:space="0" w:color="2F5496" w:themeColor="accent1" w:themeShade="BF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45B52857" w14:textId="1BE2204B" w:rsidR="00A453EB" w:rsidRPr="00FD4722" w:rsidRDefault="00A453EB" w:rsidP="00390A67">
            <w:pPr>
              <w:jc w:val="center"/>
              <w:rPr>
                <w:rFonts w:ascii="Verdana" w:hAnsi="Verdana" w:cs="Arial"/>
                <w:bCs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Cs/>
                <w:color w:val="2F5496"/>
                <w:sz w:val="18"/>
                <w:szCs w:val="18"/>
              </w:rPr>
              <w:t>Euro</w:t>
            </w:r>
            <w:r w:rsidRPr="00FD4722">
              <w:rPr>
                <w:rFonts w:ascii="Verdana" w:hAnsi="Verdana" w:cs="Arial"/>
                <w:bCs/>
                <w:color w:val="2F5496"/>
                <w:sz w:val="18"/>
                <w:szCs w:val="18"/>
                <w:lang w:val="el-GR"/>
              </w:rPr>
              <w:t xml:space="preserve"> (</w:t>
            </w:r>
            <w:r>
              <w:rPr>
                <w:rFonts w:ascii="Verdana" w:hAnsi="Verdana" w:cs="Arial"/>
                <w:bCs/>
                <w:color w:val="2F5496"/>
                <w:sz w:val="18"/>
                <w:szCs w:val="18"/>
              </w:rPr>
              <w:t>million</w:t>
            </w:r>
            <w:r w:rsidRPr="00FD4722">
              <w:rPr>
                <w:rFonts w:ascii="Verdana" w:hAnsi="Verdana" w:cs="Arial"/>
                <w:bCs/>
                <w:color w:val="2F5496"/>
                <w:sz w:val="18"/>
                <w:szCs w:val="18"/>
                <w:lang w:val="el-GR"/>
              </w:rPr>
              <w:t>)</w:t>
            </w:r>
          </w:p>
        </w:tc>
        <w:tc>
          <w:tcPr>
            <w:tcW w:w="3484" w:type="dxa"/>
            <w:gridSpan w:val="2"/>
            <w:tcBorders>
              <w:top w:val="single" w:sz="4" w:space="0" w:color="2F5496" w:themeColor="accent1" w:themeShade="BF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51D967FF" w14:textId="567D20D7" w:rsidR="00A453EB" w:rsidRPr="00FD4722" w:rsidRDefault="004E0DA5" w:rsidP="00390A67">
            <w:pPr>
              <w:jc w:val="center"/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Cs/>
                <w:color w:val="2F5496"/>
                <w:sz w:val="18"/>
                <w:szCs w:val="18"/>
              </w:rPr>
              <w:t>Change</w:t>
            </w:r>
            <w:r w:rsidR="00A453EB" w:rsidRPr="00FD4722">
              <w:rPr>
                <w:rFonts w:ascii="Verdana" w:hAnsi="Verdana" w:cs="Arial"/>
                <w:bCs/>
                <w:color w:val="2F5496"/>
                <w:sz w:val="18"/>
                <w:szCs w:val="18"/>
                <w:lang w:val="el-GR"/>
              </w:rPr>
              <w:t xml:space="preserve"> (%)</w:t>
            </w:r>
          </w:p>
        </w:tc>
      </w:tr>
      <w:tr w:rsidR="00A453EB" w:rsidRPr="00FD4722" w14:paraId="271D194C" w14:textId="77777777" w:rsidTr="00390A67">
        <w:trPr>
          <w:trHeight w:val="510"/>
          <w:jc w:val="center"/>
        </w:trPr>
        <w:tc>
          <w:tcPr>
            <w:tcW w:w="441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31440C6A" w14:textId="77777777" w:rsidR="00A453EB" w:rsidRPr="00FD4722" w:rsidRDefault="00A453EB" w:rsidP="00390A67">
            <w:pPr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742" w:type="dxa"/>
            <w:tcBorders>
              <w:top w:val="single" w:sz="4" w:space="0" w:color="2F5496" w:themeColor="accent1" w:themeShade="BF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1A9CFB81" w14:textId="71094E5A" w:rsidR="00A453EB" w:rsidRPr="00FD4722" w:rsidRDefault="006C70E6" w:rsidP="00390A67">
            <w:pPr>
              <w:jc w:val="center"/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/>
                <w:color w:val="2F5496"/>
                <w:sz w:val="18"/>
                <w:szCs w:val="18"/>
              </w:rPr>
              <w:t>Q</w:t>
            </w:r>
            <w:r w:rsidR="009616FE">
              <w:rPr>
                <w:rFonts w:ascii="Verdana" w:hAnsi="Verdana" w:cs="Arial"/>
                <w:b/>
                <w:color w:val="2F5496"/>
                <w:sz w:val="18"/>
                <w:szCs w:val="18"/>
              </w:rPr>
              <w:t>4</w:t>
            </w:r>
            <w:r w:rsidR="00A453EB" w:rsidRPr="00FD4722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 xml:space="preserve"> </w:t>
            </w:r>
          </w:p>
          <w:p w14:paraId="136931CC" w14:textId="77777777" w:rsidR="00A453EB" w:rsidRPr="00FD4722" w:rsidRDefault="00A453EB" w:rsidP="00390A67">
            <w:pPr>
              <w:jc w:val="center"/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  <w:r w:rsidRPr="00FD4722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2023</w:t>
            </w:r>
          </w:p>
        </w:tc>
        <w:tc>
          <w:tcPr>
            <w:tcW w:w="1684" w:type="dxa"/>
            <w:tcBorders>
              <w:top w:val="single" w:sz="4" w:space="0" w:color="2F5496" w:themeColor="accent1" w:themeShade="BF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14EBCD25" w14:textId="3414A820" w:rsidR="006C70E6" w:rsidRDefault="006C70E6" w:rsidP="00390A67">
            <w:pPr>
              <w:jc w:val="center"/>
              <w:rPr>
                <w:rFonts w:ascii="Verdana" w:hAnsi="Verdana" w:cs="Arial"/>
                <w:b/>
                <w:color w:val="2F5496"/>
                <w:sz w:val="18"/>
                <w:szCs w:val="18"/>
              </w:rPr>
            </w:pPr>
            <w:r>
              <w:rPr>
                <w:rFonts w:ascii="Verdana" w:hAnsi="Verdana" w:cs="Arial"/>
                <w:b/>
                <w:color w:val="2F5496"/>
                <w:sz w:val="18"/>
                <w:szCs w:val="18"/>
              </w:rPr>
              <w:t>Q</w:t>
            </w:r>
            <w:r w:rsidR="009616FE">
              <w:rPr>
                <w:rFonts w:ascii="Verdana" w:hAnsi="Verdana" w:cs="Arial"/>
                <w:b/>
                <w:color w:val="2F5496"/>
                <w:sz w:val="18"/>
                <w:szCs w:val="18"/>
              </w:rPr>
              <w:t>4</w:t>
            </w:r>
          </w:p>
          <w:p w14:paraId="45A81FD9" w14:textId="02626C92" w:rsidR="00A453EB" w:rsidRPr="00FD4722" w:rsidRDefault="00A453EB" w:rsidP="00390A67">
            <w:pPr>
              <w:jc w:val="center"/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  <w:r w:rsidRPr="00FD4722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2023/22</w:t>
            </w:r>
          </w:p>
        </w:tc>
        <w:tc>
          <w:tcPr>
            <w:tcW w:w="1800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vAlign w:val="center"/>
          </w:tcPr>
          <w:p w14:paraId="02ED803F" w14:textId="0B4E1F85" w:rsidR="006C70E6" w:rsidRDefault="006C70E6" w:rsidP="00390A67">
            <w:pPr>
              <w:jc w:val="center"/>
              <w:rPr>
                <w:rFonts w:ascii="Verdana" w:hAnsi="Verdana" w:cs="Arial"/>
                <w:b/>
                <w:color w:val="2F5496"/>
                <w:sz w:val="18"/>
                <w:szCs w:val="18"/>
              </w:rPr>
            </w:pPr>
            <w:r>
              <w:rPr>
                <w:rFonts w:ascii="Verdana" w:hAnsi="Verdana" w:cs="Arial"/>
                <w:b/>
                <w:color w:val="2F5496"/>
                <w:sz w:val="18"/>
                <w:szCs w:val="18"/>
              </w:rPr>
              <w:t>Q</w:t>
            </w:r>
            <w:r w:rsidR="009616FE">
              <w:rPr>
                <w:rFonts w:ascii="Verdana" w:hAnsi="Verdana" w:cs="Arial"/>
                <w:b/>
                <w:color w:val="2F5496"/>
                <w:sz w:val="18"/>
                <w:szCs w:val="18"/>
              </w:rPr>
              <w:t>4</w:t>
            </w:r>
            <w:r w:rsidR="00A453EB" w:rsidRPr="00FD4722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 xml:space="preserve"> 2023/    </w:t>
            </w:r>
          </w:p>
          <w:p w14:paraId="5DDA9F46" w14:textId="7A398788" w:rsidR="00A453EB" w:rsidRPr="00BC58BB" w:rsidRDefault="006C70E6" w:rsidP="00390A67">
            <w:pPr>
              <w:jc w:val="center"/>
              <w:rPr>
                <w:rFonts w:ascii="Verdana" w:hAnsi="Verdana" w:cs="Arial"/>
                <w:b/>
                <w:color w:val="2F5496"/>
                <w:sz w:val="18"/>
                <w:szCs w:val="18"/>
              </w:rPr>
            </w:pPr>
            <w:r>
              <w:rPr>
                <w:rFonts w:ascii="Verdana" w:hAnsi="Verdana" w:cs="Arial"/>
                <w:b/>
                <w:color w:val="2F5496"/>
                <w:sz w:val="18"/>
                <w:szCs w:val="18"/>
              </w:rPr>
              <w:t>Q</w:t>
            </w:r>
            <w:r w:rsidR="009616FE">
              <w:rPr>
                <w:rFonts w:ascii="Verdana" w:hAnsi="Verdana" w:cs="Arial"/>
                <w:b/>
                <w:color w:val="2F5496"/>
                <w:sz w:val="18"/>
                <w:szCs w:val="18"/>
              </w:rPr>
              <w:t>3</w:t>
            </w:r>
            <w:r w:rsidR="00A453EB" w:rsidRPr="00FD4722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 xml:space="preserve"> 202</w:t>
            </w:r>
            <w:r w:rsidR="00BC58BB">
              <w:rPr>
                <w:rFonts w:ascii="Verdana" w:hAnsi="Verdana" w:cs="Arial"/>
                <w:b/>
                <w:color w:val="2F5496"/>
                <w:sz w:val="18"/>
                <w:szCs w:val="18"/>
              </w:rPr>
              <w:t>3</w:t>
            </w:r>
          </w:p>
        </w:tc>
      </w:tr>
      <w:tr w:rsidR="00C3474C" w:rsidRPr="00FD4722" w14:paraId="254C8D1A" w14:textId="77777777" w:rsidTr="00390A67">
        <w:trPr>
          <w:trHeight w:val="454"/>
          <w:jc w:val="center"/>
        </w:trPr>
        <w:tc>
          <w:tcPr>
            <w:tcW w:w="4413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vAlign w:val="center"/>
          </w:tcPr>
          <w:p w14:paraId="22603C6C" w14:textId="5C04B2DD" w:rsidR="00C3474C" w:rsidRPr="00FD4722" w:rsidRDefault="00C3474C" w:rsidP="00C3474C">
            <w:pPr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  <w:proofErr w:type="spellStart"/>
            <w:r w:rsidRPr="004E0DA5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Gross</w:t>
            </w:r>
            <w:proofErr w:type="spellEnd"/>
            <w:r w:rsidRPr="004E0DA5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 xml:space="preserve"> </w:t>
            </w:r>
            <w:proofErr w:type="spellStart"/>
            <w:r w:rsidRPr="004E0DA5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Domestic</w:t>
            </w:r>
            <w:proofErr w:type="spellEnd"/>
            <w:r w:rsidRPr="004E0DA5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 xml:space="preserve"> </w:t>
            </w:r>
            <w:proofErr w:type="spellStart"/>
            <w:r w:rsidRPr="004E0DA5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Product</w:t>
            </w:r>
            <w:proofErr w:type="spellEnd"/>
            <w:r w:rsidRPr="004E0DA5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 xml:space="preserve"> (GDP)</w:t>
            </w:r>
          </w:p>
        </w:tc>
        <w:tc>
          <w:tcPr>
            <w:tcW w:w="1742" w:type="dxa"/>
            <w:tcBorders>
              <w:top w:val="single" w:sz="4" w:space="0" w:color="2F5496" w:themeColor="accent1" w:themeShade="BF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60FABD78" w14:textId="6A4F0019" w:rsidR="00C3474C" w:rsidRPr="00FD4722" w:rsidRDefault="00C3474C" w:rsidP="00C3474C">
            <w:pPr>
              <w:ind w:right="340"/>
              <w:jc w:val="right"/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6</w:t>
            </w:r>
            <w:r w:rsidR="00EA2BF8"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.</w:t>
            </w: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487,2</w:t>
            </w:r>
          </w:p>
        </w:tc>
        <w:tc>
          <w:tcPr>
            <w:tcW w:w="1684" w:type="dxa"/>
            <w:tcBorders>
              <w:top w:val="single" w:sz="4" w:space="0" w:color="2F5496" w:themeColor="accent1" w:themeShade="BF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0E439451" w14:textId="04F9EF7F" w:rsidR="00C3474C" w:rsidRPr="00FD4722" w:rsidRDefault="00C3474C" w:rsidP="00C3474C">
            <w:pPr>
              <w:ind w:right="567"/>
              <w:jc w:val="right"/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2,2</w:t>
            </w:r>
          </w:p>
        </w:tc>
        <w:tc>
          <w:tcPr>
            <w:tcW w:w="1800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vAlign w:val="center"/>
          </w:tcPr>
          <w:p w14:paraId="519D943B" w14:textId="0511A669" w:rsidR="00C3474C" w:rsidRPr="00FD4722" w:rsidRDefault="00C3474C" w:rsidP="00C3474C">
            <w:pPr>
              <w:ind w:right="624"/>
              <w:jc w:val="right"/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0,6</w:t>
            </w:r>
          </w:p>
        </w:tc>
      </w:tr>
      <w:tr w:rsidR="00C3474C" w:rsidRPr="00FD4722" w14:paraId="75DF0B0E" w14:textId="77777777" w:rsidTr="00390A67">
        <w:trPr>
          <w:trHeight w:val="340"/>
          <w:jc w:val="center"/>
        </w:trPr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CDE6FB" w14:textId="4E43985B" w:rsidR="00C3474C" w:rsidRPr="00FD4722" w:rsidRDefault="00C3474C" w:rsidP="00C3474C">
            <w:pPr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  <w:proofErr w:type="spellStart"/>
            <w:r w:rsidRPr="004E0DA5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Final</w:t>
            </w:r>
            <w:proofErr w:type="spellEnd"/>
            <w:r w:rsidRPr="004E0DA5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 xml:space="preserve"> </w:t>
            </w:r>
            <w:proofErr w:type="spellStart"/>
            <w:r w:rsidRPr="004E0DA5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Consumption</w:t>
            </w:r>
            <w:proofErr w:type="spellEnd"/>
            <w:r w:rsidRPr="004E0DA5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 xml:space="preserve"> </w:t>
            </w:r>
            <w:proofErr w:type="spellStart"/>
            <w:r w:rsidRPr="004E0DA5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Expenditure</w:t>
            </w:r>
            <w:proofErr w:type="spellEnd"/>
          </w:p>
        </w:tc>
        <w:tc>
          <w:tcPr>
            <w:tcW w:w="1742" w:type="dxa"/>
            <w:tcBorders>
              <w:top w:val="nil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6A22D810" w14:textId="73C3BE88" w:rsidR="00C3474C" w:rsidRPr="00FD4722" w:rsidRDefault="00C3474C" w:rsidP="00C3474C">
            <w:pPr>
              <w:ind w:right="340"/>
              <w:jc w:val="right"/>
              <w:rPr>
                <w:rFonts w:ascii="Verdana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5</w:t>
            </w:r>
            <w:r w:rsidR="00EA2BF8"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.</w:t>
            </w: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230,7</w:t>
            </w:r>
          </w:p>
        </w:tc>
        <w:tc>
          <w:tcPr>
            <w:tcW w:w="1684" w:type="dxa"/>
            <w:tcBorders>
              <w:top w:val="nil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55C7D672" w14:textId="6ABB0797" w:rsidR="00C3474C" w:rsidRPr="00FD4722" w:rsidRDefault="00C3474C" w:rsidP="00C3474C">
            <w:pPr>
              <w:ind w:right="567"/>
              <w:jc w:val="right"/>
              <w:rPr>
                <w:rFonts w:ascii="Verdana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3,0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7ABE2F" w14:textId="0939CFFD" w:rsidR="00C3474C" w:rsidRPr="00FD4722" w:rsidRDefault="00C3474C" w:rsidP="00C3474C">
            <w:pPr>
              <w:ind w:right="624"/>
              <w:jc w:val="right"/>
              <w:rPr>
                <w:rFonts w:ascii="Verdana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1,1</w:t>
            </w:r>
          </w:p>
        </w:tc>
      </w:tr>
      <w:tr w:rsidR="00C3474C" w:rsidRPr="00FD4722" w14:paraId="196EF2BB" w14:textId="77777777" w:rsidTr="00390A67">
        <w:trPr>
          <w:trHeight w:val="462"/>
          <w:jc w:val="center"/>
        </w:trPr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B80D34" w14:textId="07B96A68" w:rsidR="00C3474C" w:rsidRPr="004E0DA5" w:rsidRDefault="00C3474C" w:rsidP="00C3474C">
            <w:pPr>
              <w:ind w:left="321"/>
              <w:rPr>
                <w:rFonts w:ascii="Verdana" w:hAnsi="Verdana" w:cs="Arial"/>
                <w:i/>
                <w:color w:val="2F5496"/>
                <w:sz w:val="18"/>
                <w:szCs w:val="18"/>
              </w:rPr>
            </w:pPr>
            <w:r w:rsidRPr="004E0DA5">
              <w:rPr>
                <w:rFonts w:ascii="Verdana" w:hAnsi="Verdana" w:cs="Arial"/>
                <w:i/>
                <w:color w:val="2F5496"/>
                <w:sz w:val="18"/>
                <w:szCs w:val="18"/>
              </w:rPr>
              <w:t>Of which:</w:t>
            </w:r>
          </w:p>
          <w:p w14:paraId="17DF33C6" w14:textId="61CA9360" w:rsidR="00C3474C" w:rsidRPr="004E0DA5" w:rsidRDefault="00C3474C" w:rsidP="00C3474C">
            <w:pPr>
              <w:ind w:left="720"/>
              <w:rPr>
                <w:rFonts w:ascii="Verdana" w:hAnsi="Verdana" w:cs="Arial"/>
                <w:color w:val="2F5496"/>
                <w:sz w:val="18"/>
                <w:szCs w:val="18"/>
              </w:rPr>
            </w:pPr>
            <w:r w:rsidRPr="004E0DA5">
              <w:rPr>
                <w:rFonts w:ascii="Verdana" w:hAnsi="Verdana" w:cs="Arial"/>
                <w:color w:val="2F5496"/>
                <w:sz w:val="18"/>
                <w:szCs w:val="18"/>
              </w:rPr>
              <w:t>Households and NPISH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68D1E907" w14:textId="3771667C" w:rsidR="00C3474C" w:rsidRPr="00FD4722" w:rsidRDefault="00C3474C" w:rsidP="00C3474C">
            <w:pPr>
              <w:ind w:right="340"/>
              <w:jc w:val="right"/>
              <w:rPr>
                <w:rFonts w:ascii="Verdana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4</w:t>
            </w:r>
            <w:r w:rsidR="00EA2BF8">
              <w:rPr>
                <w:rFonts w:ascii="Verdana" w:hAnsi="Verdana" w:cs="Arial"/>
                <w:color w:val="2F5496"/>
                <w:sz w:val="18"/>
                <w:szCs w:val="18"/>
                <w:lang w:val="el-GR"/>
              </w:rPr>
              <w:t>.</w:t>
            </w:r>
            <w:r>
              <w:rPr>
                <w:rFonts w:ascii="Verdana" w:hAnsi="Verdana" w:cs="Arial"/>
                <w:color w:val="2F5496"/>
                <w:sz w:val="18"/>
                <w:szCs w:val="18"/>
              </w:rPr>
              <w:t>062,0</w:t>
            </w:r>
          </w:p>
        </w:tc>
        <w:tc>
          <w:tcPr>
            <w:tcW w:w="1684" w:type="dxa"/>
            <w:tcBorders>
              <w:top w:val="nil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57E590ED" w14:textId="5B5FE7D1" w:rsidR="00C3474C" w:rsidRPr="00FD4722" w:rsidRDefault="00C3474C" w:rsidP="00C3474C">
            <w:pPr>
              <w:ind w:right="567"/>
              <w:jc w:val="right"/>
              <w:rPr>
                <w:rFonts w:ascii="Verdana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3,8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F5B6B5" w14:textId="5E9B6545" w:rsidR="00C3474C" w:rsidRPr="00FD4722" w:rsidRDefault="00C3474C" w:rsidP="00C3474C">
            <w:pPr>
              <w:ind w:right="624"/>
              <w:jc w:val="right"/>
              <w:rPr>
                <w:rFonts w:ascii="Verdana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1,4</w:t>
            </w:r>
          </w:p>
        </w:tc>
      </w:tr>
      <w:tr w:rsidR="00C3474C" w:rsidRPr="00FD4722" w14:paraId="7B4FD6C0" w14:textId="77777777" w:rsidTr="00390A67">
        <w:trPr>
          <w:trHeight w:val="284"/>
          <w:jc w:val="center"/>
        </w:trPr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62B385" w14:textId="24CE6ECD" w:rsidR="00C3474C" w:rsidRPr="00FD4722" w:rsidRDefault="00C3474C" w:rsidP="00C3474C">
            <w:pPr>
              <w:ind w:left="720"/>
              <w:rPr>
                <w:rFonts w:ascii="Verdana" w:hAnsi="Verdana" w:cs="Arial"/>
                <w:color w:val="2F5496"/>
                <w:sz w:val="18"/>
                <w:szCs w:val="18"/>
                <w:lang w:val="el-GR"/>
              </w:rPr>
            </w:pPr>
            <w:r w:rsidRPr="004E0DA5">
              <w:rPr>
                <w:rFonts w:ascii="Verdana" w:hAnsi="Verdana" w:cs="Arial"/>
                <w:color w:val="2F5496"/>
                <w:sz w:val="18"/>
                <w:szCs w:val="18"/>
                <w:lang w:val="el-GR"/>
              </w:rPr>
              <w:t xml:space="preserve">General </w:t>
            </w:r>
            <w:proofErr w:type="spellStart"/>
            <w:r w:rsidRPr="004E0DA5">
              <w:rPr>
                <w:rFonts w:ascii="Verdana" w:hAnsi="Verdana" w:cs="Arial"/>
                <w:color w:val="2F5496"/>
                <w:sz w:val="18"/>
                <w:szCs w:val="18"/>
                <w:lang w:val="el-GR"/>
              </w:rPr>
              <w:t>Government</w:t>
            </w:r>
            <w:proofErr w:type="spellEnd"/>
          </w:p>
        </w:tc>
        <w:tc>
          <w:tcPr>
            <w:tcW w:w="1742" w:type="dxa"/>
            <w:tcBorders>
              <w:top w:val="nil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758DC902" w14:textId="14757F49" w:rsidR="00C3474C" w:rsidRPr="00FD4722" w:rsidRDefault="00C3474C" w:rsidP="00C3474C">
            <w:pPr>
              <w:ind w:right="340"/>
              <w:jc w:val="right"/>
              <w:rPr>
                <w:rFonts w:ascii="Verdana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1</w:t>
            </w:r>
            <w:r w:rsidR="00EA2BF8">
              <w:rPr>
                <w:rFonts w:ascii="Verdana" w:hAnsi="Verdana" w:cs="Arial"/>
                <w:color w:val="2F5496"/>
                <w:sz w:val="18"/>
                <w:szCs w:val="18"/>
                <w:lang w:val="el-GR"/>
              </w:rPr>
              <w:t>.</w:t>
            </w:r>
            <w:r>
              <w:rPr>
                <w:rFonts w:ascii="Verdana" w:hAnsi="Verdana" w:cs="Arial"/>
                <w:color w:val="2F5496"/>
                <w:sz w:val="18"/>
                <w:szCs w:val="18"/>
              </w:rPr>
              <w:t>169,4</w:t>
            </w:r>
          </w:p>
        </w:tc>
        <w:tc>
          <w:tcPr>
            <w:tcW w:w="1684" w:type="dxa"/>
            <w:tcBorders>
              <w:top w:val="nil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5B654DCE" w14:textId="70CAA834" w:rsidR="00C3474C" w:rsidRPr="00FD4722" w:rsidRDefault="00C3474C" w:rsidP="00C3474C">
            <w:pPr>
              <w:ind w:right="567"/>
              <w:jc w:val="right"/>
              <w:rPr>
                <w:rFonts w:ascii="Verdana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0,4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66D03F" w14:textId="44882254" w:rsidR="00C3474C" w:rsidRPr="00FD4722" w:rsidRDefault="00C3474C" w:rsidP="00C3474C">
            <w:pPr>
              <w:ind w:right="624"/>
              <w:jc w:val="right"/>
              <w:rPr>
                <w:rFonts w:ascii="Verdana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0,0</w:t>
            </w:r>
          </w:p>
        </w:tc>
      </w:tr>
      <w:tr w:rsidR="00C3474C" w:rsidRPr="00FD4722" w14:paraId="7E507376" w14:textId="77777777" w:rsidTr="005E040A">
        <w:trPr>
          <w:trHeight w:val="397"/>
          <w:jc w:val="center"/>
        </w:trPr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34AEC9" w14:textId="6F23DBD4" w:rsidR="00C3474C" w:rsidRPr="004E0DA5" w:rsidRDefault="00C3474C" w:rsidP="00C3474C">
            <w:pPr>
              <w:rPr>
                <w:rFonts w:ascii="Verdana" w:hAnsi="Verdana" w:cs="Arial"/>
                <w:b/>
                <w:color w:val="2F5496"/>
                <w:sz w:val="18"/>
                <w:szCs w:val="18"/>
              </w:rPr>
            </w:pPr>
            <w:r w:rsidRPr="004E0DA5">
              <w:rPr>
                <w:rFonts w:ascii="Verdana" w:hAnsi="Verdana" w:cs="Arial"/>
                <w:b/>
                <w:color w:val="2F5496"/>
                <w:sz w:val="18"/>
                <w:szCs w:val="18"/>
              </w:rPr>
              <w:t xml:space="preserve">Gross </w:t>
            </w:r>
            <w:r>
              <w:rPr>
                <w:rFonts w:ascii="Verdana" w:hAnsi="Verdana" w:cs="Arial"/>
                <w:b/>
                <w:color w:val="2F5496"/>
                <w:sz w:val="18"/>
                <w:szCs w:val="18"/>
              </w:rPr>
              <w:t>F</w:t>
            </w:r>
            <w:r w:rsidRPr="004E0DA5">
              <w:rPr>
                <w:rFonts w:ascii="Verdana" w:hAnsi="Verdana" w:cs="Arial"/>
                <w:b/>
                <w:color w:val="2F5496"/>
                <w:sz w:val="18"/>
                <w:szCs w:val="18"/>
              </w:rPr>
              <w:t xml:space="preserve">ixed </w:t>
            </w:r>
            <w:r>
              <w:rPr>
                <w:rFonts w:ascii="Verdana" w:hAnsi="Verdana" w:cs="Arial"/>
                <w:b/>
                <w:color w:val="2F5496"/>
                <w:sz w:val="18"/>
                <w:szCs w:val="18"/>
              </w:rPr>
              <w:t>C</w:t>
            </w:r>
            <w:r w:rsidRPr="004E0DA5">
              <w:rPr>
                <w:rFonts w:ascii="Verdana" w:hAnsi="Verdana" w:cs="Arial"/>
                <w:b/>
                <w:color w:val="2F5496"/>
                <w:sz w:val="18"/>
                <w:szCs w:val="18"/>
              </w:rPr>
              <w:t xml:space="preserve">apital </w:t>
            </w:r>
            <w:r>
              <w:rPr>
                <w:rFonts w:ascii="Verdana" w:hAnsi="Verdana" w:cs="Arial"/>
                <w:b/>
                <w:color w:val="2F5496"/>
                <w:sz w:val="18"/>
                <w:szCs w:val="18"/>
              </w:rPr>
              <w:t>F</w:t>
            </w:r>
            <w:r w:rsidRPr="004E0DA5">
              <w:rPr>
                <w:rFonts w:ascii="Verdana" w:hAnsi="Verdana" w:cs="Arial"/>
                <w:b/>
                <w:color w:val="2F5496"/>
                <w:sz w:val="18"/>
                <w:szCs w:val="18"/>
              </w:rPr>
              <w:t xml:space="preserve">ormation (GFCF) 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7222165B" w14:textId="7AA0DDFF" w:rsidR="00C3474C" w:rsidRPr="00FD4722" w:rsidRDefault="00C3474C" w:rsidP="00C3474C">
            <w:pPr>
              <w:ind w:right="340"/>
              <w:jc w:val="right"/>
              <w:rPr>
                <w:rFonts w:ascii="Verdana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1</w:t>
            </w:r>
            <w:r w:rsidR="00EA2BF8"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.</w:t>
            </w: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375,2</w:t>
            </w:r>
          </w:p>
        </w:tc>
        <w:tc>
          <w:tcPr>
            <w:tcW w:w="1684" w:type="dxa"/>
            <w:tcBorders>
              <w:top w:val="nil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20C089E3" w14:textId="0C257A0F" w:rsidR="00C3474C" w:rsidRPr="00FD4722" w:rsidRDefault="00C3474C" w:rsidP="00C3474C">
            <w:pPr>
              <w:ind w:right="567"/>
              <w:jc w:val="right"/>
              <w:rPr>
                <w:rFonts w:ascii="Verdana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48,7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768170" w14:textId="65A4B15F" w:rsidR="00C3474C" w:rsidRPr="00FD4722" w:rsidRDefault="00C3474C" w:rsidP="00C3474C">
            <w:pPr>
              <w:ind w:right="624"/>
              <w:jc w:val="right"/>
              <w:rPr>
                <w:rFonts w:ascii="Verdana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-4,8</w:t>
            </w:r>
          </w:p>
        </w:tc>
      </w:tr>
      <w:tr w:rsidR="00C3474C" w:rsidRPr="00FD4722" w14:paraId="13DD7098" w14:textId="77777777" w:rsidTr="005E040A">
        <w:trPr>
          <w:trHeight w:val="284"/>
          <w:jc w:val="center"/>
        </w:trPr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B6FFF8" w14:textId="19A87882" w:rsidR="00C3474C" w:rsidRPr="005E040A" w:rsidRDefault="00C3474C" w:rsidP="00C3474C">
            <w:pPr>
              <w:rPr>
                <w:rFonts w:ascii="Verdana" w:hAnsi="Verdana" w:cs="Arial"/>
                <w:bCs/>
                <w:color w:val="2F5496"/>
                <w:sz w:val="18"/>
                <w:szCs w:val="18"/>
              </w:rPr>
            </w:pPr>
            <w:r w:rsidRPr="005E040A">
              <w:rPr>
                <w:rFonts w:ascii="Verdana" w:hAnsi="Verdana" w:cs="Arial"/>
                <w:bCs/>
                <w:color w:val="2F5496"/>
                <w:sz w:val="18"/>
                <w:szCs w:val="18"/>
              </w:rPr>
              <w:t>GFCF excluding ships &amp; aircrafts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5286A4D5" w14:textId="08716E9C" w:rsidR="00C3474C" w:rsidRPr="00FD4722" w:rsidRDefault="00C3474C" w:rsidP="00C3474C">
            <w:pPr>
              <w:ind w:right="340"/>
              <w:jc w:val="right"/>
              <w:rPr>
                <w:rFonts w:ascii="Verdana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1</w:t>
            </w:r>
            <w:r w:rsidR="00EA2BF8">
              <w:rPr>
                <w:rFonts w:ascii="Verdana" w:hAnsi="Verdana" w:cs="Arial"/>
                <w:color w:val="2F5496"/>
                <w:sz w:val="18"/>
                <w:szCs w:val="18"/>
                <w:lang w:val="el-GR"/>
              </w:rPr>
              <w:t>.</w:t>
            </w:r>
            <w:r>
              <w:rPr>
                <w:rFonts w:ascii="Verdana" w:hAnsi="Verdana" w:cs="Arial"/>
                <w:color w:val="2F5496"/>
                <w:sz w:val="18"/>
                <w:szCs w:val="18"/>
              </w:rPr>
              <w:t>344,2</w:t>
            </w:r>
          </w:p>
        </w:tc>
        <w:tc>
          <w:tcPr>
            <w:tcW w:w="1684" w:type="dxa"/>
            <w:tcBorders>
              <w:top w:val="nil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126E741F" w14:textId="631A1D7B" w:rsidR="00C3474C" w:rsidRPr="00FD4722" w:rsidRDefault="00C3474C" w:rsidP="00C3474C">
            <w:pPr>
              <w:ind w:right="567"/>
              <w:jc w:val="right"/>
              <w:rPr>
                <w:rFonts w:ascii="Verdana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1,6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697C97" w14:textId="6DDDBD9B" w:rsidR="00C3474C" w:rsidRPr="00FD4722" w:rsidRDefault="00C3474C" w:rsidP="00C3474C">
            <w:pPr>
              <w:ind w:right="624"/>
              <w:jc w:val="right"/>
              <w:rPr>
                <w:rFonts w:ascii="Verdana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4,5</w:t>
            </w:r>
          </w:p>
        </w:tc>
      </w:tr>
      <w:tr w:rsidR="00C3474C" w:rsidRPr="00FD4722" w14:paraId="498DCF24" w14:textId="77777777" w:rsidTr="00390A67">
        <w:trPr>
          <w:trHeight w:val="397"/>
          <w:jc w:val="center"/>
        </w:trPr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6A6489" w14:textId="48DAFA5A" w:rsidR="00C3474C" w:rsidRPr="004E0DA5" w:rsidRDefault="00C3474C" w:rsidP="00C3474C">
            <w:pPr>
              <w:rPr>
                <w:rFonts w:ascii="Verdana" w:hAnsi="Verdana" w:cs="Arial"/>
                <w:b/>
                <w:color w:val="2F5496"/>
                <w:sz w:val="18"/>
                <w:szCs w:val="18"/>
              </w:rPr>
            </w:pPr>
            <w:r w:rsidRPr="004E0DA5">
              <w:rPr>
                <w:rFonts w:ascii="Verdana" w:hAnsi="Verdana" w:cs="Arial"/>
                <w:b/>
                <w:color w:val="2F5496"/>
                <w:sz w:val="18"/>
                <w:szCs w:val="18"/>
              </w:rPr>
              <w:t xml:space="preserve">Imports of </w:t>
            </w:r>
            <w:r>
              <w:rPr>
                <w:rFonts w:ascii="Verdana" w:hAnsi="Verdana" w:cs="Arial"/>
                <w:b/>
                <w:color w:val="2F5496"/>
                <w:sz w:val="18"/>
                <w:szCs w:val="18"/>
              </w:rPr>
              <w:t>G</w:t>
            </w:r>
            <w:r w:rsidRPr="004E0DA5">
              <w:rPr>
                <w:rFonts w:ascii="Verdana" w:hAnsi="Verdana" w:cs="Arial"/>
                <w:b/>
                <w:color w:val="2F5496"/>
                <w:sz w:val="18"/>
                <w:szCs w:val="18"/>
              </w:rPr>
              <w:t xml:space="preserve">oods and </w:t>
            </w:r>
            <w:r>
              <w:rPr>
                <w:rFonts w:ascii="Verdana" w:hAnsi="Verdana" w:cs="Arial"/>
                <w:b/>
                <w:color w:val="2F5496"/>
                <w:sz w:val="18"/>
                <w:szCs w:val="18"/>
              </w:rPr>
              <w:t>S</w:t>
            </w:r>
            <w:r w:rsidRPr="004E0DA5">
              <w:rPr>
                <w:rFonts w:ascii="Verdana" w:hAnsi="Verdana" w:cs="Arial"/>
                <w:b/>
                <w:color w:val="2F5496"/>
                <w:sz w:val="18"/>
                <w:szCs w:val="18"/>
              </w:rPr>
              <w:t>ervices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5F9FC08C" w14:textId="02AD0A9A" w:rsidR="00C3474C" w:rsidRPr="00FD4722" w:rsidRDefault="00C3474C" w:rsidP="00C3474C">
            <w:pPr>
              <w:ind w:right="340"/>
              <w:jc w:val="right"/>
              <w:rPr>
                <w:rFonts w:ascii="Verdana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6</w:t>
            </w:r>
            <w:r w:rsidR="00EA2BF8"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.</w:t>
            </w: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126,4</w:t>
            </w:r>
          </w:p>
        </w:tc>
        <w:tc>
          <w:tcPr>
            <w:tcW w:w="1684" w:type="dxa"/>
            <w:tcBorders>
              <w:top w:val="nil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0EAAA08A" w14:textId="58987F7E" w:rsidR="00C3474C" w:rsidRPr="00FD4722" w:rsidRDefault="00C3474C" w:rsidP="00C3474C">
            <w:pPr>
              <w:ind w:right="567"/>
              <w:jc w:val="right"/>
              <w:rPr>
                <w:rFonts w:ascii="Verdana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3,9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DD9444" w14:textId="4FED0857" w:rsidR="00C3474C" w:rsidRPr="00FD4722" w:rsidRDefault="00C3474C" w:rsidP="00C3474C">
            <w:pPr>
              <w:ind w:right="624"/>
              <w:jc w:val="right"/>
              <w:rPr>
                <w:rFonts w:ascii="Verdana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-4,0</w:t>
            </w:r>
          </w:p>
        </w:tc>
      </w:tr>
      <w:tr w:rsidR="00C3474C" w:rsidRPr="00FD4722" w14:paraId="09FE56F2" w14:textId="77777777" w:rsidTr="00390A67">
        <w:trPr>
          <w:trHeight w:val="397"/>
          <w:jc w:val="center"/>
        </w:trPr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507B22" w14:textId="772C19D5" w:rsidR="00C3474C" w:rsidRPr="004E0DA5" w:rsidRDefault="00C3474C" w:rsidP="00C3474C">
            <w:pPr>
              <w:rPr>
                <w:rFonts w:ascii="Verdana" w:hAnsi="Verdana" w:cs="Arial"/>
                <w:b/>
                <w:color w:val="2F5496"/>
                <w:sz w:val="18"/>
                <w:szCs w:val="18"/>
              </w:rPr>
            </w:pPr>
            <w:r>
              <w:rPr>
                <w:rFonts w:ascii="Verdana" w:hAnsi="Verdana" w:cs="Arial"/>
                <w:b/>
                <w:color w:val="2F5496"/>
                <w:sz w:val="18"/>
                <w:szCs w:val="18"/>
              </w:rPr>
              <w:t>Ex</w:t>
            </w:r>
            <w:r w:rsidRPr="004E0DA5">
              <w:rPr>
                <w:rFonts w:ascii="Verdana" w:hAnsi="Verdana" w:cs="Arial"/>
                <w:b/>
                <w:color w:val="2F5496"/>
                <w:sz w:val="18"/>
                <w:szCs w:val="18"/>
              </w:rPr>
              <w:t>ports of Goods and Services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0A90A624" w14:textId="437C64B3" w:rsidR="00C3474C" w:rsidRPr="00FD4722" w:rsidRDefault="00C3474C" w:rsidP="00C3474C">
            <w:pPr>
              <w:ind w:right="340"/>
              <w:jc w:val="right"/>
              <w:rPr>
                <w:rFonts w:ascii="Verdana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5</w:t>
            </w:r>
            <w:r w:rsidR="00EA2BF8"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.</w:t>
            </w: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808,3</w:t>
            </w:r>
          </w:p>
        </w:tc>
        <w:tc>
          <w:tcPr>
            <w:tcW w:w="1684" w:type="dxa"/>
            <w:tcBorders>
              <w:top w:val="nil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6A425DEF" w14:textId="116D8467" w:rsidR="00C3474C" w:rsidRPr="00FD4722" w:rsidRDefault="00C3474C" w:rsidP="00C3474C">
            <w:pPr>
              <w:ind w:right="567"/>
              <w:jc w:val="right"/>
              <w:rPr>
                <w:rFonts w:ascii="Verdana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-5,3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1A9622" w14:textId="03C49FE2" w:rsidR="00C3474C" w:rsidRPr="00FD4722" w:rsidRDefault="00C3474C" w:rsidP="00C3474C">
            <w:pPr>
              <w:ind w:right="624"/>
              <w:jc w:val="right"/>
              <w:rPr>
                <w:rFonts w:ascii="Verdana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-2,9</w:t>
            </w:r>
          </w:p>
        </w:tc>
      </w:tr>
      <w:tr w:rsidR="00A453EB" w:rsidRPr="00FD4722" w14:paraId="5BFDBAE5" w14:textId="77777777" w:rsidTr="00390A67">
        <w:trPr>
          <w:trHeight w:val="228"/>
          <w:jc w:val="center"/>
        </w:trPr>
        <w:tc>
          <w:tcPr>
            <w:tcW w:w="4413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vAlign w:val="center"/>
          </w:tcPr>
          <w:p w14:paraId="7D5A250D" w14:textId="77777777" w:rsidR="00A453EB" w:rsidRPr="00FD4722" w:rsidRDefault="00A453EB" w:rsidP="00390A67">
            <w:pPr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2F5496" w:themeColor="accent1" w:themeShade="BF"/>
              <w:right w:val="double" w:sz="4" w:space="0" w:color="2F5496" w:themeColor="accent1" w:themeShade="BF"/>
            </w:tcBorders>
            <w:vAlign w:val="center"/>
          </w:tcPr>
          <w:p w14:paraId="064C6B32" w14:textId="77777777" w:rsidR="00A453EB" w:rsidRPr="00FD4722" w:rsidRDefault="00A453EB" w:rsidP="00390A67">
            <w:pPr>
              <w:ind w:right="340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684" w:type="dxa"/>
            <w:tcBorders>
              <w:top w:val="nil"/>
              <w:left w:val="double" w:sz="4" w:space="0" w:color="2F5496" w:themeColor="accent1" w:themeShade="BF"/>
              <w:bottom w:val="single" w:sz="4" w:space="0" w:color="2F5496" w:themeColor="accent1" w:themeShade="BF"/>
              <w:right w:val="nil"/>
            </w:tcBorders>
            <w:vAlign w:val="center"/>
          </w:tcPr>
          <w:p w14:paraId="3CB9203A" w14:textId="77777777" w:rsidR="00A453EB" w:rsidRPr="00FD4722" w:rsidRDefault="00A453EB" w:rsidP="00390A67">
            <w:pPr>
              <w:ind w:right="567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vAlign w:val="center"/>
          </w:tcPr>
          <w:p w14:paraId="25161A5A" w14:textId="77777777" w:rsidR="00A453EB" w:rsidRPr="00FD4722" w:rsidRDefault="00A453EB" w:rsidP="00390A67">
            <w:pPr>
              <w:ind w:right="624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</w:tr>
    </w:tbl>
    <w:p w14:paraId="009CB354" w14:textId="12CDED32" w:rsidR="00ED45AC" w:rsidRPr="007202FF" w:rsidRDefault="007202FF" w:rsidP="00ED45AC">
      <w:pPr>
        <w:jc w:val="both"/>
        <w:rPr>
          <w:rFonts w:ascii="Verdana" w:eastAsia="Malgun Gothic" w:hAnsi="Verdana" w:cs="Arial"/>
          <w:iCs/>
          <w:sz w:val="16"/>
          <w:szCs w:val="16"/>
        </w:rPr>
      </w:pPr>
      <w:r w:rsidRPr="007202FF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  <w:t>NPISH</w:t>
      </w:r>
      <w:r w:rsidRPr="007202FF">
        <w:rPr>
          <w:rFonts w:ascii="Verdana" w:hAnsi="Verdana" w:cs="Arial"/>
          <w:bCs/>
          <w:iCs/>
          <w:color w:val="2F5496" w:themeColor="accent1" w:themeShade="BF"/>
          <w:sz w:val="16"/>
          <w:szCs w:val="16"/>
        </w:rPr>
        <w:t>: Non-Profit Institutions Serving Households</w:t>
      </w:r>
    </w:p>
    <w:p w14:paraId="6962B4BC" w14:textId="77777777" w:rsidR="00ED45AC" w:rsidRDefault="00ED45AC" w:rsidP="00ED45AC">
      <w:pPr>
        <w:jc w:val="both"/>
        <w:rPr>
          <w:rFonts w:ascii="Verdana" w:eastAsia="Malgun Gothic" w:hAnsi="Verdana" w:cs="Arial"/>
          <w:iCs/>
          <w:sz w:val="18"/>
          <w:szCs w:val="18"/>
        </w:rPr>
      </w:pPr>
    </w:p>
    <w:p w14:paraId="48496EBD" w14:textId="77777777" w:rsidR="00BC58BB" w:rsidRDefault="00BC58BB">
      <w:pPr>
        <w:rPr>
          <w:rFonts w:ascii="Verdana" w:eastAsia="Malgun Gothic" w:hAnsi="Verdana" w:cs="Arial"/>
          <w:b/>
          <w:u w:val="single"/>
        </w:rPr>
      </w:pPr>
      <w:r>
        <w:rPr>
          <w:rFonts w:ascii="Verdana" w:eastAsia="Malgun Gothic" w:hAnsi="Verdana" w:cs="Arial"/>
          <w:b/>
          <w:u w:val="single"/>
        </w:rPr>
        <w:br w:type="page"/>
      </w:r>
    </w:p>
    <w:p w14:paraId="0200C8CE" w14:textId="27F049BC" w:rsidR="0095405B" w:rsidRPr="00970856" w:rsidRDefault="0095405B" w:rsidP="0095405B">
      <w:pPr>
        <w:jc w:val="center"/>
        <w:rPr>
          <w:rFonts w:ascii="Verdana" w:eastAsia="Malgun Gothic" w:hAnsi="Verdana" w:cs="Arial"/>
          <w:b/>
          <w:u w:val="single"/>
        </w:rPr>
      </w:pPr>
      <w:r w:rsidRPr="007B718F">
        <w:rPr>
          <w:rFonts w:ascii="Verdana" w:eastAsia="Malgun Gothic" w:hAnsi="Verdana" w:cs="Arial"/>
          <w:b/>
          <w:u w:val="single"/>
        </w:rPr>
        <w:lastRenderedPageBreak/>
        <w:t>M</w:t>
      </w:r>
      <w:r w:rsidRPr="00970856">
        <w:rPr>
          <w:rFonts w:ascii="Verdana" w:eastAsia="Malgun Gothic" w:hAnsi="Verdana" w:cs="Arial"/>
          <w:b/>
          <w:u w:val="single"/>
        </w:rPr>
        <w:t>ETHODOLOGICAL INFORMATION</w:t>
      </w:r>
    </w:p>
    <w:p w14:paraId="0E42EBBE" w14:textId="385AA32D" w:rsidR="0095405B" w:rsidRDefault="0095405B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2A498990" w14:textId="77777777" w:rsidR="00DF2F99" w:rsidRPr="00DF2F99" w:rsidRDefault="00DF2F99" w:rsidP="00DF2F99">
      <w:pPr>
        <w:jc w:val="both"/>
        <w:rPr>
          <w:rFonts w:ascii="Verdana" w:eastAsia="Malgun Gothic" w:hAnsi="Verdana" w:cs="Arial"/>
          <w:b/>
          <w:bCs/>
          <w:sz w:val="18"/>
          <w:szCs w:val="18"/>
          <w:u w:val="single"/>
        </w:rPr>
      </w:pPr>
      <w:r w:rsidRPr="00DF2F99">
        <w:rPr>
          <w:rFonts w:ascii="Verdana" w:eastAsia="Malgun Gothic" w:hAnsi="Verdana" w:cs="Arial"/>
          <w:b/>
          <w:bCs/>
          <w:sz w:val="18"/>
          <w:szCs w:val="18"/>
          <w:u w:val="single"/>
        </w:rPr>
        <w:t>Scope</w:t>
      </w:r>
    </w:p>
    <w:p w14:paraId="622F2177" w14:textId="77777777" w:rsidR="00DF2F99" w:rsidRPr="00DF2F99" w:rsidRDefault="00DF2F99" w:rsidP="00DF2F9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09D6E34D" w14:textId="6B29C682" w:rsidR="00DF2F99" w:rsidRDefault="00505DB0" w:rsidP="00DF2F99">
      <w:pPr>
        <w:jc w:val="both"/>
        <w:rPr>
          <w:rFonts w:ascii="Verdana" w:eastAsia="Malgun Gothic" w:hAnsi="Verdana" w:cs="Arial"/>
          <w:sz w:val="18"/>
          <w:szCs w:val="18"/>
        </w:rPr>
      </w:pPr>
      <w:r w:rsidRPr="00505DB0">
        <w:rPr>
          <w:rFonts w:ascii="Verdana" w:eastAsia="Malgun Gothic" w:hAnsi="Verdana" w:cs="Arial"/>
          <w:sz w:val="18"/>
          <w:szCs w:val="18"/>
        </w:rPr>
        <w:t xml:space="preserve">The </w:t>
      </w:r>
      <w:r>
        <w:rPr>
          <w:rFonts w:ascii="Verdana" w:eastAsia="Malgun Gothic" w:hAnsi="Verdana" w:cs="Arial"/>
          <w:sz w:val="18"/>
          <w:szCs w:val="18"/>
        </w:rPr>
        <w:t>scope</w:t>
      </w:r>
      <w:r w:rsidR="007B67AE">
        <w:rPr>
          <w:rFonts w:ascii="Verdana" w:eastAsia="Malgun Gothic" w:hAnsi="Verdana" w:cs="Arial"/>
          <w:sz w:val="18"/>
          <w:szCs w:val="18"/>
        </w:rPr>
        <w:t xml:space="preserve"> </w:t>
      </w:r>
      <w:r w:rsidRPr="00505DB0">
        <w:rPr>
          <w:rFonts w:ascii="Verdana" w:eastAsia="Malgun Gothic" w:hAnsi="Verdana" w:cs="Arial"/>
          <w:sz w:val="18"/>
          <w:szCs w:val="18"/>
        </w:rPr>
        <w:t xml:space="preserve">of the GDP estimate two months after the end of the reference quarter is to provide a better estimate of the growth </w:t>
      </w:r>
      <w:r>
        <w:rPr>
          <w:rFonts w:ascii="Verdana" w:eastAsia="Malgun Gothic" w:hAnsi="Verdana" w:cs="Arial"/>
          <w:sz w:val="18"/>
          <w:szCs w:val="18"/>
        </w:rPr>
        <w:t>of</w:t>
      </w:r>
      <w:r w:rsidRPr="00505DB0">
        <w:rPr>
          <w:rFonts w:ascii="Verdana" w:eastAsia="Malgun Gothic" w:hAnsi="Verdana" w:cs="Arial"/>
          <w:sz w:val="18"/>
          <w:szCs w:val="18"/>
        </w:rPr>
        <w:t xml:space="preserve"> Cyp</w:t>
      </w:r>
      <w:r>
        <w:rPr>
          <w:rFonts w:ascii="Verdana" w:eastAsia="Malgun Gothic" w:hAnsi="Verdana" w:cs="Arial"/>
          <w:sz w:val="18"/>
          <w:szCs w:val="18"/>
        </w:rPr>
        <w:t>rus</w:t>
      </w:r>
      <w:r w:rsidRPr="00505DB0">
        <w:rPr>
          <w:rFonts w:ascii="Verdana" w:eastAsia="Malgun Gothic" w:hAnsi="Verdana" w:cs="Arial"/>
          <w:sz w:val="18"/>
          <w:szCs w:val="18"/>
        </w:rPr>
        <w:t xml:space="preserve"> economy</w:t>
      </w:r>
      <w:r>
        <w:rPr>
          <w:rFonts w:ascii="Verdana" w:eastAsia="Malgun Gothic" w:hAnsi="Verdana" w:cs="Arial"/>
          <w:sz w:val="18"/>
          <w:szCs w:val="18"/>
        </w:rPr>
        <w:t>,</w:t>
      </w:r>
      <w:r w:rsidRPr="00505DB0">
        <w:rPr>
          <w:rFonts w:ascii="Verdana" w:eastAsia="Malgun Gothic" w:hAnsi="Verdana" w:cs="Arial"/>
          <w:sz w:val="18"/>
          <w:szCs w:val="18"/>
        </w:rPr>
        <w:t xml:space="preserve"> while providing information on the main variables of the production and expenditure approach.</w:t>
      </w:r>
    </w:p>
    <w:p w14:paraId="540F5541" w14:textId="77777777" w:rsidR="00505DB0" w:rsidRPr="00DF2F99" w:rsidRDefault="00505DB0" w:rsidP="00DF2F9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13DAC383" w14:textId="77777777" w:rsidR="00DF2F99" w:rsidRPr="00DF2F99" w:rsidRDefault="00DF2F99" w:rsidP="00DF2F99">
      <w:pPr>
        <w:jc w:val="both"/>
        <w:rPr>
          <w:rFonts w:ascii="Verdana" w:eastAsia="Malgun Gothic" w:hAnsi="Verdana" w:cs="Arial"/>
          <w:b/>
          <w:bCs/>
          <w:sz w:val="18"/>
          <w:szCs w:val="18"/>
          <w:u w:val="single"/>
        </w:rPr>
      </w:pPr>
      <w:r w:rsidRPr="00DF2F99">
        <w:rPr>
          <w:rFonts w:ascii="Verdana" w:eastAsia="Malgun Gothic" w:hAnsi="Verdana" w:cs="Arial"/>
          <w:b/>
          <w:bCs/>
          <w:sz w:val="18"/>
          <w:szCs w:val="18"/>
          <w:u w:val="single"/>
        </w:rPr>
        <w:t>Compilation and Methodology</w:t>
      </w:r>
    </w:p>
    <w:p w14:paraId="4A8B3774" w14:textId="77777777" w:rsidR="00DF2F99" w:rsidRPr="00DF2F99" w:rsidRDefault="00DF2F99" w:rsidP="00DF2F9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59DB4630" w14:textId="77777777" w:rsidR="00DF2F99" w:rsidRPr="00DF2F99" w:rsidRDefault="00DF2F99" w:rsidP="00DF2F99">
      <w:pPr>
        <w:jc w:val="both"/>
        <w:rPr>
          <w:rFonts w:ascii="Verdana" w:eastAsia="Malgun Gothic" w:hAnsi="Verdana" w:cs="Arial"/>
          <w:sz w:val="18"/>
          <w:szCs w:val="18"/>
        </w:rPr>
      </w:pPr>
      <w:r w:rsidRPr="00DF2F99">
        <w:rPr>
          <w:rFonts w:ascii="Verdana" w:eastAsia="Malgun Gothic" w:hAnsi="Verdana" w:cs="Arial"/>
          <w:sz w:val="18"/>
          <w:szCs w:val="18"/>
        </w:rPr>
        <w:t xml:space="preserve">QNA are generally constructed using an indirect approach, which is based on short-term indicators providing information on the evolution of the phenomena under study. Furthermore, Chow-Lin’s approach technique is used for temporal disaggregation. </w:t>
      </w:r>
    </w:p>
    <w:p w14:paraId="4C20929A" w14:textId="77777777" w:rsidR="00DF2F99" w:rsidRPr="00DF2F99" w:rsidRDefault="00DF2F99" w:rsidP="00DF2F9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18A4FEC1" w14:textId="7DDAEB24" w:rsidR="00DF2F99" w:rsidRPr="00DF2F99" w:rsidRDefault="00DF2F99" w:rsidP="00DF2F99">
      <w:pPr>
        <w:jc w:val="both"/>
        <w:rPr>
          <w:rFonts w:ascii="Verdana" w:eastAsia="Malgun Gothic" w:hAnsi="Verdana" w:cs="Arial"/>
          <w:sz w:val="18"/>
          <w:szCs w:val="18"/>
        </w:rPr>
      </w:pPr>
      <w:r w:rsidRPr="00DF2F99">
        <w:rPr>
          <w:rFonts w:ascii="Verdana" w:eastAsia="Malgun Gothic" w:hAnsi="Verdana" w:cs="Arial"/>
          <w:sz w:val="18"/>
          <w:szCs w:val="18"/>
        </w:rPr>
        <w:t>The GDP level in Cyprus is determined from the production and expenditure approaches, while the income approach is considered a residual item.</w:t>
      </w:r>
    </w:p>
    <w:p w14:paraId="0CCDFFAB" w14:textId="77777777" w:rsidR="00DF2F99" w:rsidRPr="00DF2F99" w:rsidRDefault="00DF2F99" w:rsidP="00DF2F9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55D5F685" w14:textId="4AAD1CEF" w:rsidR="00DF2F99" w:rsidRPr="00DF2F99" w:rsidRDefault="00DF2F99" w:rsidP="00DF2F99">
      <w:pPr>
        <w:jc w:val="both"/>
        <w:rPr>
          <w:rFonts w:ascii="Verdana" w:eastAsia="Malgun Gothic" w:hAnsi="Verdana" w:cs="Arial"/>
          <w:sz w:val="18"/>
          <w:szCs w:val="18"/>
        </w:rPr>
      </w:pPr>
      <w:r w:rsidRPr="00DF2F99">
        <w:rPr>
          <w:rFonts w:ascii="Verdana" w:eastAsia="Malgun Gothic" w:hAnsi="Verdana" w:cs="Arial"/>
          <w:sz w:val="18"/>
          <w:szCs w:val="18"/>
        </w:rPr>
        <w:t xml:space="preserve">QNA are produced at current, volume and previous-year-prices, published and transmitted to Eurostat at t+2 months. The flash estimate is obtained by running the same estimation procedure as the one applied for the t+2 months calculation however, with less input information available. It is calculated in volume terms at t+45 days, published and transmitted to Eurostat as well. </w:t>
      </w:r>
    </w:p>
    <w:p w14:paraId="0C5F3D63" w14:textId="77777777" w:rsidR="00DF2F99" w:rsidRPr="00DF2F99" w:rsidRDefault="00DF2F99" w:rsidP="00DF2F99">
      <w:pPr>
        <w:jc w:val="both"/>
        <w:rPr>
          <w:rFonts w:ascii="Verdana" w:eastAsia="Malgun Gothic" w:hAnsi="Verdana" w:cs="Arial"/>
          <w:sz w:val="18"/>
          <w:szCs w:val="18"/>
        </w:rPr>
      </w:pPr>
      <w:r w:rsidRPr="00DF2F99">
        <w:rPr>
          <w:rFonts w:ascii="Verdana" w:eastAsia="Malgun Gothic" w:hAnsi="Verdana" w:cs="Arial"/>
          <w:sz w:val="18"/>
          <w:szCs w:val="18"/>
        </w:rPr>
        <w:t xml:space="preserve"> </w:t>
      </w:r>
    </w:p>
    <w:p w14:paraId="3CC2B61D" w14:textId="77777777" w:rsidR="00DF2F99" w:rsidRPr="00DF2F99" w:rsidRDefault="00DF2F99" w:rsidP="00DF2F99">
      <w:pPr>
        <w:jc w:val="both"/>
        <w:rPr>
          <w:rFonts w:ascii="Verdana" w:eastAsia="Malgun Gothic" w:hAnsi="Verdana" w:cs="Arial"/>
          <w:sz w:val="18"/>
          <w:szCs w:val="18"/>
        </w:rPr>
      </w:pPr>
      <w:r w:rsidRPr="00DF2F99">
        <w:rPr>
          <w:rFonts w:ascii="Verdana" w:eastAsia="Malgun Gothic" w:hAnsi="Verdana" w:cs="Arial"/>
          <w:sz w:val="18"/>
          <w:szCs w:val="18"/>
        </w:rPr>
        <w:t>QNA are compiled in accordance with the European System of Accounts (ESA 2010) as defined in Regulation (EU) No 549/2013 of the European Parliament and of the Council of 21 May 2013.</w:t>
      </w:r>
    </w:p>
    <w:p w14:paraId="14D14463" w14:textId="77777777" w:rsidR="00DF2F99" w:rsidRPr="00DF2F99" w:rsidRDefault="00DF2F99" w:rsidP="00DF2F9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3B39593D" w14:textId="77777777" w:rsidR="00DF2F99" w:rsidRPr="00DF2F99" w:rsidRDefault="00DF2F99" w:rsidP="00DF2F99">
      <w:pPr>
        <w:jc w:val="both"/>
        <w:rPr>
          <w:rFonts w:ascii="Verdana" w:eastAsia="Malgun Gothic" w:hAnsi="Verdana" w:cs="Arial"/>
          <w:b/>
          <w:bCs/>
          <w:sz w:val="18"/>
          <w:szCs w:val="18"/>
          <w:u w:val="single"/>
        </w:rPr>
      </w:pPr>
      <w:r w:rsidRPr="00DF2F99">
        <w:rPr>
          <w:rFonts w:ascii="Verdana" w:eastAsia="Malgun Gothic" w:hAnsi="Verdana" w:cs="Arial"/>
          <w:b/>
          <w:bCs/>
          <w:sz w:val="18"/>
          <w:szCs w:val="18"/>
          <w:u w:val="single"/>
        </w:rPr>
        <w:t>Source of Data</w:t>
      </w:r>
    </w:p>
    <w:p w14:paraId="222159BF" w14:textId="77777777" w:rsidR="00DF2F99" w:rsidRPr="00DF2F99" w:rsidRDefault="00DF2F99" w:rsidP="00DF2F9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747CAD08" w14:textId="77777777" w:rsidR="00DF2F99" w:rsidRPr="00DF2F99" w:rsidRDefault="00DF2F99" w:rsidP="00DF2F99">
      <w:pPr>
        <w:jc w:val="both"/>
        <w:rPr>
          <w:rFonts w:ascii="Verdana" w:eastAsia="Malgun Gothic" w:hAnsi="Verdana" w:cs="Arial"/>
          <w:sz w:val="18"/>
          <w:szCs w:val="18"/>
        </w:rPr>
      </w:pPr>
      <w:r w:rsidRPr="00DF2F99">
        <w:rPr>
          <w:rFonts w:ascii="Verdana" w:eastAsia="Malgun Gothic" w:hAnsi="Verdana" w:cs="Arial"/>
          <w:sz w:val="18"/>
          <w:szCs w:val="18"/>
        </w:rPr>
        <w:t>In order to produce QNA estimates, the following data are used as input to the system of calculation:</w:t>
      </w:r>
    </w:p>
    <w:p w14:paraId="6E06F208" w14:textId="77777777" w:rsidR="00DF2F99" w:rsidRPr="00DF2F99" w:rsidRDefault="00DF2F99" w:rsidP="00DF2F99">
      <w:pPr>
        <w:jc w:val="both"/>
        <w:rPr>
          <w:rFonts w:ascii="Verdana" w:eastAsia="Malgun Gothic" w:hAnsi="Verdana" w:cs="Arial"/>
          <w:sz w:val="18"/>
          <w:szCs w:val="18"/>
        </w:rPr>
      </w:pPr>
      <w:r w:rsidRPr="00DF2F99">
        <w:rPr>
          <w:rFonts w:ascii="Verdana" w:eastAsia="Malgun Gothic" w:hAnsi="Verdana" w:cs="Arial"/>
          <w:sz w:val="18"/>
          <w:szCs w:val="18"/>
        </w:rPr>
        <w:t>- short-term economic indicators by activity,</w:t>
      </w:r>
    </w:p>
    <w:p w14:paraId="1B800CED" w14:textId="77777777" w:rsidR="00DF2F99" w:rsidRPr="00DF2F99" w:rsidRDefault="00DF2F99" w:rsidP="00DF2F99">
      <w:pPr>
        <w:jc w:val="both"/>
        <w:rPr>
          <w:rFonts w:ascii="Verdana" w:eastAsia="Malgun Gothic" w:hAnsi="Verdana" w:cs="Arial"/>
          <w:sz w:val="18"/>
          <w:szCs w:val="18"/>
        </w:rPr>
      </w:pPr>
      <w:r w:rsidRPr="00DF2F99">
        <w:rPr>
          <w:rFonts w:ascii="Verdana" w:eastAsia="Malgun Gothic" w:hAnsi="Verdana" w:cs="Arial"/>
          <w:sz w:val="18"/>
          <w:szCs w:val="18"/>
        </w:rPr>
        <w:t>- administrative data,</w:t>
      </w:r>
    </w:p>
    <w:p w14:paraId="1A7CA8DB" w14:textId="77777777" w:rsidR="00DF2F99" w:rsidRPr="00DF2F99" w:rsidRDefault="00DF2F99" w:rsidP="00DF2F99">
      <w:pPr>
        <w:jc w:val="both"/>
        <w:rPr>
          <w:rFonts w:ascii="Verdana" w:eastAsia="Malgun Gothic" w:hAnsi="Verdana" w:cs="Arial"/>
          <w:sz w:val="18"/>
          <w:szCs w:val="18"/>
        </w:rPr>
      </w:pPr>
      <w:r w:rsidRPr="00DF2F99">
        <w:rPr>
          <w:rFonts w:ascii="Verdana" w:eastAsia="Malgun Gothic" w:hAnsi="Verdana" w:cs="Arial"/>
          <w:sz w:val="18"/>
          <w:szCs w:val="18"/>
        </w:rPr>
        <w:t>- quarterly employment data,</w:t>
      </w:r>
    </w:p>
    <w:p w14:paraId="0832D64F" w14:textId="3B669B59" w:rsidR="0095405B" w:rsidRDefault="00DF2F99" w:rsidP="00DF2F99">
      <w:pPr>
        <w:jc w:val="both"/>
        <w:rPr>
          <w:rFonts w:ascii="Verdana" w:eastAsia="Malgun Gothic" w:hAnsi="Verdana" w:cs="Arial"/>
          <w:sz w:val="18"/>
          <w:szCs w:val="18"/>
        </w:rPr>
      </w:pPr>
      <w:r w:rsidRPr="00DF2F99">
        <w:rPr>
          <w:rFonts w:ascii="Verdana" w:eastAsia="Malgun Gothic" w:hAnsi="Verdana" w:cs="Arial"/>
          <w:sz w:val="18"/>
          <w:szCs w:val="18"/>
        </w:rPr>
        <w:t>- price indices.</w:t>
      </w:r>
    </w:p>
    <w:p w14:paraId="39A0F52D" w14:textId="6EEA8ACC" w:rsidR="0095405B" w:rsidRDefault="0095405B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0C192367" w14:textId="3B6FD985" w:rsidR="0095405B" w:rsidRDefault="0095405B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2028D6DD" w14:textId="77777777" w:rsidR="0095405B" w:rsidRDefault="0095405B" w:rsidP="0095405B">
      <w:pPr>
        <w:rPr>
          <w:color w:val="000000"/>
        </w:rPr>
      </w:pPr>
      <w:r>
        <w:rPr>
          <w:rFonts w:ascii="Verdana" w:hAnsi="Verdana"/>
          <w:b/>
          <w:bCs/>
          <w:i/>
          <w:iCs/>
          <w:color w:val="000000"/>
          <w:sz w:val="18"/>
          <w:szCs w:val="18"/>
          <w:lang w:val="en-GB"/>
        </w:rPr>
        <w:t>For more information:</w:t>
      </w:r>
    </w:p>
    <w:p w14:paraId="6220942F" w14:textId="77777777" w:rsidR="00DF2F99" w:rsidRPr="00DF2F99" w:rsidRDefault="00DF2F99" w:rsidP="00DF2F99">
      <w:pPr>
        <w:rPr>
          <w:rFonts w:ascii="Verdana" w:hAnsi="Verdana"/>
          <w:sz w:val="18"/>
          <w:szCs w:val="18"/>
        </w:rPr>
      </w:pPr>
      <w:r w:rsidRPr="00DF2F99">
        <w:rPr>
          <w:rFonts w:ascii="Verdana" w:hAnsi="Verdana"/>
          <w:sz w:val="18"/>
          <w:szCs w:val="18"/>
          <w:lang w:val="en-GB"/>
        </w:rPr>
        <w:t xml:space="preserve">CYSTAT Portal, subtheme </w:t>
      </w:r>
      <w:hyperlink r:id="rId9" w:history="1">
        <w:r w:rsidRPr="00DF2F99">
          <w:rPr>
            <w:rFonts w:ascii="Verdana" w:hAnsi="Verdana"/>
            <w:color w:val="0000FF"/>
            <w:sz w:val="18"/>
            <w:szCs w:val="18"/>
            <w:u w:val="single"/>
            <w:lang w:val="en-GB"/>
          </w:rPr>
          <w:t>National Accounts</w:t>
        </w:r>
      </w:hyperlink>
    </w:p>
    <w:p w14:paraId="16E1AEB0" w14:textId="77777777" w:rsidR="00DF2F99" w:rsidRPr="00DF2F99" w:rsidRDefault="00000000" w:rsidP="00DF2F99">
      <w:pPr>
        <w:rPr>
          <w:rFonts w:ascii="Verdana" w:hAnsi="Verdana"/>
          <w:sz w:val="18"/>
          <w:szCs w:val="18"/>
        </w:rPr>
      </w:pPr>
      <w:hyperlink r:id="rId10" w:history="1">
        <w:r w:rsidR="00DF2F99" w:rsidRPr="00DF2F99">
          <w:rPr>
            <w:rFonts w:ascii="Verdana" w:hAnsi="Verdana"/>
            <w:color w:val="0000FF"/>
            <w:sz w:val="18"/>
            <w:szCs w:val="18"/>
            <w:u w:val="single"/>
          </w:rPr>
          <w:t>CYSTAT-DB</w:t>
        </w:r>
      </w:hyperlink>
      <w:r w:rsidR="00DF2F99" w:rsidRPr="00DF2F99">
        <w:rPr>
          <w:rFonts w:ascii="Verdana" w:hAnsi="Verdana"/>
          <w:sz w:val="18"/>
          <w:szCs w:val="18"/>
        </w:rPr>
        <w:t xml:space="preserve"> (Online Database) </w:t>
      </w:r>
    </w:p>
    <w:p w14:paraId="6AF740B8" w14:textId="77777777" w:rsidR="00DF2F99" w:rsidRDefault="00000000" w:rsidP="00DF2F99">
      <w:hyperlink r:id="rId11" w:history="1">
        <w:r w:rsidR="00DF2F99" w:rsidRPr="00DF2F99">
          <w:rPr>
            <w:rFonts w:ascii="Verdana" w:hAnsi="Verdana"/>
            <w:color w:val="0000FF"/>
            <w:sz w:val="18"/>
            <w:szCs w:val="18"/>
            <w:u w:val="single"/>
          </w:rPr>
          <w:t>Predefined Tables</w:t>
        </w:r>
      </w:hyperlink>
      <w:r w:rsidR="00DF2F99" w:rsidRPr="00DF2F99">
        <w:t xml:space="preserve"> (Excel)</w:t>
      </w:r>
    </w:p>
    <w:p w14:paraId="43980C08" w14:textId="3B20988B" w:rsidR="00460421" w:rsidRPr="00DF2F99" w:rsidRDefault="00000000" w:rsidP="00DF2F99">
      <w:pPr>
        <w:rPr>
          <w:rFonts w:ascii="Verdana" w:hAnsi="Verdana"/>
          <w:sz w:val="18"/>
          <w:szCs w:val="18"/>
        </w:rPr>
      </w:pPr>
      <w:hyperlink r:id="rId12" w:history="1">
        <w:r w:rsidR="00460421" w:rsidRPr="007665AB">
          <w:rPr>
            <w:rStyle w:val="Hyperlink"/>
            <w:rFonts w:ascii="Verdana" w:hAnsi="Verdana"/>
            <w:sz w:val="18"/>
            <w:szCs w:val="18"/>
          </w:rPr>
          <w:t>Methodological Information</w:t>
        </w:r>
      </w:hyperlink>
    </w:p>
    <w:p w14:paraId="4CF89882" w14:textId="77777777" w:rsidR="0095405B" w:rsidRDefault="0095405B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7677F316" w14:textId="6D9F6D1F" w:rsidR="00C26329" w:rsidRPr="00DF2F99" w:rsidRDefault="00DF2F99" w:rsidP="00DF2F99">
      <w:pPr>
        <w:jc w:val="both"/>
        <w:rPr>
          <w:rFonts w:ascii="Verdana" w:eastAsia="Malgun Gothic" w:hAnsi="Verdana" w:cs="Arial"/>
          <w:b/>
          <w:bCs/>
          <w:sz w:val="18"/>
          <w:szCs w:val="18"/>
        </w:rPr>
      </w:pPr>
      <w:r w:rsidRPr="00DF2F99">
        <w:rPr>
          <w:rFonts w:ascii="Verdana" w:eastAsia="Malgun Gothic" w:hAnsi="Verdana" w:cs="Arial"/>
          <w:b/>
          <w:bCs/>
          <w:sz w:val="18"/>
          <w:szCs w:val="18"/>
        </w:rPr>
        <w:t xml:space="preserve">The </w:t>
      </w:r>
      <w:r w:rsidRPr="00DF2F99">
        <w:rPr>
          <w:rFonts w:ascii="Verdana" w:eastAsia="Malgun Gothic" w:hAnsi="Verdana" w:cs="Arial"/>
          <w:b/>
          <w:bCs/>
          <w:sz w:val="18"/>
          <w:szCs w:val="18"/>
          <w:u w:val="single"/>
        </w:rPr>
        <w:t>Predefined Tables</w:t>
      </w:r>
      <w:r w:rsidRPr="00DF2F99">
        <w:rPr>
          <w:rFonts w:ascii="Verdana" w:eastAsia="Malgun Gothic" w:hAnsi="Verdana" w:cs="Arial"/>
          <w:b/>
          <w:bCs/>
          <w:sz w:val="18"/>
          <w:szCs w:val="18"/>
        </w:rPr>
        <w:t>, available in Excel format, include data up to the fourth quarter of 2022.</w:t>
      </w:r>
      <w:r>
        <w:rPr>
          <w:rFonts w:ascii="Verdana" w:eastAsia="Malgun Gothic" w:hAnsi="Verdana" w:cs="Arial"/>
          <w:b/>
          <w:bCs/>
          <w:sz w:val="18"/>
          <w:szCs w:val="18"/>
        </w:rPr>
        <w:t xml:space="preserve"> </w:t>
      </w:r>
      <w:r w:rsidRPr="00DF2F99">
        <w:rPr>
          <w:rFonts w:ascii="Verdana" w:eastAsia="Malgun Gothic" w:hAnsi="Verdana" w:cs="Arial"/>
          <w:b/>
          <w:bCs/>
          <w:sz w:val="18"/>
          <w:szCs w:val="18"/>
        </w:rPr>
        <w:t>Data from the first quarter of 2023 onwards will be available only in the CYSTAT-DB Online</w:t>
      </w:r>
      <w:r>
        <w:rPr>
          <w:rFonts w:ascii="Verdana" w:eastAsia="Malgun Gothic" w:hAnsi="Verdana" w:cs="Arial"/>
          <w:b/>
          <w:bCs/>
          <w:sz w:val="18"/>
          <w:szCs w:val="18"/>
        </w:rPr>
        <w:t xml:space="preserve"> </w:t>
      </w:r>
      <w:r w:rsidRPr="00DF2F99">
        <w:rPr>
          <w:rFonts w:ascii="Verdana" w:eastAsia="Malgun Gothic" w:hAnsi="Verdana" w:cs="Arial"/>
          <w:b/>
          <w:bCs/>
          <w:sz w:val="18"/>
          <w:szCs w:val="18"/>
        </w:rPr>
        <w:t>Database.</w:t>
      </w:r>
    </w:p>
    <w:p w14:paraId="3AC5B7F2" w14:textId="4E2E99F4" w:rsidR="00C26329" w:rsidRDefault="00C26329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37997F6F" w14:textId="77777777" w:rsidR="00DF2F99" w:rsidRPr="00DF2F99" w:rsidRDefault="00DF2F99" w:rsidP="00DF2F99">
      <w:pPr>
        <w:jc w:val="both"/>
        <w:rPr>
          <w:rFonts w:ascii="Verdana" w:eastAsia="Malgun Gothic" w:hAnsi="Verdana" w:cs="Arial"/>
          <w:i/>
          <w:sz w:val="18"/>
          <w:szCs w:val="18"/>
          <w:lang w:val="pt-PT"/>
        </w:rPr>
      </w:pPr>
      <w:r w:rsidRPr="00DF2F99">
        <w:rPr>
          <w:rFonts w:ascii="Verdana" w:eastAsia="Malgun Gothic" w:hAnsi="Verdana" w:cs="Arial"/>
          <w:i/>
          <w:sz w:val="18"/>
          <w:szCs w:val="18"/>
          <w:u w:val="single"/>
          <w:lang w:val="pt-PT"/>
        </w:rPr>
        <w:t>Contact</w:t>
      </w:r>
      <w:r w:rsidRPr="00DF2F99">
        <w:rPr>
          <w:rFonts w:ascii="Verdana" w:eastAsia="Malgun Gothic" w:hAnsi="Verdana" w:cs="Arial"/>
          <w:i/>
          <w:sz w:val="18"/>
          <w:szCs w:val="18"/>
          <w:lang w:val="pt-PT"/>
        </w:rPr>
        <w:t xml:space="preserve"> </w:t>
      </w:r>
    </w:p>
    <w:p w14:paraId="16BA908E" w14:textId="77777777" w:rsidR="00DF2F99" w:rsidRPr="00DF2F99" w:rsidRDefault="00DF2F99" w:rsidP="00DF2F99">
      <w:pPr>
        <w:rPr>
          <w:rFonts w:ascii="Verdana" w:eastAsia="Malgun Gothic" w:hAnsi="Verdana" w:cs="Arial"/>
          <w:sz w:val="18"/>
          <w:szCs w:val="18"/>
          <w:lang w:val="pt-PT"/>
        </w:rPr>
      </w:pPr>
      <w:r w:rsidRPr="00DF2F99">
        <w:rPr>
          <w:rFonts w:ascii="Verdana" w:eastAsia="Malgun Gothic" w:hAnsi="Verdana" w:cs="Arial"/>
          <w:sz w:val="18"/>
          <w:szCs w:val="18"/>
          <w:lang w:val="pt-PT"/>
        </w:rPr>
        <w:t xml:space="preserve">Constantinou Maria: </w:t>
      </w:r>
      <w:r w:rsidRPr="00DF2F99">
        <w:rPr>
          <w:rFonts w:ascii="Verdana" w:eastAsia="Malgun Gothic" w:hAnsi="Verdana" w:cs="Arial"/>
          <w:sz w:val="18"/>
          <w:szCs w:val="18"/>
          <w:lang w:val="el-GR"/>
        </w:rPr>
        <w:t>Τ</w:t>
      </w:r>
      <w:r w:rsidRPr="00DF2F99">
        <w:rPr>
          <w:rFonts w:ascii="Verdana" w:eastAsia="Malgun Gothic" w:hAnsi="Verdana" w:cs="Arial"/>
          <w:sz w:val="18"/>
          <w:szCs w:val="18"/>
          <w:lang w:val="pt-PT"/>
        </w:rPr>
        <w:t xml:space="preserve">el: +35722602226, Email: </w:t>
      </w:r>
      <w:hyperlink r:id="rId13" w:history="1">
        <w:r w:rsidRPr="00DF2F99">
          <w:rPr>
            <w:rFonts w:ascii="Verdana" w:hAnsi="Verdana"/>
            <w:color w:val="0000FF"/>
            <w:sz w:val="18"/>
            <w:szCs w:val="18"/>
            <w:u w:val="single"/>
          </w:rPr>
          <w:t>mconstantinou</w:t>
        </w:r>
        <w:r w:rsidRPr="00DF2F99">
          <w:rPr>
            <w:rFonts w:ascii="Verdana" w:eastAsia="Malgun Gothic" w:hAnsi="Verdana" w:cs="Arial"/>
            <w:color w:val="0000FF"/>
            <w:sz w:val="18"/>
            <w:szCs w:val="18"/>
            <w:u w:val="single"/>
            <w:lang w:val="pt-PT"/>
          </w:rPr>
          <w:t>@cystat.mof.gov.cy</w:t>
        </w:r>
      </w:hyperlink>
    </w:p>
    <w:p w14:paraId="6CD4F3B7" w14:textId="409697A9" w:rsidR="00C26329" w:rsidRPr="00DF2F99" w:rsidRDefault="00C26329" w:rsidP="00072754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p w14:paraId="6C4502B0" w14:textId="2E85010A" w:rsidR="00C26329" w:rsidRDefault="00C26329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5A69251E" w14:textId="77777777" w:rsidR="00C26329" w:rsidRPr="00C26329" w:rsidRDefault="00C26329" w:rsidP="00072754">
      <w:pPr>
        <w:jc w:val="both"/>
        <w:rPr>
          <w:rFonts w:ascii="Verdana" w:eastAsia="Malgun Gothic" w:hAnsi="Verdana" w:cs="Arial"/>
          <w:sz w:val="18"/>
          <w:szCs w:val="18"/>
        </w:rPr>
      </w:pPr>
    </w:p>
    <w:sectPr w:rsidR="00C26329" w:rsidRPr="00C26329" w:rsidSect="006606F1">
      <w:headerReference w:type="default" r:id="rId14"/>
      <w:footerReference w:type="default" r:id="rId15"/>
      <w:headerReference w:type="first" r:id="rId16"/>
      <w:footerReference w:type="first" r:id="rId17"/>
      <w:pgSz w:w="11907" w:h="16840" w:code="9"/>
      <w:pgMar w:top="810" w:right="1185" w:bottom="1021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F69A4" w14:textId="77777777" w:rsidR="006606F1" w:rsidRDefault="006606F1" w:rsidP="00FB398F">
      <w:r>
        <w:separator/>
      </w:r>
    </w:p>
  </w:endnote>
  <w:endnote w:type="continuationSeparator" w:id="0">
    <w:p w14:paraId="6081579C" w14:textId="77777777" w:rsidR="006606F1" w:rsidRDefault="006606F1" w:rsidP="00FB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90DA2" w14:textId="77777777" w:rsidR="004E4F42" w:rsidRPr="000A1A88" w:rsidRDefault="004E4F42" w:rsidP="00763722">
    <w:pPr>
      <w:pStyle w:val="Footer"/>
      <w:tabs>
        <w:tab w:val="left" w:pos="3375"/>
        <w:tab w:val="left" w:pos="4500"/>
        <w:tab w:val="center" w:pos="4723"/>
      </w:tabs>
    </w:pPr>
    <w:r>
      <w:tab/>
    </w:r>
    <w:r>
      <w:tab/>
    </w:r>
    <w:r>
      <w:tab/>
    </w:r>
    <w:r>
      <w:tab/>
      <w:t>-</w:t>
    </w:r>
    <w:r w:rsidR="0027122D">
      <w:fldChar w:fldCharType="begin"/>
    </w:r>
    <w:r w:rsidR="004D4950">
      <w:instrText xml:space="preserve"> PAGE   \* MERGEFORMAT </w:instrText>
    </w:r>
    <w:r w:rsidR="0027122D">
      <w:fldChar w:fldCharType="separate"/>
    </w:r>
    <w:r w:rsidR="00C32D3A">
      <w:rPr>
        <w:noProof/>
      </w:rPr>
      <w:t>3</w:t>
    </w:r>
    <w:r w:rsidR="0027122D">
      <w:rPr>
        <w:noProof/>
      </w:rPr>
      <w:fldChar w:fldCharType="end"/>
    </w:r>
    <w: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2CE26" w14:textId="6871A189" w:rsidR="0060256A" w:rsidRPr="00122143" w:rsidRDefault="0060256A" w:rsidP="0060256A">
    <w:pPr>
      <w:pStyle w:val="Footer"/>
      <w:pBdr>
        <w:top w:val="single" w:sz="4" w:space="1" w:color="auto"/>
      </w:pBdr>
      <w:tabs>
        <w:tab w:val="left" w:pos="4500"/>
      </w:tabs>
      <w:jc w:val="center"/>
      <w:rPr>
        <w:rFonts w:ascii="Arial" w:hAnsi="Arial" w:cs="Arial"/>
        <w:i/>
        <w:iCs/>
        <w:sz w:val="16"/>
        <w:szCs w:val="16"/>
      </w:rPr>
    </w:pPr>
    <w:r w:rsidRPr="00122143">
      <w:rPr>
        <w:rFonts w:ascii="Arial" w:hAnsi="Arial" w:cs="Arial"/>
        <w:i/>
        <w:iCs/>
        <w:sz w:val="16"/>
        <w:szCs w:val="16"/>
      </w:rPr>
      <w:t>Address:  Micha</w:t>
    </w:r>
    <w:r w:rsidR="00EF6A66">
      <w:rPr>
        <w:rFonts w:ascii="Arial" w:hAnsi="Arial" w:cs="Arial"/>
        <w:i/>
        <w:iCs/>
        <w:sz w:val="16"/>
        <w:szCs w:val="16"/>
      </w:rPr>
      <w:t>el</w:t>
    </w:r>
    <w:r w:rsidRPr="00122143">
      <w:rPr>
        <w:rFonts w:ascii="Arial" w:hAnsi="Arial" w:cs="Arial"/>
        <w:i/>
        <w:iCs/>
        <w:sz w:val="16"/>
        <w:szCs w:val="16"/>
      </w:rPr>
      <w:t xml:space="preserve"> </w:t>
    </w:r>
    <w:proofErr w:type="spellStart"/>
    <w:r w:rsidRPr="00122143">
      <w:rPr>
        <w:rFonts w:ascii="Arial" w:hAnsi="Arial" w:cs="Arial"/>
        <w:i/>
        <w:iCs/>
        <w:sz w:val="16"/>
        <w:szCs w:val="16"/>
      </w:rPr>
      <w:t>Karaoli</w:t>
    </w:r>
    <w:proofErr w:type="spellEnd"/>
    <w:r w:rsidRPr="00122143">
      <w:rPr>
        <w:rFonts w:ascii="Arial" w:hAnsi="Arial" w:cs="Arial"/>
        <w:i/>
        <w:iCs/>
        <w:sz w:val="16"/>
        <w:szCs w:val="16"/>
      </w:rPr>
      <w:t xml:space="preserve"> Str., 1444 Nicosia, Cyprus</w:t>
    </w:r>
  </w:p>
  <w:p w14:paraId="5BFB5428" w14:textId="111B6790" w:rsidR="0060256A" w:rsidRPr="00122143" w:rsidRDefault="00122143" w:rsidP="0060256A">
    <w:pPr>
      <w:pStyle w:val="Footer"/>
      <w:tabs>
        <w:tab w:val="left" w:pos="4500"/>
      </w:tabs>
      <w:jc w:val="center"/>
      <w:rPr>
        <w:rFonts w:ascii="Arial" w:hAnsi="Arial" w:cs="Arial"/>
        <w:i/>
        <w:iCs/>
        <w:sz w:val="16"/>
        <w:szCs w:val="16"/>
      </w:rPr>
    </w:pPr>
    <w:r>
      <w:rPr>
        <w:rFonts w:ascii="Arial" w:hAnsi="Arial" w:cs="Arial"/>
        <w:i/>
        <w:iCs/>
        <w:sz w:val="16"/>
        <w:szCs w:val="16"/>
      </w:rPr>
      <w:t xml:space="preserve">Tel.:  22 602129, </w:t>
    </w:r>
    <w:r w:rsidR="0060256A" w:rsidRPr="00122143">
      <w:rPr>
        <w:rFonts w:ascii="Arial" w:hAnsi="Arial" w:cs="Arial"/>
        <w:i/>
        <w:iCs/>
        <w:sz w:val="16"/>
        <w:szCs w:val="16"/>
      </w:rPr>
      <w:t>Fax: 22 661313, E-mail:  enquiries@cystat.mof.gov.cy</w:t>
    </w:r>
  </w:p>
  <w:p w14:paraId="53D85FE4" w14:textId="77777777" w:rsidR="004E4F42" w:rsidRPr="00122143" w:rsidRDefault="0060256A" w:rsidP="0060256A">
    <w:pPr>
      <w:pStyle w:val="Footer"/>
      <w:tabs>
        <w:tab w:val="left" w:pos="4500"/>
      </w:tabs>
      <w:jc w:val="center"/>
      <w:rPr>
        <w:rFonts w:ascii="Arial" w:hAnsi="Arial" w:cs="Arial"/>
        <w:sz w:val="16"/>
        <w:szCs w:val="16"/>
      </w:rPr>
    </w:pPr>
    <w:r w:rsidRPr="00122143">
      <w:rPr>
        <w:rFonts w:ascii="Arial" w:hAnsi="Arial" w:cs="Arial"/>
        <w:i/>
        <w:iCs/>
        <w:sz w:val="16"/>
        <w:szCs w:val="16"/>
      </w:rPr>
      <w:t xml:space="preserve">Web site: </w:t>
    </w:r>
    <w:hyperlink r:id="rId1" w:history="1">
      <w:r w:rsidRPr="00122143">
        <w:rPr>
          <w:rStyle w:val="Hyperlink"/>
          <w:rFonts w:ascii="Arial" w:hAnsi="Arial" w:cs="Arial"/>
          <w:i/>
          <w:iCs/>
          <w:sz w:val="16"/>
          <w:szCs w:val="16"/>
        </w:rPr>
        <w:t>http://www.cystat.gov.cy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A3629" w14:textId="77777777" w:rsidR="006606F1" w:rsidRDefault="006606F1" w:rsidP="00FB398F">
      <w:r>
        <w:separator/>
      </w:r>
    </w:p>
  </w:footnote>
  <w:footnote w:type="continuationSeparator" w:id="0">
    <w:p w14:paraId="5C48F16A" w14:textId="77777777" w:rsidR="006606F1" w:rsidRDefault="006606F1" w:rsidP="00FB3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A5FAC" w14:textId="77777777" w:rsidR="004E4F42" w:rsidRPr="00AC704B" w:rsidRDefault="004E4F42" w:rsidP="001C0681">
    <w:pPr>
      <w:pStyle w:val="Header"/>
      <w:tabs>
        <w:tab w:val="clear" w:pos="4153"/>
        <w:tab w:val="clear" w:pos="8306"/>
        <w:tab w:val="left" w:pos="274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Cs/>
        <w:sz w:val="20"/>
        <w:szCs w:val="20"/>
        <w:lang w:val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967F2" w14:textId="5EABCFB4" w:rsidR="004E4F42" w:rsidRDefault="00572BC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left="-284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 wp14:anchorId="32E0FAFD" wp14:editId="023C4EE8">
          <wp:simplePos x="0" y="0"/>
          <wp:positionH relativeFrom="column">
            <wp:posOffset>523875</wp:posOffset>
          </wp:positionH>
          <wp:positionV relativeFrom="paragraph">
            <wp:posOffset>168910</wp:posOffset>
          </wp:positionV>
          <wp:extent cx="676275" cy="676275"/>
          <wp:effectExtent l="0" t="0" r="0" b="0"/>
          <wp:wrapNone/>
          <wp:docPr id="7" name="Picture 4" descr="£Àƒ∂√™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£Àƒ∂√™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Cs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C097BAC" wp14:editId="495B209F">
              <wp:simplePos x="0" y="0"/>
              <wp:positionH relativeFrom="column">
                <wp:posOffset>4772660</wp:posOffset>
              </wp:positionH>
              <wp:positionV relativeFrom="paragraph">
                <wp:posOffset>-69215</wp:posOffset>
              </wp:positionV>
              <wp:extent cx="1287780" cy="1047750"/>
              <wp:effectExtent l="0" t="0" r="8255" b="0"/>
              <wp:wrapNone/>
              <wp:docPr id="3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E3E188" w14:textId="4C03A6AD" w:rsidR="004E4F42" w:rsidRDefault="00572BC2" w:rsidP="000932CF">
                          <w:r w:rsidRPr="009342E9">
                            <w:rPr>
                              <w:noProof/>
                            </w:rPr>
                            <w:drawing>
                              <wp:inline distT="0" distB="0" distL="0" distR="0" wp14:anchorId="021891AE" wp14:editId="0209C628">
                                <wp:extent cx="1095375" cy="790575"/>
                                <wp:effectExtent l="0" t="0" r="0" b="0"/>
                                <wp:docPr id="5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5375" cy="790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097BAC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375.8pt;margin-top:-5.45pt;width:101.4pt;height:82.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" strokecolor="white">
              <v:textbox>
                <w:txbxContent>
                  <w:p w14:paraId="30E3E188" w14:textId="4C03A6AD" w:rsidR="004E4F42" w:rsidRDefault="00572BC2" w:rsidP="000932CF">
                    <w:r w:rsidRPr="009342E9">
                      <w:rPr>
                        <w:noProof/>
                      </w:rPr>
                      <w:drawing>
                        <wp:inline distT="0" distB="0" distL="0" distR="0" wp14:anchorId="021891AE" wp14:editId="0209C628">
                          <wp:extent cx="1095375" cy="790575"/>
                          <wp:effectExtent l="0" t="0" r="0" b="0"/>
                          <wp:docPr id="5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5375" cy="790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Cs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DA656E" wp14:editId="702CCDA2">
              <wp:simplePos x="0" y="0"/>
              <wp:positionH relativeFrom="column">
                <wp:posOffset>3439160</wp:posOffset>
              </wp:positionH>
              <wp:positionV relativeFrom="paragraph">
                <wp:posOffset>-221615</wp:posOffset>
              </wp:positionV>
              <wp:extent cx="1468755" cy="1200150"/>
              <wp:effectExtent l="0" t="0" r="0" b="0"/>
              <wp:wrapNone/>
              <wp:docPr id="2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8755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4A44B8" w14:textId="1A6E57A8" w:rsidR="004E4F42" w:rsidRDefault="00572BC2" w:rsidP="000932CF">
                          <w:r w:rsidRPr="009342E9">
                            <w:rPr>
                              <w:noProof/>
                            </w:rPr>
                            <w:drawing>
                              <wp:inline distT="0" distB="0" distL="0" distR="0" wp14:anchorId="0399641B" wp14:editId="3E67427C">
                                <wp:extent cx="1276350" cy="1009650"/>
                                <wp:effectExtent l="0" t="0" r="0" b="0"/>
                                <wp:docPr id="4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6350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DA656E" id="Text Box 15" o:spid="_x0000_s1027" type="#_x0000_t202" style="position:absolute;left:0;text-align:left;margin-left:270.8pt;margin-top:-17.45pt;width:115.65pt;height:94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" strokecolor="white">
              <v:textbox>
                <w:txbxContent>
                  <w:p w14:paraId="604A44B8" w14:textId="1A6E57A8" w:rsidR="004E4F42" w:rsidRDefault="00572BC2" w:rsidP="000932CF">
                    <w:r w:rsidRPr="009342E9">
                      <w:rPr>
                        <w:noProof/>
                      </w:rPr>
                      <w:drawing>
                        <wp:inline distT="0" distB="0" distL="0" distR="0" wp14:anchorId="0399641B" wp14:editId="3E67427C">
                          <wp:extent cx="1276350" cy="1009650"/>
                          <wp:effectExtent l="0" t="0" r="0" b="0"/>
                          <wp:docPr id="4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6350" cy="1009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4A059333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left" w:pos="6315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</w:p>
  <w:p w14:paraId="52ECF5C6" w14:textId="77777777" w:rsidR="004E4F42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right="-716"/>
      <w:rPr>
        <w:rFonts w:ascii="Arial" w:hAnsi="Arial" w:cs="Arial"/>
        <w:bCs/>
        <w:sz w:val="18"/>
        <w:szCs w:val="18"/>
      </w:rPr>
    </w:pPr>
  </w:p>
  <w:p w14:paraId="679D9C7F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center" w:pos="4581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ab/>
    </w:r>
  </w:p>
  <w:p w14:paraId="24899FBC" w14:textId="77777777" w:rsidR="004E4F42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18"/>
        <w:szCs w:val="18"/>
      </w:rPr>
    </w:pPr>
  </w:p>
  <w:p w14:paraId="4EC1C2D7" w14:textId="1D111808" w:rsidR="00364377" w:rsidRPr="00AC704B" w:rsidRDefault="00572BC2" w:rsidP="00364377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 w:rsidRPr="0027122D">
      <w:rPr>
        <w:rFonts w:ascii="Arial" w:hAnsi="Arial" w:cs="Arial"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71EED2" wp14:editId="4D0A3E9E">
              <wp:simplePos x="0" y="0"/>
              <wp:positionH relativeFrom="column">
                <wp:posOffset>4102100</wp:posOffset>
              </wp:positionH>
              <wp:positionV relativeFrom="paragraph">
                <wp:posOffset>-140335</wp:posOffset>
              </wp:positionV>
              <wp:extent cx="1828800" cy="533400"/>
              <wp:effectExtent l="0" t="0" r="0" b="0"/>
              <wp:wrapNone/>
              <wp:docPr id="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6D2ABB" w14:textId="77777777" w:rsidR="0060256A" w:rsidRPr="00BA5A5E" w:rsidRDefault="0060256A" w:rsidP="0060256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BA5A5E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STATISTICAL SERVICE</w:t>
                          </w:r>
                        </w:p>
                        <w:p w14:paraId="2E0D10D7" w14:textId="77777777" w:rsidR="0060256A" w:rsidRDefault="0060256A" w:rsidP="0060256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BA5A5E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OF </w:t>
                          </w:r>
                          <w:smartTag w:uri="urn:schemas-microsoft-com:office:smarttags" w:element="place">
                            <w:smartTag w:uri="urn:schemas-microsoft-com:office:smarttags" w:element="country-region">
                              <w:r w:rsidRPr="00BA5A5E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CYPRUS</w:t>
                              </w:r>
                            </w:smartTag>
                          </w:smartTag>
                        </w:p>
                        <w:p w14:paraId="464BD7D4" w14:textId="77777777" w:rsidR="0060256A" w:rsidRPr="00435025" w:rsidRDefault="0060256A" w:rsidP="0060256A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435025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1444 NICOSIA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71EED2" id="Text Box 21" o:spid="_x0000_s1028" type="#_x0000_t202" style="position:absolute;margin-left:323pt;margin-top:-11.05pt;width:2in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" stroked="f">
              <v:textbox>
                <w:txbxContent>
                  <w:p w14:paraId="236D2ABB" w14:textId="77777777" w:rsidR="0060256A" w:rsidRPr="00BA5A5E" w:rsidRDefault="0060256A" w:rsidP="0060256A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BA5A5E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STATISTICAL SERVICE</w:t>
                    </w:r>
                  </w:p>
                  <w:p w14:paraId="2E0D10D7" w14:textId="77777777" w:rsidR="0060256A" w:rsidRDefault="0060256A" w:rsidP="0060256A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BA5A5E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OF </w:t>
                    </w:r>
                    <w:smartTag w:uri="urn:schemas-microsoft-com:office:smarttags" w:element="country-region">
                      <w:smartTag w:uri="urn:schemas-microsoft-com:office:smarttags" w:element="place">
                        <w:r w:rsidRPr="00BA5A5E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CYPRUS</w:t>
                        </w:r>
                      </w:smartTag>
                    </w:smartTag>
                  </w:p>
                  <w:p w14:paraId="464BD7D4" w14:textId="77777777" w:rsidR="0060256A" w:rsidRPr="00435025" w:rsidRDefault="0060256A" w:rsidP="0060256A">
                    <w:pPr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435025">
                      <w:rPr>
                        <w:rFonts w:ascii="Arial" w:hAnsi="Arial" w:cs="Arial"/>
                        <w:sz w:val="20"/>
                        <w:szCs w:val="20"/>
                      </w:rPr>
                      <w:t>1444 NICOSIA</w:t>
                    </w:r>
                  </w:p>
                </w:txbxContent>
              </v:textbox>
            </v:shape>
          </w:pict>
        </mc:Fallback>
      </mc:AlternateContent>
    </w:r>
    <w:r w:rsidR="004E4F42" w:rsidRPr="00AC704B">
      <w:rPr>
        <w:rFonts w:ascii="Arial" w:hAnsi="Arial" w:cs="Arial"/>
        <w:bCs/>
        <w:sz w:val="18"/>
        <w:szCs w:val="18"/>
        <w:lang w:val="en-US"/>
      </w:rPr>
      <w:t xml:space="preserve">     </w:t>
    </w:r>
    <w:r w:rsidR="004E4F42">
      <w:rPr>
        <w:rFonts w:ascii="Arial" w:hAnsi="Arial" w:cs="Arial"/>
        <w:bCs/>
        <w:sz w:val="18"/>
        <w:szCs w:val="18"/>
        <w:lang w:val="en-US"/>
      </w:rPr>
      <w:t xml:space="preserve">   </w:t>
    </w:r>
    <w:r w:rsidR="00364377" w:rsidRPr="007C1520">
      <w:rPr>
        <w:rFonts w:ascii="Arial" w:hAnsi="Arial" w:cs="Arial"/>
        <w:bCs/>
        <w:sz w:val="18"/>
        <w:szCs w:val="18"/>
        <w:lang w:val="en-US"/>
      </w:rPr>
      <w:t>REPUBLIC OF CYPRUS</w:t>
    </w:r>
    <w:r w:rsidR="00364377" w:rsidRPr="00AC704B">
      <w:rPr>
        <w:b/>
        <w:bCs/>
        <w:sz w:val="20"/>
        <w:szCs w:val="20"/>
        <w:lang w:val="en-US"/>
      </w:rPr>
      <w:t xml:space="preserve"> </w:t>
    </w:r>
    <w:r w:rsidR="00364377" w:rsidRPr="00AC704B">
      <w:rPr>
        <w:b/>
        <w:bCs/>
        <w:sz w:val="20"/>
        <w:szCs w:val="20"/>
        <w:lang w:val="en-US"/>
      </w:rPr>
      <w:tab/>
    </w:r>
  </w:p>
  <w:p w14:paraId="7A5CA03F" w14:textId="081A7E2D" w:rsidR="004E4F42" w:rsidRPr="00AC704B" w:rsidRDefault="0060256A" w:rsidP="00364377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/>
        <w:bCs/>
        <w:sz w:val="20"/>
        <w:szCs w:val="20"/>
        <w:lang w:val="en-US"/>
      </w:rPr>
      <w:t xml:space="preserve">   </w:t>
    </w:r>
    <w:r w:rsidR="00364377">
      <w:rPr>
        <w:rFonts w:ascii="Arial" w:hAnsi="Arial" w:cs="Arial"/>
        <w:b/>
        <w:bCs/>
        <w:sz w:val="20"/>
        <w:szCs w:val="20"/>
        <w:lang w:val="en-US"/>
      </w:rPr>
      <w:t xml:space="preserve">  </w:t>
    </w:r>
    <w:r w:rsidR="004E4F42" w:rsidRPr="00AC704B">
      <w:rPr>
        <w:rFonts w:ascii="Arial" w:hAnsi="Arial" w:cs="Arial"/>
        <w:b/>
        <w:bCs/>
        <w:sz w:val="22"/>
        <w:szCs w:val="22"/>
        <w:lang w:val="en-US"/>
      </w:rPr>
      <w:tab/>
    </w:r>
    <w:r w:rsidR="004E4F42" w:rsidRPr="00AC704B">
      <w:rPr>
        <w:b/>
        <w:bCs/>
        <w:sz w:val="22"/>
        <w:szCs w:val="22"/>
        <w:lang w:val="en-US"/>
      </w:rPr>
      <w:tab/>
    </w:r>
  </w:p>
  <w:p w14:paraId="4E7C918A" w14:textId="77777777" w:rsidR="004E4F42" w:rsidRPr="0060256A" w:rsidRDefault="004E4F42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06B1A"/>
    <w:multiLevelType w:val="hybridMultilevel"/>
    <w:tmpl w:val="2478907C"/>
    <w:lvl w:ilvl="0" w:tplc="FFFFFFFF">
      <w:start w:val="1"/>
      <w:numFmt w:val="bullet"/>
      <w:lvlText w:val=""/>
      <w:lvlJc w:val="left"/>
      <w:pPr>
        <w:tabs>
          <w:tab w:val="num" w:pos="1154"/>
        </w:tabs>
        <w:ind w:left="1134" w:hanging="34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E2C00"/>
    <w:multiLevelType w:val="hybridMultilevel"/>
    <w:tmpl w:val="88B86D20"/>
    <w:lvl w:ilvl="0" w:tplc="73D06E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5446E9"/>
    <w:multiLevelType w:val="hybridMultilevel"/>
    <w:tmpl w:val="5C92E50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E0A0ACC"/>
    <w:multiLevelType w:val="hybridMultilevel"/>
    <w:tmpl w:val="CC22B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E93858"/>
    <w:multiLevelType w:val="hybridMultilevel"/>
    <w:tmpl w:val="5FE65C88"/>
    <w:lvl w:ilvl="0" w:tplc="D786DB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4D102E"/>
    <w:multiLevelType w:val="hybridMultilevel"/>
    <w:tmpl w:val="9C7475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B6101E"/>
    <w:multiLevelType w:val="hybridMultilevel"/>
    <w:tmpl w:val="00109C0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46217223">
    <w:abstractNumId w:val="4"/>
  </w:num>
  <w:num w:numId="2" w16cid:durableId="1063258977">
    <w:abstractNumId w:val="1"/>
  </w:num>
  <w:num w:numId="3" w16cid:durableId="1870676900">
    <w:abstractNumId w:val="2"/>
  </w:num>
  <w:num w:numId="4" w16cid:durableId="254939534">
    <w:abstractNumId w:val="3"/>
  </w:num>
  <w:num w:numId="5" w16cid:durableId="38820878">
    <w:abstractNumId w:val="0"/>
  </w:num>
  <w:num w:numId="6" w16cid:durableId="1347829246">
    <w:abstractNumId w:val="5"/>
  </w:num>
  <w:num w:numId="7" w16cid:durableId="10730459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98F"/>
    <w:rsid w:val="00004F86"/>
    <w:rsid w:val="0000542E"/>
    <w:rsid w:val="00013E40"/>
    <w:rsid w:val="000161B1"/>
    <w:rsid w:val="00016D1E"/>
    <w:rsid w:val="00025A39"/>
    <w:rsid w:val="00027853"/>
    <w:rsid w:val="00030E18"/>
    <w:rsid w:val="00031D32"/>
    <w:rsid w:val="0003603D"/>
    <w:rsid w:val="00036FA9"/>
    <w:rsid w:val="00045088"/>
    <w:rsid w:val="00045A06"/>
    <w:rsid w:val="00050391"/>
    <w:rsid w:val="00055291"/>
    <w:rsid w:val="000563D3"/>
    <w:rsid w:val="00057E44"/>
    <w:rsid w:val="00061299"/>
    <w:rsid w:val="00070576"/>
    <w:rsid w:val="00072754"/>
    <w:rsid w:val="000752BB"/>
    <w:rsid w:val="00081ADF"/>
    <w:rsid w:val="00084A02"/>
    <w:rsid w:val="00084BF7"/>
    <w:rsid w:val="000870E9"/>
    <w:rsid w:val="000932CF"/>
    <w:rsid w:val="00096ED8"/>
    <w:rsid w:val="000A1A88"/>
    <w:rsid w:val="000A2B5C"/>
    <w:rsid w:val="000A3601"/>
    <w:rsid w:val="000A6FA8"/>
    <w:rsid w:val="000B3528"/>
    <w:rsid w:val="000B6F3B"/>
    <w:rsid w:val="000B72B3"/>
    <w:rsid w:val="000C290F"/>
    <w:rsid w:val="000C4E72"/>
    <w:rsid w:val="000C7107"/>
    <w:rsid w:val="000D1E7A"/>
    <w:rsid w:val="000E24B1"/>
    <w:rsid w:val="000E2735"/>
    <w:rsid w:val="000E32D6"/>
    <w:rsid w:val="000E57F2"/>
    <w:rsid w:val="000E72A7"/>
    <w:rsid w:val="000F1162"/>
    <w:rsid w:val="000F200F"/>
    <w:rsid w:val="000F3467"/>
    <w:rsid w:val="000F38DE"/>
    <w:rsid w:val="000F5D6C"/>
    <w:rsid w:val="00106852"/>
    <w:rsid w:val="00110F9D"/>
    <w:rsid w:val="00114A67"/>
    <w:rsid w:val="00122143"/>
    <w:rsid w:val="001253B6"/>
    <w:rsid w:val="00125D16"/>
    <w:rsid w:val="00127320"/>
    <w:rsid w:val="00127456"/>
    <w:rsid w:val="001312D8"/>
    <w:rsid w:val="0013137B"/>
    <w:rsid w:val="00135925"/>
    <w:rsid w:val="0015118B"/>
    <w:rsid w:val="001519CE"/>
    <w:rsid w:val="0015344C"/>
    <w:rsid w:val="00161CF3"/>
    <w:rsid w:val="00162C00"/>
    <w:rsid w:val="001639EF"/>
    <w:rsid w:val="0016589F"/>
    <w:rsid w:val="00166FC4"/>
    <w:rsid w:val="00176558"/>
    <w:rsid w:val="0017756A"/>
    <w:rsid w:val="0017769A"/>
    <w:rsid w:val="00183DFC"/>
    <w:rsid w:val="00184384"/>
    <w:rsid w:val="00186717"/>
    <w:rsid w:val="00187FFC"/>
    <w:rsid w:val="001A2018"/>
    <w:rsid w:val="001A3658"/>
    <w:rsid w:val="001A3DD4"/>
    <w:rsid w:val="001B2C39"/>
    <w:rsid w:val="001B3675"/>
    <w:rsid w:val="001B54AB"/>
    <w:rsid w:val="001B5E10"/>
    <w:rsid w:val="001B6AB3"/>
    <w:rsid w:val="001B73D5"/>
    <w:rsid w:val="001C0681"/>
    <w:rsid w:val="001C14B9"/>
    <w:rsid w:val="001C265A"/>
    <w:rsid w:val="001C62B3"/>
    <w:rsid w:val="001C7C8C"/>
    <w:rsid w:val="001D0D6A"/>
    <w:rsid w:val="001D20A4"/>
    <w:rsid w:val="001D20E0"/>
    <w:rsid w:val="001E00D1"/>
    <w:rsid w:val="001E0E58"/>
    <w:rsid w:val="001E14F3"/>
    <w:rsid w:val="001E15ED"/>
    <w:rsid w:val="001E61AA"/>
    <w:rsid w:val="001E7D09"/>
    <w:rsid w:val="0020309E"/>
    <w:rsid w:val="00205BA0"/>
    <w:rsid w:val="00207DE5"/>
    <w:rsid w:val="002105CC"/>
    <w:rsid w:val="00210B58"/>
    <w:rsid w:val="00222423"/>
    <w:rsid w:val="0022346F"/>
    <w:rsid w:val="00225B28"/>
    <w:rsid w:val="002313AC"/>
    <w:rsid w:val="00235FB2"/>
    <w:rsid w:val="00237BC1"/>
    <w:rsid w:val="002430B4"/>
    <w:rsid w:val="002447D0"/>
    <w:rsid w:val="002454C5"/>
    <w:rsid w:val="00245E19"/>
    <w:rsid w:val="0024685F"/>
    <w:rsid w:val="00246AEB"/>
    <w:rsid w:val="00250005"/>
    <w:rsid w:val="0025254F"/>
    <w:rsid w:val="0025566D"/>
    <w:rsid w:val="0025595C"/>
    <w:rsid w:val="00257149"/>
    <w:rsid w:val="002576E7"/>
    <w:rsid w:val="00260357"/>
    <w:rsid w:val="00264F04"/>
    <w:rsid w:val="00267554"/>
    <w:rsid w:val="00270E11"/>
    <w:rsid w:val="0027122D"/>
    <w:rsid w:val="0028338F"/>
    <w:rsid w:val="00285C24"/>
    <w:rsid w:val="002915C4"/>
    <w:rsid w:val="002A1D1C"/>
    <w:rsid w:val="002A4D64"/>
    <w:rsid w:val="002A4FA3"/>
    <w:rsid w:val="002B4EE4"/>
    <w:rsid w:val="002B6554"/>
    <w:rsid w:val="002D05F0"/>
    <w:rsid w:val="002D7D4A"/>
    <w:rsid w:val="002E1906"/>
    <w:rsid w:val="002E3846"/>
    <w:rsid w:val="002E3F78"/>
    <w:rsid w:val="002E62EA"/>
    <w:rsid w:val="002F400C"/>
    <w:rsid w:val="002F4D76"/>
    <w:rsid w:val="002F6D26"/>
    <w:rsid w:val="0030231E"/>
    <w:rsid w:val="003042C4"/>
    <w:rsid w:val="00304CB4"/>
    <w:rsid w:val="00313F37"/>
    <w:rsid w:val="003141D0"/>
    <w:rsid w:val="003168C1"/>
    <w:rsid w:val="00322FBE"/>
    <w:rsid w:val="00325632"/>
    <w:rsid w:val="00327549"/>
    <w:rsid w:val="003342A5"/>
    <w:rsid w:val="00336C36"/>
    <w:rsid w:val="00343815"/>
    <w:rsid w:val="00347234"/>
    <w:rsid w:val="003522BB"/>
    <w:rsid w:val="00352F6C"/>
    <w:rsid w:val="0035337D"/>
    <w:rsid w:val="003555AE"/>
    <w:rsid w:val="003556EA"/>
    <w:rsid w:val="00364377"/>
    <w:rsid w:val="00366B67"/>
    <w:rsid w:val="003671CE"/>
    <w:rsid w:val="00375F86"/>
    <w:rsid w:val="00377ABB"/>
    <w:rsid w:val="003854F5"/>
    <w:rsid w:val="00386FC7"/>
    <w:rsid w:val="00390A32"/>
    <w:rsid w:val="00396C89"/>
    <w:rsid w:val="003A40F2"/>
    <w:rsid w:val="003A50D1"/>
    <w:rsid w:val="003B196D"/>
    <w:rsid w:val="003B2710"/>
    <w:rsid w:val="003B4608"/>
    <w:rsid w:val="003C1B8E"/>
    <w:rsid w:val="003C2392"/>
    <w:rsid w:val="003C5174"/>
    <w:rsid w:val="003C5240"/>
    <w:rsid w:val="003D14E0"/>
    <w:rsid w:val="003D1EA5"/>
    <w:rsid w:val="003D3348"/>
    <w:rsid w:val="003D6822"/>
    <w:rsid w:val="003D724C"/>
    <w:rsid w:val="003E0CE2"/>
    <w:rsid w:val="003F49E4"/>
    <w:rsid w:val="003F4D2F"/>
    <w:rsid w:val="003F5E32"/>
    <w:rsid w:val="003F75F6"/>
    <w:rsid w:val="00404670"/>
    <w:rsid w:val="00414CA0"/>
    <w:rsid w:val="00422F54"/>
    <w:rsid w:val="00431516"/>
    <w:rsid w:val="004361B3"/>
    <w:rsid w:val="0044249D"/>
    <w:rsid w:val="0044379F"/>
    <w:rsid w:val="00446FB1"/>
    <w:rsid w:val="00460421"/>
    <w:rsid w:val="0046078F"/>
    <w:rsid w:val="00462422"/>
    <w:rsid w:val="00463214"/>
    <w:rsid w:val="0046434D"/>
    <w:rsid w:val="004656FA"/>
    <w:rsid w:val="00471D77"/>
    <w:rsid w:val="00475587"/>
    <w:rsid w:val="00480BC2"/>
    <w:rsid w:val="00487A44"/>
    <w:rsid w:val="004929C2"/>
    <w:rsid w:val="00493FDD"/>
    <w:rsid w:val="0049586B"/>
    <w:rsid w:val="004A3E44"/>
    <w:rsid w:val="004A7983"/>
    <w:rsid w:val="004B2896"/>
    <w:rsid w:val="004B38E9"/>
    <w:rsid w:val="004B3FBA"/>
    <w:rsid w:val="004B556F"/>
    <w:rsid w:val="004B6599"/>
    <w:rsid w:val="004C35CE"/>
    <w:rsid w:val="004C6CA7"/>
    <w:rsid w:val="004D4357"/>
    <w:rsid w:val="004D4950"/>
    <w:rsid w:val="004E0DA5"/>
    <w:rsid w:val="004E2393"/>
    <w:rsid w:val="004E27EC"/>
    <w:rsid w:val="004E3745"/>
    <w:rsid w:val="004E42BE"/>
    <w:rsid w:val="004E4F42"/>
    <w:rsid w:val="004E63D5"/>
    <w:rsid w:val="004F03FD"/>
    <w:rsid w:val="004F4DC9"/>
    <w:rsid w:val="004F52F0"/>
    <w:rsid w:val="004F6250"/>
    <w:rsid w:val="004F677C"/>
    <w:rsid w:val="004F6D8F"/>
    <w:rsid w:val="00505503"/>
    <w:rsid w:val="00505DB0"/>
    <w:rsid w:val="0051107B"/>
    <w:rsid w:val="00512F9C"/>
    <w:rsid w:val="005228FA"/>
    <w:rsid w:val="00527CDB"/>
    <w:rsid w:val="005317FB"/>
    <w:rsid w:val="005341C9"/>
    <w:rsid w:val="005369CA"/>
    <w:rsid w:val="00536DE9"/>
    <w:rsid w:val="00540668"/>
    <w:rsid w:val="00541E08"/>
    <w:rsid w:val="0055789A"/>
    <w:rsid w:val="005652D1"/>
    <w:rsid w:val="005660A0"/>
    <w:rsid w:val="00566A4F"/>
    <w:rsid w:val="00567D64"/>
    <w:rsid w:val="00572BC2"/>
    <w:rsid w:val="005938ED"/>
    <w:rsid w:val="0059478C"/>
    <w:rsid w:val="005978D4"/>
    <w:rsid w:val="005B2A67"/>
    <w:rsid w:val="005B3DCD"/>
    <w:rsid w:val="005B4AD4"/>
    <w:rsid w:val="005B5CC7"/>
    <w:rsid w:val="005C2798"/>
    <w:rsid w:val="005C36C3"/>
    <w:rsid w:val="005C56EE"/>
    <w:rsid w:val="005C5D4B"/>
    <w:rsid w:val="005D1714"/>
    <w:rsid w:val="005D2D39"/>
    <w:rsid w:val="005D7638"/>
    <w:rsid w:val="005E040A"/>
    <w:rsid w:val="005F12F5"/>
    <w:rsid w:val="005F4B4F"/>
    <w:rsid w:val="005F7C7D"/>
    <w:rsid w:val="0060256A"/>
    <w:rsid w:val="006044B7"/>
    <w:rsid w:val="006071CE"/>
    <w:rsid w:val="006075B5"/>
    <w:rsid w:val="0061018C"/>
    <w:rsid w:val="0061094E"/>
    <w:rsid w:val="00613440"/>
    <w:rsid w:val="00613BE3"/>
    <w:rsid w:val="0062327B"/>
    <w:rsid w:val="00632777"/>
    <w:rsid w:val="00633750"/>
    <w:rsid w:val="00634491"/>
    <w:rsid w:val="0063679C"/>
    <w:rsid w:val="00637055"/>
    <w:rsid w:val="00641D59"/>
    <w:rsid w:val="00644507"/>
    <w:rsid w:val="00646880"/>
    <w:rsid w:val="00647D2A"/>
    <w:rsid w:val="006537BB"/>
    <w:rsid w:val="0065711B"/>
    <w:rsid w:val="006606F1"/>
    <w:rsid w:val="00671785"/>
    <w:rsid w:val="00672BA9"/>
    <w:rsid w:val="00673005"/>
    <w:rsid w:val="006804BE"/>
    <w:rsid w:val="0069008E"/>
    <w:rsid w:val="0069087E"/>
    <w:rsid w:val="00691191"/>
    <w:rsid w:val="006925C4"/>
    <w:rsid w:val="0069309C"/>
    <w:rsid w:val="00694929"/>
    <w:rsid w:val="006A02B7"/>
    <w:rsid w:val="006B46D5"/>
    <w:rsid w:val="006B46F4"/>
    <w:rsid w:val="006C70E6"/>
    <w:rsid w:val="006C7AF3"/>
    <w:rsid w:val="006D6548"/>
    <w:rsid w:val="006E006A"/>
    <w:rsid w:val="006E0E20"/>
    <w:rsid w:val="006E1C7C"/>
    <w:rsid w:val="006E4256"/>
    <w:rsid w:val="006E4BBA"/>
    <w:rsid w:val="006E5F43"/>
    <w:rsid w:val="006E60A6"/>
    <w:rsid w:val="006F0F69"/>
    <w:rsid w:val="006F116B"/>
    <w:rsid w:val="006F117F"/>
    <w:rsid w:val="006F13DF"/>
    <w:rsid w:val="006F1E66"/>
    <w:rsid w:val="00702F26"/>
    <w:rsid w:val="0070313E"/>
    <w:rsid w:val="00703799"/>
    <w:rsid w:val="00705C5C"/>
    <w:rsid w:val="00711475"/>
    <w:rsid w:val="007202FF"/>
    <w:rsid w:val="007218C6"/>
    <w:rsid w:val="0072548A"/>
    <w:rsid w:val="007277A6"/>
    <w:rsid w:val="007437AB"/>
    <w:rsid w:val="007534F8"/>
    <w:rsid w:val="007545AD"/>
    <w:rsid w:val="00763722"/>
    <w:rsid w:val="00764BC1"/>
    <w:rsid w:val="007665AB"/>
    <w:rsid w:val="00770869"/>
    <w:rsid w:val="007738AA"/>
    <w:rsid w:val="00780A62"/>
    <w:rsid w:val="00781863"/>
    <w:rsid w:val="00783241"/>
    <w:rsid w:val="007838EC"/>
    <w:rsid w:val="00784BDC"/>
    <w:rsid w:val="00792F28"/>
    <w:rsid w:val="0079543F"/>
    <w:rsid w:val="00795880"/>
    <w:rsid w:val="007A4367"/>
    <w:rsid w:val="007A5D73"/>
    <w:rsid w:val="007B0867"/>
    <w:rsid w:val="007B1AC1"/>
    <w:rsid w:val="007B5A08"/>
    <w:rsid w:val="007B67AE"/>
    <w:rsid w:val="007B693D"/>
    <w:rsid w:val="007B718F"/>
    <w:rsid w:val="007D0338"/>
    <w:rsid w:val="007E041B"/>
    <w:rsid w:val="007E199A"/>
    <w:rsid w:val="007E2415"/>
    <w:rsid w:val="007E39F3"/>
    <w:rsid w:val="007E68F4"/>
    <w:rsid w:val="007F31BA"/>
    <w:rsid w:val="007F4078"/>
    <w:rsid w:val="0080014B"/>
    <w:rsid w:val="00801793"/>
    <w:rsid w:val="00803642"/>
    <w:rsid w:val="00806EA2"/>
    <w:rsid w:val="00812A2B"/>
    <w:rsid w:val="008135D1"/>
    <w:rsid w:val="00814A4C"/>
    <w:rsid w:val="00831AAB"/>
    <w:rsid w:val="00834336"/>
    <w:rsid w:val="0083574E"/>
    <w:rsid w:val="0083640C"/>
    <w:rsid w:val="0084157B"/>
    <w:rsid w:val="00842BFB"/>
    <w:rsid w:val="00846B85"/>
    <w:rsid w:val="00847DC3"/>
    <w:rsid w:val="00847F49"/>
    <w:rsid w:val="008535A0"/>
    <w:rsid w:val="008535C5"/>
    <w:rsid w:val="00853765"/>
    <w:rsid w:val="0085516F"/>
    <w:rsid w:val="00861278"/>
    <w:rsid w:val="00867186"/>
    <w:rsid w:val="00870AF6"/>
    <w:rsid w:val="00881268"/>
    <w:rsid w:val="0088394A"/>
    <w:rsid w:val="008860BD"/>
    <w:rsid w:val="00887399"/>
    <w:rsid w:val="0088779E"/>
    <w:rsid w:val="008912AF"/>
    <w:rsid w:val="00892114"/>
    <w:rsid w:val="00892CB9"/>
    <w:rsid w:val="008935CB"/>
    <w:rsid w:val="008B0E7E"/>
    <w:rsid w:val="008B5FF0"/>
    <w:rsid w:val="008B65BD"/>
    <w:rsid w:val="008B7900"/>
    <w:rsid w:val="008C71BF"/>
    <w:rsid w:val="008C7FE0"/>
    <w:rsid w:val="008D3762"/>
    <w:rsid w:val="008D5717"/>
    <w:rsid w:val="008E3716"/>
    <w:rsid w:val="008E44A9"/>
    <w:rsid w:val="008E4A39"/>
    <w:rsid w:val="008E6B4D"/>
    <w:rsid w:val="008E6BFF"/>
    <w:rsid w:val="008F21AF"/>
    <w:rsid w:val="008F2400"/>
    <w:rsid w:val="008F61BA"/>
    <w:rsid w:val="008F6E3C"/>
    <w:rsid w:val="008F7C55"/>
    <w:rsid w:val="0090338C"/>
    <w:rsid w:val="009074EC"/>
    <w:rsid w:val="00914A23"/>
    <w:rsid w:val="00917583"/>
    <w:rsid w:val="00930754"/>
    <w:rsid w:val="00931164"/>
    <w:rsid w:val="00934F68"/>
    <w:rsid w:val="009355AC"/>
    <w:rsid w:val="00935F38"/>
    <w:rsid w:val="00937586"/>
    <w:rsid w:val="00947889"/>
    <w:rsid w:val="0095405B"/>
    <w:rsid w:val="00960E98"/>
    <w:rsid w:val="009616FE"/>
    <w:rsid w:val="00963A82"/>
    <w:rsid w:val="00972912"/>
    <w:rsid w:val="00972CA0"/>
    <w:rsid w:val="00976D1F"/>
    <w:rsid w:val="00981C81"/>
    <w:rsid w:val="00992209"/>
    <w:rsid w:val="009A0085"/>
    <w:rsid w:val="009A2D24"/>
    <w:rsid w:val="009A456C"/>
    <w:rsid w:val="009A4B24"/>
    <w:rsid w:val="009B00E0"/>
    <w:rsid w:val="009B292A"/>
    <w:rsid w:val="009B76D5"/>
    <w:rsid w:val="009C165D"/>
    <w:rsid w:val="009C37F7"/>
    <w:rsid w:val="009C3CEA"/>
    <w:rsid w:val="009C583D"/>
    <w:rsid w:val="009D2611"/>
    <w:rsid w:val="009D79D2"/>
    <w:rsid w:val="009E247C"/>
    <w:rsid w:val="009E31BA"/>
    <w:rsid w:val="009F0528"/>
    <w:rsid w:val="009F0806"/>
    <w:rsid w:val="009F0B47"/>
    <w:rsid w:val="009F233B"/>
    <w:rsid w:val="00A04A80"/>
    <w:rsid w:val="00A05D16"/>
    <w:rsid w:val="00A0659F"/>
    <w:rsid w:val="00A079BA"/>
    <w:rsid w:val="00A33875"/>
    <w:rsid w:val="00A360A1"/>
    <w:rsid w:val="00A402B3"/>
    <w:rsid w:val="00A453EB"/>
    <w:rsid w:val="00A544B7"/>
    <w:rsid w:val="00A618CF"/>
    <w:rsid w:val="00A62770"/>
    <w:rsid w:val="00A62EEB"/>
    <w:rsid w:val="00A660FF"/>
    <w:rsid w:val="00A6625A"/>
    <w:rsid w:val="00A66266"/>
    <w:rsid w:val="00A73395"/>
    <w:rsid w:val="00A82B4C"/>
    <w:rsid w:val="00A93A4C"/>
    <w:rsid w:val="00A94D5D"/>
    <w:rsid w:val="00AA1D9B"/>
    <w:rsid w:val="00AA2543"/>
    <w:rsid w:val="00AA3804"/>
    <w:rsid w:val="00AA55C2"/>
    <w:rsid w:val="00AB0ACA"/>
    <w:rsid w:val="00AB0C9A"/>
    <w:rsid w:val="00AB1D41"/>
    <w:rsid w:val="00AC5E9A"/>
    <w:rsid w:val="00AC704B"/>
    <w:rsid w:val="00AD553E"/>
    <w:rsid w:val="00AD5848"/>
    <w:rsid w:val="00AE5ADA"/>
    <w:rsid w:val="00AF6145"/>
    <w:rsid w:val="00B01386"/>
    <w:rsid w:val="00B01BB5"/>
    <w:rsid w:val="00B04AF4"/>
    <w:rsid w:val="00B05214"/>
    <w:rsid w:val="00B0736F"/>
    <w:rsid w:val="00B12479"/>
    <w:rsid w:val="00B30D97"/>
    <w:rsid w:val="00B31738"/>
    <w:rsid w:val="00B3181A"/>
    <w:rsid w:val="00B33C2E"/>
    <w:rsid w:val="00B35A7C"/>
    <w:rsid w:val="00B450D1"/>
    <w:rsid w:val="00B53D47"/>
    <w:rsid w:val="00B54A25"/>
    <w:rsid w:val="00B54B75"/>
    <w:rsid w:val="00B57F76"/>
    <w:rsid w:val="00B618C3"/>
    <w:rsid w:val="00B63652"/>
    <w:rsid w:val="00B65098"/>
    <w:rsid w:val="00B668B0"/>
    <w:rsid w:val="00B70F5C"/>
    <w:rsid w:val="00B71873"/>
    <w:rsid w:val="00B75AE5"/>
    <w:rsid w:val="00B800C0"/>
    <w:rsid w:val="00B8132B"/>
    <w:rsid w:val="00B84C5A"/>
    <w:rsid w:val="00B858F5"/>
    <w:rsid w:val="00B85ADA"/>
    <w:rsid w:val="00B93668"/>
    <w:rsid w:val="00BA68C6"/>
    <w:rsid w:val="00BB12F1"/>
    <w:rsid w:val="00BB276E"/>
    <w:rsid w:val="00BB3FEE"/>
    <w:rsid w:val="00BB5EB0"/>
    <w:rsid w:val="00BB7A27"/>
    <w:rsid w:val="00BC245A"/>
    <w:rsid w:val="00BC340C"/>
    <w:rsid w:val="00BC58BB"/>
    <w:rsid w:val="00BC7F9D"/>
    <w:rsid w:val="00BD16FA"/>
    <w:rsid w:val="00BD41C3"/>
    <w:rsid w:val="00BD488B"/>
    <w:rsid w:val="00BD7CCC"/>
    <w:rsid w:val="00BE002A"/>
    <w:rsid w:val="00BE1BC9"/>
    <w:rsid w:val="00BE5CDA"/>
    <w:rsid w:val="00BE608F"/>
    <w:rsid w:val="00BF23BB"/>
    <w:rsid w:val="00BF33DD"/>
    <w:rsid w:val="00BF5755"/>
    <w:rsid w:val="00BF684B"/>
    <w:rsid w:val="00C016F3"/>
    <w:rsid w:val="00C13E0F"/>
    <w:rsid w:val="00C15193"/>
    <w:rsid w:val="00C15609"/>
    <w:rsid w:val="00C15F6A"/>
    <w:rsid w:val="00C23EA7"/>
    <w:rsid w:val="00C256F3"/>
    <w:rsid w:val="00C26329"/>
    <w:rsid w:val="00C270A2"/>
    <w:rsid w:val="00C315B5"/>
    <w:rsid w:val="00C32D3A"/>
    <w:rsid w:val="00C3474C"/>
    <w:rsid w:val="00C35E28"/>
    <w:rsid w:val="00C426AF"/>
    <w:rsid w:val="00C434E1"/>
    <w:rsid w:val="00C469C1"/>
    <w:rsid w:val="00C50659"/>
    <w:rsid w:val="00C51B39"/>
    <w:rsid w:val="00C5338A"/>
    <w:rsid w:val="00C54EF9"/>
    <w:rsid w:val="00C56546"/>
    <w:rsid w:val="00C56BBF"/>
    <w:rsid w:val="00C572AA"/>
    <w:rsid w:val="00C57A9A"/>
    <w:rsid w:val="00C6016A"/>
    <w:rsid w:val="00C60B3F"/>
    <w:rsid w:val="00C623EB"/>
    <w:rsid w:val="00C6258A"/>
    <w:rsid w:val="00C64B80"/>
    <w:rsid w:val="00C64C6B"/>
    <w:rsid w:val="00C65138"/>
    <w:rsid w:val="00C66F2E"/>
    <w:rsid w:val="00C6785C"/>
    <w:rsid w:val="00C70FD1"/>
    <w:rsid w:val="00C733AA"/>
    <w:rsid w:val="00C83027"/>
    <w:rsid w:val="00C84B8A"/>
    <w:rsid w:val="00C85E65"/>
    <w:rsid w:val="00C87CA1"/>
    <w:rsid w:val="00C911B4"/>
    <w:rsid w:val="00C91B3B"/>
    <w:rsid w:val="00C94262"/>
    <w:rsid w:val="00C976E1"/>
    <w:rsid w:val="00CA148E"/>
    <w:rsid w:val="00CA3A9A"/>
    <w:rsid w:val="00CB6BC1"/>
    <w:rsid w:val="00CB7021"/>
    <w:rsid w:val="00CD3294"/>
    <w:rsid w:val="00CD4524"/>
    <w:rsid w:val="00CD784D"/>
    <w:rsid w:val="00CF40F8"/>
    <w:rsid w:val="00D008DA"/>
    <w:rsid w:val="00D0416F"/>
    <w:rsid w:val="00D05851"/>
    <w:rsid w:val="00D10FED"/>
    <w:rsid w:val="00D11736"/>
    <w:rsid w:val="00D12EE8"/>
    <w:rsid w:val="00D15FF1"/>
    <w:rsid w:val="00D167F4"/>
    <w:rsid w:val="00D2092A"/>
    <w:rsid w:val="00D21E57"/>
    <w:rsid w:val="00D2216D"/>
    <w:rsid w:val="00D31A6F"/>
    <w:rsid w:val="00D33293"/>
    <w:rsid w:val="00D353D1"/>
    <w:rsid w:val="00D367DB"/>
    <w:rsid w:val="00D36E05"/>
    <w:rsid w:val="00D44F27"/>
    <w:rsid w:val="00D45304"/>
    <w:rsid w:val="00D461C7"/>
    <w:rsid w:val="00D50424"/>
    <w:rsid w:val="00D57D3E"/>
    <w:rsid w:val="00D62C52"/>
    <w:rsid w:val="00D843F4"/>
    <w:rsid w:val="00DC23CF"/>
    <w:rsid w:val="00DC6562"/>
    <w:rsid w:val="00DE130D"/>
    <w:rsid w:val="00DE24CF"/>
    <w:rsid w:val="00DE407C"/>
    <w:rsid w:val="00DE7C7D"/>
    <w:rsid w:val="00DF0786"/>
    <w:rsid w:val="00DF2992"/>
    <w:rsid w:val="00DF2D0C"/>
    <w:rsid w:val="00DF2F99"/>
    <w:rsid w:val="00E01B9D"/>
    <w:rsid w:val="00E04F5E"/>
    <w:rsid w:val="00E0522E"/>
    <w:rsid w:val="00E120F4"/>
    <w:rsid w:val="00E155F9"/>
    <w:rsid w:val="00E17172"/>
    <w:rsid w:val="00E3181C"/>
    <w:rsid w:val="00E3280A"/>
    <w:rsid w:val="00E372AF"/>
    <w:rsid w:val="00E37D68"/>
    <w:rsid w:val="00E40EAE"/>
    <w:rsid w:val="00E436AC"/>
    <w:rsid w:val="00E44FF8"/>
    <w:rsid w:val="00E5066A"/>
    <w:rsid w:val="00E52CF9"/>
    <w:rsid w:val="00E63F34"/>
    <w:rsid w:val="00E6715A"/>
    <w:rsid w:val="00E75DC9"/>
    <w:rsid w:val="00E81610"/>
    <w:rsid w:val="00E84910"/>
    <w:rsid w:val="00E85B28"/>
    <w:rsid w:val="00E91019"/>
    <w:rsid w:val="00E91976"/>
    <w:rsid w:val="00E947A6"/>
    <w:rsid w:val="00E97FC7"/>
    <w:rsid w:val="00EA0690"/>
    <w:rsid w:val="00EA2BF8"/>
    <w:rsid w:val="00EA3956"/>
    <w:rsid w:val="00EA5571"/>
    <w:rsid w:val="00EC02A5"/>
    <w:rsid w:val="00EC176B"/>
    <w:rsid w:val="00EC33CD"/>
    <w:rsid w:val="00EC5BE5"/>
    <w:rsid w:val="00ED2650"/>
    <w:rsid w:val="00ED45AC"/>
    <w:rsid w:val="00ED721A"/>
    <w:rsid w:val="00EE393D"/>
    <w:rsid w:val="00EE3E6A"/>
    <w:rsid w:val="00EF01CF"/>
    <w:rsid w:val="00EF6A66"/>
    <w:rsid w:val="00EF7AF9"/>
    <w:rsid w:val="00F01495"/>
    <w:rsid w:val="00F01EE6"/>
    <w:rsid w:val="00F058E6"/>
    <w:rsid w:val="00F10138"/>
    <w:rsid w:val="00F12E57"/>
    <w:rsid w:val="00F13F92"/>
    <w:rsid w:val="00F22ECA"/>
    <w:rsid w:val="00F240E8"/>
    <w:rsid w:val="00F244FA"/>
    <w:rsid w:val="00F3363A"/>
    <w:rsid w:val="00F366A2"/>
    <w:rsid w:val="00F44F43"/>
    <w:rsid w:val="00F450E1"/>
    <w:rsid w:val="00F50DF4"/>
    <w:rsid w:val="00F57AFE"/>
    <w:rsid w:val="00F6278E"/>
    <w:rsid w:val="00F63C41"/>
    <w:rsid w:val="00F63E96"/>
    <w:rsid w:val="00F701E3"/>
    <w:rsid w:val="00F71F8C"/>
    <w:rsid w:val="00F80362"/>
    <w:rsid w:val="00F8143B"/>
    <w:rsid w:val="00F86AD4"/>
    <w:rsid w:val="00F92EE4"/>
    <w:rsid w:val="00FA0113"/>
    <w:rsid w:val="00FA12B2"/>
    <w:rsid w:val="00FA7610"/>
    <w:rsid w:val="00FB02BD"/>
    <w:rsid w:val="00FB398F"/>
    <w:rsid w:val="00FB4EF8"/>
    <w:rsid w:val="00FB615D"/>
    <w:rsid w:val="00FB6692"/>
    <w:rsid w:val="00FB78DD"/>
    <w:rsid w:val="00FC125E"/>
    <w:rsid w:val="00FC2314"/>
    <w:rsid w:val="00FC3EF3"/>
    <w:rsid w:val="00FD2049"/>
    <w:rsid w:val="00FD2140"/>
    <w:rsid w:val="00FD5BDE"/>
    <w:rsid w:val="00FD68EC"/>
    <w:rsid w:val="00FE0476"/>
    <w:rsid w:val="00FE24A5"/>
    <w:rsid w:val="00FE31E5"/>
    <w:rsid w:val="00FF18EC"/>
    <w:rsid w:val="00FF19AD"/>
    <w:rsid w:val="00FF1EB5"/>
    <w:rsid w:val="00FF292D"/>
    <w:rsid w:val="00FF298D"/>
    <w:rsid w:val="00FF4B55"/>
    <w:rsid w:val="00FF6287"/>
    <w:rsid w:val="00FF6A74"/>
    <w:rsid w:val="00FF73FB"/>
    <w:rsid w:val="00FF7578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,"/>
  <w:listSeparator w:val=";"/>
  <w14:docId w14:val="749E9073"/>
  <w15:chartTrackingRefBased/>
  <w15:docId w15:val="{61773520-894E-4976-8B1A-D3B61937C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85C"/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paragraph" w:styleId="NoSpacing">
    <w:name w:val="No Spacing"/>
    <w:uiPriority w:val="1"/>
    <w:qFormat/>
    <w:rsid w:val="00BB7A27"/>
    <w:rPr>
      <w:sz w:val="22"/>
      <w:szCs w:val="22"/>
    </w:rPr>
  </w:style>
  <w:style w:type="character" w:styleId="FollowedHyperlink">
    <w:name w:val="FollowedHyperlink"/>
    <w:uiPriority w:val="99"/>
    <w:semiHidden/>
    <w:unhideWhenUsed/>
    <w:rsid w:val="000B6F3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constantinou@cystat.mof.gov.cy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ystat.gov.cy/en/MethodologicalDisplay?s=45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ystat.gov.cy/en/KeyFiguresList?s=45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cystatdb.cystat.gov.cy/pxweb/en/8.CYSTAT-DB/8.CYSTAT-DB__National%20Accounts__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cystat.gov.cy/en/SubthemeStatistics?s=45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ystat.gov.cy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0.emf"/><Relationship Id="rId2" Type="http://schemas.openxmlformats.org/officeDocument/2006/relationships/image" Target="media/image3.emf"/><Relationship Id="rId1" Type="http://schemas.openxmlformats.org/officeDocument/2006/relationships/image" Target="media/image2.png"/><Relationship Id="rId5" Type="http://schemas.openxmlformats.org/officeDocument/2006/relationships/image" Target="media/image40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781ED-AD98-475A-9365-3F5AA4C8B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4865</CharactersWithSpaces>
  <SharedDoc>false</SharedDoc>
  <HLinks>
    <vt:vector size="30" baseType="variant">
      <vt:variant>
        <vt:i4>3801088</vt:i4>
      </vt:variant>
      <vt:variant>
        <vt:i4>9</vt:i4>
      </vt:variant>
      <vt:variant>
        <vt:i4>0</vt:i4>
      </vt:variant>
      <vt:variant>
        <vt:i4>5</vt:i4>
      </vt:variant>
      <vt:variant>
        <vt:lpwstr>mailto:kfrangou@cystat.mof.gov.cy</vt:lpwstr>
      </vt:variant>
      <vt:variant>
        <vt:lpwstr/>
      </vt:variant>
      <vt:variant>
        <vt:i4>2228234</vt:i4>
      </vt:variant>
      <vt:variant>
        <vt:i4>6</vt:i4>
      </vt:variant>
      <vt:variant>
        <vt:i4>0</vt:i4>
      </vt:variant>
      <vt:variant>
        <vt:i4>5</vt:i4>
      </vt:variant>
      <vt:variant>
        <vt:lpwstr>mailto:mgeorgiou@cystat.mof.gov.cy</vt:lpwstr>
      </vt:variant>
      <vt:variant>
        <vt:lpwstr/>
      </vt:variant>
      <vt:variant>
        <vt:i4>5374023</vt:i4>
      </vt:variant>
      <vt:variant>
        <vt:i4>3</vt:i4>
      </vt:variant>
      <vt:variant>
        <vt:i4>0</vt:i4>
      </vt:variant>
      <vt:variant>
        <vt:i4>5</vt:i4>
      </vt:variant>
      <vt:variant>
        <vt:lpwstr>http://www.cystat.gov.cy/mof/cystat/statistics.nsf/services_72main_en/services_72main_en?OpenForm&amp;sub=2&amp;sel=2</vt:lpwstr>
      </vt:variant>
      <vt:variant>
        <vt:lpwstr/>
      </vt:variant>
      <vt:variant>
        <vt:i4>5505095</vt:i4>
      </vt:variant>
      <vt:variant>
        <vt:i4>0</vt:i4>
      </vt:variant>
      <vt:variant>
        <vt:i4>0</vt:i4>
      </vt:variant>
      <vt:variant>
        <vt:i4>5</vt:i4>
      </vt:variant>
      <vt:variant>
        <vt:lpwstr>http://www.cystat.gov.cy/mof/cystat/statistics.nsf/services_74main_en/services_74main_en?OpenForm&amp;sub=4&amp;sel=2</vt:lpwstr>
      </vt:variant>
      <vt:variant>
        <vt:lpwstr/>
      </vt:variant>
      <vt:variant>
        <vt:i4>4980827</vt:i4>
      </vt:variant>
      <vt:variant>
        <vt:i4>3</vt:i4>
      </vt:variant>
      <vt:variant>
        <vt:i4>0</vt:i4>
      </vt:variant>
      <vt:variant>
        <vt:i4>5</vt:i4>
      </vt:variant>
      <vt:variant>
        <vt:lpwstr>http://www.cystat.gov.cy/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Theodoulou  George</cp:lastModifiedBy>
  <cp:revision>10</cp:revision>
  <cp:lastPrinted>2016-09-28T08:24:00Z</cp:lastPrinted>
  <dcterms:created xsi:type="dcterms:W3CDTF">2023-11-01T11:04:00Z</dcterms:created>
  <dcterms:modified xsi:type="dcterms:W3CDTF">2024-03-01T08:42:00Z</dcterms:modified>
</cp:coreProperties>
</file>